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CB686">
      <w:pPr>
        <w:pStyle w:val="6"/>
        <w:keepNext/>
        <w:keepLines/>
        <w:pageBreakBefore w:val="0"/>
        <w:widowControl/>
        <w:spacing w:before="100" w:after="140" w:line="300" w:lineRule="auto"/>
        <w:ind w:firstLine="0"/>
        <w:jc w:val="center"/>
      </w:pPr>
      <w:r>
        <w:rPr>
          <w:rFonts w:ascii="Times New Roman" w:hAnsi="Times New Roman" w:eastAsia="黑体" w:cs="Times New Roman"/>
          <w:color w:val="000000"/>
          <w:sz w:val="36"/>
        </w:rPr>
        <w:t>李建伟三普工作报告</w:t>
      </w:r>
    </w:p>
    <w:p w14:paraId="6A1D82D7">
      <w:pPr>
        <w:keepNext w:val="0"/>
        <w:keepLines/>
        <w:pageBreakBefore w:val="0"/>
        <w:widowControl/>
        <w:spacing w:before="0" w:after="100" w:line="300" w:lineRule="auto"/>
        <w:ind w:firstLine="0"/>
        <w:jc w:val="center"/>
      </w:pPr>
      <w:r>
        <w:rPr>
          <w:rFonts w:ascii="Times New Roman" w:hAnsi="Times New Roman" w:eastAsia="宋体" w:cs="Times New Roman"/>
          <w:color w:val="000000"/>
          <w:sz w:val="22"/>
        </w:rPr>
        <w:t>工作记录范围  2025年12月至2026年9月</w:t>
      </w:r>
    </w:p>
    <w:p w14:paraId="2012B439">
      <w:pPr>
        <w:pStyle w:val="7"/>
        <w:keepNext/>
        <w:keepLines/>
        <w:pageBreakBefore w:val="0"/>
        <w:widowControl/>
        <w:spacing w:before="100" w:after="140" w:line="300" w:lineRule="auto"/>
        <w:ind w:firstLine="0"/>
      </w:pPr>
      <w:r>
        <w:rPr>
          <w:rFonts w:ascii="Times New Roman" w:hAnsi="Times New Roman" w:eastAsia="黑体" w:cs="Times New Roman"/>
          <w:color w:val="000000"/>
          <w:sz w:val="28"/>
        </w:rPr>
        <w:t>一、具体工作内容</w:t>
      </w:r>
    </w:p>
    <w:p w14:paraId="493B7AB0">
      <w:pPr>
        <w:pStyle w:val="8"/>
        <w:keepNext/>
        <w:keepLines/>
        <w:pageBreakBefore w:val="0"/>
        <w:widowControl/>
        <w:spacing w:before="100" w:after="140" w:line="300" w:lineRule="auto"/>
        <w:ind w:firstLine="0"/>
      </w:pPr>
      <w:r>
        <w:rPr>
          <w:rFonts w:ascii="Times New Roman" w:hAnsi="Times New Roman" w:eastAsia="黑体" w:cs="Times New Roman"/>
          <w:color w:val="000000"/>
          <w:sz w:val="24"/>
        </w:rPr>
        <w:t>1、总体工作概述</w:t>
      </w:r>
    </w:p>
    <w:p w14:paraId="6C52C501">
      <w:pPr>
        <w:keepNext w:val="0"/>
        <w:keepLines/>
        <w:pageBreakBefore w:val="0"/>
        <w:widowControl/>
        <w:spacing w:before="0" w:after="100" w:line="300" w:lineRule="auto"/>
        <w:ind w:firstLine="482"/>
      </w:pPr>
      <w:r>
        <w:rPr>
          <w:rFonts w:ascii="Times New Roman" w:hAnsi="Times New Roman" w:eastAsia="宋体" w:cs="Times New Roman"/>
          <w:color w:val="000000"/>
          <w:sz w:val="24"/>
        </w:rPr>
        <w:t>本人参与河北省第三次全国土壤普查成果质控，开展数据、图件与报告核查、问题反馈及驻场技术支持。以下分三个大批次汇总工作内容和数量。</w:t>
      </w:r>
    </w:p>
    <w:p w14:paraId="4E646ADB">
      <w:pPr>
        <w:keepNext w:val="0"/>
        <w:keepLines/>
        <w:pageBreakBefore w:val="0"/>
        <w:widowControl/>
        <w:spacing w:before="0" w:after="100" w:line="300" w:lineRule="auto"/>
        <w:ind w:firstLine="482"/>
      </w:pPr>
      <w:r>
        <w:rPr>
          <w:rFonts w:ascii="Times New Roman" w:hAnsi="Times New Roman" w:eastAsia="宋体" w:cs="Times New Roman"/>
          <w:color w:val="000000"/>
          <w:sz w:val="24"/>
        </w:rPr>
        <w:t>本报告按本人实际承担范围记录工作，不将组员负责的成果计入个人工作量。2026年第一次质控，本人负责沧州市提交的土壤类型图成果；2026年第二次质控，本人负责土壤类型图、土壤退化与障碍分析、土特产品土壤适宜性评价三个专题。</w:t>
      </w:r>
    </w:p>
    <w:p w14:paraId="70E21A7E">
      <w:pPr>
        <w:keepNext/>
        <w:keepLines/>
        <w:pageBreakBefore w:val="0"/>
        <w:widowControl/>
        <w:spacing w:before="100" w:after="140" w:line="300" w:lineRule="auto"/>
        <w:ind w:firstLine="0"/>
        <w:jc w:val="center"/>
      </w:pPr>
      <w:r>
        <w:rPr>
          <w:rFonts w:ascii="Times New Roman" w:hAnsi="Times New Roman" w:eastAsia="黑体" w:cs="Times New Roman"/>
          <w:color w:val="000000"/>
          <w:sz w:val="22"/>
        </w:rPr>
        <w:t>表1  2026年第二次质控个人工作范围</w:t>
      </w:r>
    </w:p>
    <w:tbl>
      <w:tblPr>
        <w:tblW w:type="auto" w:w="0"/>
        <w:tblLayout w:type="fixed"/>
        <w:tblLook w:firstColumn="1" w:firstRow="1" w:lastColumn="0" w:lastRow="0" w:noHBand="0" w:noVBand="1" w:val="04A0"/>
      </w:tblPr>
      <w:tblGrid>
        <w:gridCol w:w="1587"/>
        <w:gridCol w:w="964"/>
        <w:gridCol w:w="3572"/>
        <w:gridCol w:w="822"/>
        <w:gridCol w:w="1361"/>
      </w:tblGrid>
      <w:tr>
        <w:trPr>
          <w:cantSplit/>
          <w:tblHeader/>
        </w:trPr>
        <w:tc>
          <w:tcPr>
            <w:tcW w:type="dxa" w:w="1587"/>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本人负责专题</w:t>
            </w:r>
          </w:p>
        </w:tc>
        <w:tc>
          <w:tcPr>
            <w:tcW w:type="dxa" w:w="964"/>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所属市</w:t>
            </w:r>
          </w:p>
        </w:tc>
        <w:tc>
          <w:tcPr>
            <w:tcW w:type="dxa" w:w="3572"/>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县（市、区）名称</w:t>
            </w:r>
          </w:p>
        </w:tc>
        <w:tc>
          <w:tcPr>
            <w:tcW w:type="dxa" w:w="822"/>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范围数量</w:t>
            </w:r>
          </w:p>
        </w:tc>
        <w:tc>
          <w:tcPr>
            <w:tcW w:type="dxa" w:w="1361"/>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批次时间</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石家庄市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长安区、桥西区、新华区、裕华区、藁城区、栾城区、井陉县、正定县、行唐县、灵寿县、高邑县、深泽县、赞皇县、无极县、平山县、元氏县、赵县、晋州市、新乐市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19个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邢台市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襄都区、信都区、任泽区、南和区、清河县、宁晋县、内丘县、广宗县、新河县、巨鹿县、平乡县、威县、临西县、沙河市、南宫市、柏乡县</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16个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沧州市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沧县、青县、东光县、海兴县、盐山县、肃宁县、南皮县、吴桥县、献县、孟村回族自治县、泊头市、任丘市、黄骅市、河间市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14个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衡水市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桃城区、冀州区、枣强县、武邑县、武强县、饶阳县、安平县、故城县、景县、阜城县、深州市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土壤退化与障碍分析</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石家庄市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赞皇县、无极县、平山县、元氏县、赵县、晋州市、新乐市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7个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衡水市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冀州区</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邯郸市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永年区、成安县、涉县、邱县、馆陶县</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5个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辛集市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辛集市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范围合计</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3个专题</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按县区与专题组合计数；类型图仅审核未完成或需复核成果</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74项</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bl>
    <w:p w14:paraId="13265A76">
      <w:pPr>
        <w:keepNext w:val="0"/>
        <w:keepLines/>
        <w:pageBreakBefore w:val="0"/>
        <w:widowControl/>
        <w:spacing w:before="0" w:after="100" w:line="300" w:lineRule="auto"/>
        <w:ind w:firstLine="0"/>
      </w:pPr>
      <w:r>
        <w:rPr>
          <w:rFonts w:ascii="Times New Roman" w:hAnsi="Times New Roman" w:eastAsia="宋体" w:cs="Times New Roman"/>
          <w:color w:val="000000"/>
          <w:sz w:val="20"/>
        </w:rPr>
        <w:t>注：补入柏乡县后，类型图范围为60个县区（石家庄市19个、邢台市16个、沧州市14个、衡水市11个）。三个专题共74项范围任务，不等于74个不同县区，也不等于本轮重新完成74项审核。类型图仅检查尚未完成或需复核的成果，已完成部分不重复审核。</w:t>
      </w:r>
    </w:p>
    <w:p w14:paraId="5B7B65E8">
      <w:pPr>
        <w:pStyle w:val="8"/>
        <w:keepNext/>
        <w:keepLines/>
        <w:pageBreakBefore/>
        <w:widowControl/>
        <w:spacing w:before="100" w:after="140" w:line="300" w:lineRule="auto"/>
        <w:ind w:firstLine="0"/>
      </w:pPr>
      <w:r>
        <w:rPr>
          <w:rFonts w:ascii="Times New Roman" w:hAnsi="Times New Roman" w:eastAsia="黑体" w:cs="Times New Roman"/>
          <w:color w:val="000000"/>
          <w:sz w:val="24"/>
        </w:rPr>
        <w:t>2、2025年12月及2026年1月批次</w:t>
      </w:r>
    </w:p>
    <w:p w14:paraId="291FAA9A">
      <w:pPr>
        <w:keepNext w:val="0"/>
        <w:keepLines/>
        <w:pageBreakBefore w:val="0"/>
        <w:widowControl/>
        <w:spacing w:before="0" w:after="100" w:line="300" w:lineRule="auto"/>
        <w:ind w:firstLine="482"/>
      </w:pPr>
      <w:r>
        <w:rPr>
          <w:rFonts w:ascii="Times New Roman" w:hAnsi="Times New Roman" w:eastAsia="宋体" w:cs="Times New Roman"/>
          <w:color w:val="000000"/>
          <w:sz w:val="24"/>
        </w:rPr>
        <w:t>本批由全组共同承担土壤类型图成果质控，以Word形式整理反馈意见。现存材料显示，本人相关工作主要涉及图件成果及数据一致性核查，包括成果目录与命名、图面表达、图件与数据库对应、土壤分类信息及报告统计数据的一致性；室内校核、技术报告和工作报告审查为组内协同开展。</w:t>
      </w:r>
    </w:p>
    <w:p w14:paraId="65A51B8D">
      <w:pPr>
        <w:keepNext w:val="0"/>
        <w:keepLines/>
        <w:pageBreakBefore w:val="0"/>
        <w:widowControl/>
        <w:spacing w:before="0" w:after="100" w:line="300" w:lineRule="auto"/>
        <w:ind w:firstLine="482"/>
      </w:pPr>
      <w:r>
        <w:rPr>
          <w:rFonts w:ascii="Times New Roman" w:hAnsi="Times New Roman" w:eastAsia="宋体" w:cs="Times New Roman"/>
          <w:color w:val="000000"/>
          <w:sz w:val="24"/>
        </w:rPr>
        <w:t>扩展检索历史资料及重复归档目录后，已找回23份Word反馈和协同质控材料。可明确对应的县区为辛集市，以及衡水市冀州区、桃城区、深州市、武强县，共5个县区。该数量为现存县区专项反馈可核实范围，不作为当时全组全部工作量或本人全部工作量的上限。</w:t>
      </w:r>
    </w:p>
    <w:p w14:paraId="2C9C4FEC">
      <w:pPr>
        <w:keepNext/>
        <w:keepLines/>
        <w:pageBreakBefore w:val="0"/>
        <w:widowControl/>
        <w:spacing w:before="100" w:after="140" w:line="300" w:lineRule="auto"/>
        <w:ind w:firstLine="0"/>
        <w:jc w:val="center"/>
      </w:pPr>
      <w:r>
        <w:rPr>
          <w:rFonts w:ascii="Times New Roman" w:hAnsi="Times New Roman" w:eastAsia="黑体" w:cs="Times New Roman"/>
          <w:color w:val="000000"/>
          <w:sz w:val="22"/>
        </w:rPr>
        <w:t>表2  2025年12月及2026年1月批次可追溯材料</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3969"/>
        <w:gridCol w:w="1049"/>
        <w:gridCol w:w="1587"/>
      </w:tblGrid>
      <w:tr w14:paraId="5D1A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Mar>
              <w:top w:w="50" w:type="dxa"/>
              <w:left w:w="50" w:type="dxa"/>
              <w:bottom w:w="50" w:type="dxa"/>
              <w:right w:w="50" w:type="dxa"/>
            </w:tcMar>
            <w:vAlign w:val="center"/>
          </w:tcPr>
          <w:p w14:paraId="2C426922">
            <w:pPr>
              <w:spacing w:before="20" w:after="20" w:line="276" w:lineRule="auto"/>
              <w:jc w:val="center"/>
            </w:pPr>
            <w:r>
              <w:rPr>
                <w:rFonts w:ascii="Times New Roman" w:hAnsi="Times New Roman" w:eastAsia="黑体" w:cs="Times New Roman"/>
                <w:color w:val="000000"/>
                <w:sz w:val="21"/>
              </w:rPr>
              <w:t>涉及县市</w:t>
            </w:r>
          </w:p>
        </w:tc>
        <w:tc>
          <w:tcPr>
            <w:tcW w:w="3969" w:type="dxa"/>
            <w:tcMar>
              <w:top w:w="50" w:type="dxa"/>
              <w:left w:w="50" w:type="dxa"/>
              <w:bottom w:w="50" w:type="dxa"/>
              <w:right w:w="50" w:type="dxa"/>
            </w:tcMar>
            <w:vAlign w:val="center"/>
          </w:tcPr>
          <w:p w14:paraId="22824301">
            <w:pPr>
              <w:spacing w:before="20" w:after="20" w:line="276" w:lineRule="auto"/>
              <w:jc w:val="left"/>
            </w:pPr>
            <w:r>
              <w:rPr>
                <w:rFonts w:ascii="Times New Roman" w:hAnsi="Times New Roman" w:eastAsia="黑体" w:cs="Times New Roman"/>
                <w:color w:val="000000"/>
                <w:sz w:val="21"/>
              </w:rPr>
              <w:t>核查内容及对应材料</w:t>
            </w:r>
          </w:p>
        </w:tc>
        <w:tc>
          <w:tcPr>
            <w:tcW w:w="1049" w:type="dxa"/>
            <w:tcMar>
              <w:top w:w="50" w:type="dxa"/>
              <w:left w:w="50" w:type="dxa"/>
              <w:bottom w:w="50" w:type="dxa"/>
              <w:right w:w="50" w:type="dxa"/>
            </w:tcMar>
            <w:vAlign w:val="center"/>
          </w:tcPr>
          <w:p w14:paraId="3ED5673B">
            <w:pPr>
              <w:spacing w:before="20" w:after="20" w:line="276" w:lineRule="auto"/>
              <w:jc w:val="left"/>
            </w:pPr>
            <w:r>
              <w:rPr>
                <w:rFonts w:ascii="Times New Roman" w:hAnsi="Times New Roman" w:eastAsia="黑体" w:cs="Times New Roman"/>
                <w:color w:val="000000"/>
                <w:sz w:val="21"/>
              </w:rPr>
              <w:t>县级成果单元</w:t>
            </w:r>
          </w:p>
        </w:tc>
        <w:tc>
          <w:tcPr>
            <w:tcW w:w="1587" w:type="dxa"/>
            <w:tcMar>
              <w:top w:w="50" w:type="dxa"/>
              <w:left w:w="50" w:type="dxa"/>
              <w:bottom w:w="50" w:type="dxa"/>
              <w:right w:w="50" w:type="dxa"/>
            </w:tcMar>
            <w:vAlign w:val="center"/>
          </w:tcPr>
          <w:p w14:paraId="43936346">
            <w:pPr>
              <w:spacing w:before="20" w:after="20" w:line="276" w:lineRule="auto"/>
              <w:jc w:val="center"/>
            </w:pPr>
            <w:r>
              <w:rPr>
                <w:rFonts w:ascii="Times New Roman" w:hAnsi="Times New Roman" w:eastAsia="黑体" w:cs="Times New Roman"/>
                <w:color w:val="000000"/>
                <w:sz w:val="21"/>
              </w:rPr>
              <w:t>记录时间</w:t>
            </w:r>
          </w:p>
        </w:tc>
      </w:tr>
      <w:tr w14:paraId="4FAE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50" w:type="dxa"/>
              <w:left w:w="50" w:type="dxa"/>
              <w:bottom w:w="50" w:type="dxa"/>
              <w:right w:w="50" w:type="dxa"/>
            </w:tcMar>
            <w:vAlign w:val="center"/>
          </w:tcPr>
          <w:p w14:paraId="0B224BFE">
            <w:pPr>
              <w:spacing w:before="20" w:after="20" w:line="276" w:lineRule="auto"/>
              <w:jc w:val="center"/>
            </w:pPr>
            <w:r>
              <w:rPr>
                <w:rFonts w:ascii="Times New Roman" w:hAnsi="Times New Roman" w:eastAsia="宋体" w:cs="Times New Roman"/>
                <w:color w:val="000000"/>
                <w:sz w:val="21"/>
              </w:rPr>
              <w:t>辛集市</w:t>
            </w:r>
          </w:p>
        </w:tc>
        <w:tc>
          <w:tcPr>
            <w:tcW w:w="3969" w:type="dxa"/>
            <w:tcMar>
              <w:top w:w="50" w:type="dxa"/>
              <w:left w:w="50" w:type="dxa"/>
              <w:bottom w:w="50" w:type="dxa"/>
              <w:right w:w="50" w:type="dxa"/>
            </w:tcMar>
            <w:vAlign w:val="center"/>
          </w:tcPr>
          <w:p w14:paraId="341B539C">
            <w:pPr>
              <w:spacing w:before="20" w:after="20" w:line="276" w:lineRule="auto"/>
              <w:jc w:val="left"/>
            </w:pPr>
            <w:r>
              <w:rPr>
                <w:rFonts w:ascii="Times New Roman" w:hAnsi="Times New Roman" w:eastAsia="宋体" w:cs="Times New Roman"/>
                <w:color w:val="000000"/>
                <w:sz w:val="21"/>
              </w:rPr>
              <w:t>《辛集市质控反馈内容》及数据图件核查稿；配套工作报告、技术报告和室内校核反馈</w:t>
            </w:r>
          </w:p>
        </w:tc>
        <w:tc>
          <w:tcPr>
            <w:tcW w:w="1049" w:type="dxa"/>
            <w:tcMar>
              <w:top w:w="50" w:type="dxa"/>
              <w:left w:w="50" w:type="dxa"/>
              <w:bottom w:w="50" w:type="dxa"/>
              <w:right w:w="50" w:type="dxa"/>
            </w:tcMar>
            <w:vAlign w:val="center"/>
          </w:tcPr>
          <w:p w14:paraId="7EA15C26">
            <w:pPr>
              <w:spacing w:before="20" w:after="20" w:line="276" w:lineRule="auto"/>
              <w:jc w:val="left"/>
            </w:pPr>
            <w:r>
              <w:rPr>
                <w:rFonts w:ascii="Times New Roman" w:hAnsi="Times New Roman" w:eastAsia="宋体" w:cs="Times New Roman"/>
                <w:color w:val="000000"/>
                <w:sz w:val="21"/>
              </w:rPr>
              <w:t>1</w:t>
            </w:r>
          </w:p>
        </w:tc>
        <w:tc>
          <w:tcPr>
            <w:tcW w:w="1587" w:type="dxa"/>
            <w:tcMar>
              <w:top w:w="50" w:type="dxa"/>
              <w:left w:w="50" w:type="dxa"/>
              <w:bottom w:w="50" w:type="dxa"/>
              <w:right w:w="50" w:type="dxa"/>
            </w:tcMar>
            <w:vAlign w:val="center"/>
          </w:tcPr>
          <w:p w14:paraId="6786E5DC">
            <w:pPr>
              <w:spacing w:before="20" w:after="20" w:line="276" w:lineRule="auto"/>
              <w:jc w:val="center"/>
            </w:pPr>
            <w:r>
              <w:rPr>
                <w:rFonts w:ascii="Times New Roman" w:hAnsi="Times New Roman" w:eastAsia="宋体" w:cs="Times New Roman"/>
                <w:color w:val="000000"/>
                <w:sz w:val="21"/>
              </w:rPr>
              <w:t>2025年12月、2026年1月</w:t>
            </w:r>
          </w:p>
        </w:tc>
      </w:tr>
      <w:tr w14:paraId="7784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50" w:type="dxa"/>
              <w:left w:w="50" w:type="dxa"/>
              <w:bottom w:w="50" w:type="dxa"/>
              <w:right w:w="50" w:type="dxa"/>
            </w:tcMar>
            <w:vAlign w:val="center"/>
          </w:tcPr>
          <w:p w14:paraId="568B792D">
            <w:pPr>
              <w:spacing w:before="20" w:after="20" w:line="276" w:lineRule="auto"/>
              <w:jc w:val="center"/>
            </w:pPr>
            <w:r>
              <w:rPr>
                <w:rFonts w:ascii="Times New Roman" w:hAnsi="Times New Roman" w:eastAsia="宋体" w:cs="Times New Roman"/>
                <w:color w:val="000000"/>
                <w:sz w:val="21"/>
              </w:rPr>
              <w:t>衡水市冀州区、桃城区</w:t>
            </w:r>
          </w:p>
        </w:tc>
        <w:tc>
          <w:tcPr>
            <w:tcW w:w="3969" w:type="dxa"/>
            <w:tcMar>
              <w:top w:w="50" w:type="dxa"/>
              <w:left w:w="50" w:type="dxa"/>
              <w:bottom w:w="50" w:type="dxa"/>
              <w:right w:w="50" w:type="dxa"/>
            </w:tcMar>
            <w:vAlign w:val="center"/>
          </w:tcPr>
          <w:p w14:paraId="6E847E5F">
            <w:pPr>
              <w:spacing w:before="20" w:after="20" w:line="276" w:lineRule="auto"/>
              <w:jc w:val="left"/>
            </w:pPr>
            <w:r>
              <w:rPr>
                <w:rFonts w:ascii="Times New Roman" w:hAnsi="Times New Roman" w:eastAsia="宋体" w:cs="Times New Roman"/>
                <w:color w:val="000000"/>
                <w:sz w:val="21"/>
              </w:rPr>
              <w:t>《衡水市冀州区和桃城区质控反馈内容》；图件成果、数据一致性及协同反馈</w:t>
            </w:r>
          </w:p>
        </w:tc>
        <w:tc>
          <w:tcPr>
            <w:tcW w:w="1049" w:type="dxa"/>
            <w:tcMar>
              <w:top w:w="50" w:type="dxa"/>
              <w:left w:w="50" w:type="dxa"/>
              <w:bottom w:w="50" w:type="dxa"/>
              <w:right w:w="50" w:type="dxa"/>
            </w:tcMar>
            <w:vAlign w:val="center"/>
          </w:tcPr>
          <w:p w14:paraId="7E472B5D">
            <w:pPr>
              <w:spacing w:before="20" w:after="20" w:line="276" w:lineRule="auto"/>
              <w:jc w:val="left"/>
            </w:pPr>
            <w:r>
              <w:rPr>
                <w:rFonts w:ascii="Times New Roman" w:hAnsi="Times New Roman" w:eastAsia="宋体" w:cs="Times New Roman"/>
                <w:color w:val="000000"/>
                <w:sz w:val="21"/>
              </w:rPr>
              <w:t>2</w:t>
            </w:r>
          </w:p>
        </w:tc>
        <w:tc>
          <w:tcPr>
            <w:tcW w:w="1587" w:type="dxa"/>
            <w:tcMar>
              <w:top w:w="50" w:type="dxa"/>
              <w:left w:w="50" w:type="dxa"/>
              <w:bottom w:w="50" w:type="dxa"/>
              <w:right w:w="50" w:type="dxa"/>
            </w:tcMar>
            <w:vAlign w:val="center"/>
          </w:tcPr>
          <w:p w14:paraId="082FE8E4">
            <w:pPr>
              <w:spacing w:before="20" w:after="20" w:line="276" w:lineRule="auto"/>
              <w:jc w:val="center"/>
            </w:pPr>
            <w:r>
              <w:rPr>
                <w:rFonts w:ascii="Times New Roman" w:hAnsi="Times New Roman" w:eastAsia="宋体" w:cs="Times New Roman"/>
                <w:color w:val="000000"/>
                <w:sz w:val="21"/>
              </w:rPr>
              <w:t>同上</w:t>
            </w:r>
          </w:p>
        </w:tc>
      </w:tr>
      <w:tr w14:paraId="2181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50" w:type="dxa"/>
              <w:left w:w="50" w:type="dxa"/>
              <w:bottom w:w="50" w:type="dxa"/>
              <w:right w:w="50" w:type="dxa"/>
            </w:tcMar>
            <w:vAlign w:val="center"/>
          </w:tcPr>
          <w:p w14:paraId="150113D1">
            <w:pPr>
              <w:spacing w:before="20" w:after="20" w:line="276" w:lineRule="auto"/>
              <w:jc w:val="center"/>
            </w:pPr>
            <w:r>
              <w:rPr>
                <w:rFonts w:ascii="Times New Roman" w:hAnsi="Times New Roman" w:eastAsia="宋体" w:cs="Times New Roman"/>
                <w:color w:val="000000"/>
                <w:sz w:val="21"/>
              </w:rPr>
              <w:t>衡水市深州市、武强县</w:t>
            </w:r>
          </w:p>
        </w:tc>
        <w:tc>
          <w:tcPr>
            <w:tcW w:w="3969" w:type="dxa"/>
            <w:tcMar>
              <w:top w:w="50" w:type="dxa"/>
              <w:left w:w="50" w:type="dxa"/>
              <w:bottom w:w="50" w:type="dxa"/>
              <w:right w:w="50" w:type="dxa"/>
            </w:tcMar>
            <w:vAlign w:val="center"/>
          </w:tcPr>
          <w:p w14:paraId="31C17F71">
            <w:pPr>
              <w:spacing w:before="20" w:after="20" w:line="276" w:lineRule="auto"/>
              <w:jc w:val="left"/>
            </w:pPr>
            <w:r>
              <w:rPr>
                <w:rFonts w:ascii="Times New Roman" w:hAnsi="Times New Roman" w:eastAsia="宋体" w:cs="Times New Roman"/>
                <w:color w:val="000000"/>
                <w:sz w:val="21"/>
              </w:rPr>
              <w:t>《衡水市深州市和武强县质控反馈内容》；图件成果、数据一致性及协同反馈</w:t>
            </w:r>
          </w:p>
        </w:tc>
        <w:tc>
          <w:tcPr>
            <w:tcW w:w="1049" w:type="dxa"/>
            <w:tcMar>
              <w:top w:w="50" w:type="dxa"/>
              <w:left w:w="50" w:type="dxa"/>
              <w:bottom w:w="50" w:type="dxa"/>
              <w:right w:w="50" w:type="dxa"/>
            </w:tcMar>
            <w:vAlign w:val="center"/>
          </w:tcPr>
          <w:p w14:paraId="5CBAEDA3">
            <w:pPr>
              <w:spacing w:before="20" w:after="20" w:line="276" w:lineRule="auto"/>
              <w:jc w:val="left"/>
            </w:pPr>
            <w:r>
              <w:rPr>
                <w:rFonts w:ascii="Times New Roman" w:hAnsi="Times New Roman" w:eastAsia="宋体" w:cs="Times New Roman"/>
                <w:color w:val="000000"/>
                <w:sz w:val="21"/>
              </w:rPr>
              <w:t>2</w:t>
            </w:r>
          </w:p>
        </w:tc>
        <w:tc>
          <w:tcPr>
            <w:tcW w:w="1587" w:type="dxa"/>
            <w:tcMar>
              <w:top w:w="50" w:type="dxa"/>
              <w:left w:w="50" w:type="dxa"/>
              <w:bottom w:w="50" w:type="dxa"/>
              <w:right w:w="50" w:type="dxa"/>
            </w:tcMar>
            <w:vAlign w:val="center"/>
          </w:tcPr>
          <w:p w14:paraId="20B5D00B">
            <w:pPr>
              <w:spacing w:before="20" w:after="20" w:line="276" w:lineRule="auto"/>
              <w:jc w:val="center"/>
            </w:pPr>
            <w:r>
              <w:rPr>
                <w:rFonts w:ascii="Times New Roman" w:hAnsi="Times New Roman" w:eastAsia="宋体" w:cs="Times New Roman"/>
                <w:color w:val="000000"/>
                <w:sz w:val="21"/>
              </w:rPr>
              <w:t>同上</w:t>
            </w:r>
          </w:p>
        </w:tc>
      </w:tr>
      <w:tr w14:paraId="714A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50" w:type="dxa"/>
              <w:left w:w="50" w:type="dxa"/>
              <w:bottom w:w="50" w:type="dxa"/>
              <w:right w:w="50" w:type="dxa"/>
            </w:tcMar>
            <w:vAlign w:val="center"/>
          </w:tcPr>
          <w:p w14:paraId="198E8AD9">
            <w:pPr>
              <w:spacing w:before="20" w:after="20" w:line="276" w:lineRule="auto"/>
              <w:jc w:val="center"/>
            </w:pPr>
            <w:r>
              <w:rPr>
                <w:rFonts w:ascii="Times New Roman" w:hAnsi="Times New Roman" w:eastAsia="宋体" w:cs="Times New Roman"/>
                <w:color w:val="000000"/>
                <w:sz w:val="21"/>
              </w:rPr>
              <w:t>合计</w:t>
            </w:r>
          </w:p>
        </w:tc>
        <w:tc>
          <w:tcPr>
            <w:tcW w:w="3969" w:type="dxa"/>
            <w:tcMar>
              <w:top w:w="50" w:type="dxa"/>
              <w:left w:w="50" w:type="dxa"/>
              <w:bottom w:w="50" w:type="dxa"/>
              <w:right w:w="50" w:type="dxa"/>
            </w:tcMar>
            <w:vAlign w:val="center"/>
          </w:tcPr>
          <w:p w14:paraId="777ED8F4">
            <w:pPr>
              <w:spacing w:before="20" w:after="20" w:line="276" w:lineRule="auto"/>
              <w:jc w:val="left"/>
            </w:pPr>
            <w:r>
              <w:rPr>
                <w:rFonts w:ascii="Times New Roman" w:hAnsi="Times New Roman" w:eastAsia="宋体" w:cs="Times New Roman"/>
                <w:color w:val="000000"/>
                <w:sz w:val="21"/>
              </w:rPr>
              <w:t>按县区去重；多份Word、修订稿和共性材料不重复增加县区数</w:t>
            </w:r>
          </w:p>
        </w:tc>
        <w:tc>
          <w:tcPr>
            <w:tcW w:w="1049" w:type="dxa"/>
            <w:tcMar>
              <w:top w:w="50" w:type="dxa"/>
              <w:left w:w="50" w:type="dxa"/>
              <w:bottom w:w="50" w:type="dxa"/>
              <w:right w:w="50" w:type="dxa"/>
            </w:tcMar>
            <w:vAlign w:val="center"/>
          </w:tcPr>
          <w:p w14:paraId="73901F68">
            <w:pPr>
              <w:spacing w:before="20" w:after="20" w:line="276" w:lineRule="auto"/>
              <w:jc w:val="left"/>
            </w:pPr>
            <w:r>
              <w:rPr>
                <w:rFonts w:ascii="Times New Roman" w:hAnsi="Times New Roman" w:eastAsia="宋体" w:cs="Times New Roman"/>
                <w:color w:val="000000"/>
                <w:sz w:val="21"/>
              </w:rPr>
              <w:t>5</w:t>
            </w:r>
          </w:p>
        </w:tc>
        <w:tc>
          <w:tcPr>
            <w:tcW w:w="1587" w:type="dxa"/>
            <w:tcMar>
              <w:top w:w="50" w:type="dxa"/>
              <w:left w:w="50" w:type="dxa"/>
              <w:bottom w:w="50" w:type="dxa"/>
              <w:right w:w="50" w:type="dxa"/>
            </w:tcMar>
            <w:vAlign w:val="center"/>
          </w:tcPr>
          <w:p w14:paraId="7401A0DB">
            <w:pPr>
              <w:spacing w:before="20" w:after="20" w:line="276" w:lineRule="auto"/>
              <w:jc w:val="center"/>
            </w:pPr>
            <w:r>
              <w:rPr>
                <w:rFonts w:ascii="Times New Roman" w:hAnsi="Times New Roman" w:eastAsia="宋体" w:cs="Times New Roman"/>
                <w:color w:val="000000"/>
                <w:sz w:val="21"/>
              </w:rPr>
              <w:t>同一大批次</w:t>
            </w:r>
          </w:p>
        </w:tc>
      </w:tr>
    </w:tbl>
    <w:p w14:paraId="68F55ABF">
      <w:pPr>
        <w:keepNext w:val="0"/>
        <w:keepLines/>
        <w:pageBreakBefore w:val="0"/>
        <w:widowControl/>
        <w:spacing w:before="0" w:after="100" w:line="300" w:lineRule="auto"/>
        <w:ind w:firstLine="482"/>
      </w:pPr>
      <w:r>
        <w:rPr>
          <w:rFonts w:ascii="Times New Roman" w:hAnsi="Times New Roman" w:eastAsia="宋体" w:cs="Times New Roman"/>
          <w:color w:val="000000"/>
          <w:sz w:val="24"/>
        </w:rPr>
        <w:t>除县区反馈外，还形成了共性问题及问答类材料，用于统一成果整理与检查要求。文件正文出现其他地区名称时，先判断其是否为独立被检对象，未据地名出现次数扩大工作量。</w:t>
      </w:r>
    </w:p>
    <w:p w14:paraId="39C84901">
      <w:pPr>
        <w:pStyle w:val="8"/>
        <w:keepNext/>
        <w:keepLines/>
        <w:pageBreakBefore/>
        <w:widowControl/>
        <w:spacing w:before="100" w:after="140" w:line="300" w:lineRule="auto"/>
        <w:ind w:firstLine="0"/>
      </w:pPr>
      <w:r>
        <w:rPr>
          <w:rFonts w:ascii="Times New Roman" w:hAnsi="Times New Roman" w:eastAsia="黑体" w:cs="Times New Roman"/>
          <w:color w:val="000000"/>
          <w:sz w:val="24"/>
        </w:rPr>
        <w:t>3、2026年第一次质控批次</w:t>
      </w:r>
    </w:p>
    <w:p w14:paraId="488A56E3">
      <w:pPr>
        <w:keepNext w:val="0"/>
        <w:keepLines/>
        <w:pageBreakBefore w:val="0"/>
        <w:widowControl/>
        <w:spacing w:before="0" w:after="100" w:line="300" w:lineRule="auto"/>
        <w:ind w:firstLine="482"/>
      </w:pPr>
      <w:r>
        <w:rPr>
          <w:rFonts w:ascii="Times New Roman" w:hAnsi="Times New Roman" w:eastAsia="宋体" w:cs="Times New Roman"/>
          <w:color w:val="000000"/>
          <w:sz w:val="24"/>
        </w:rPr>
        <w:t>本次本人负责沧州市提交的土壤类型图成果，并承担组内组织协调。石家庄市成果由组员李思奇负责，邯郸市成果由组员鲍正宇负责；其他地区组内反馈不计入本人审核工作量。三批反馈材料属于同一次质控，按本人负责地区的实际反馈文件分别统计。</w:t>
      </w:r>
    </w:p>
    <w:p w14:paraId="67071149">
      <w:pPr>
        <w:keepNext/>
        <w:keepLines/>
        <w:pageBreakBefore w:val="0"/>
        <w:widowControl/>
        <w:spacing w:before="100" w:after="140" w:line="300" w:lineRule="auto"/>
        <w:ind w:firstLine="0"/>
        <w:jc w:val="center"/>
      </w:pPr>
      <w:r>
        <w:rPr>
          <w:rFonts w:ascii="Times New Roman" w:hAnsi="Times New Roman" w:eastAsia="黑体" w:cs="Times New Roman"/>
          <w:color w:val="000000"/>
          <w:sz w:val="22"/>
        </w:rPr>
        <w:t>表3  2026年第一次质控本人沧州市反馈明细</w:t>
      </w:r>
    </w:p>
    <w:tbl>
      <w:tblPr>
        <w:tblW w:type="auto" w:w="0"/>
        <w:tblLayout w:type="fixed"/>
        <w:tblLook w:firstColumn="1" w:firstRow="1" w:lastColumn="0" w:lastRow="0" w:noHBand="0" w:noVBand="1" w:val="04A0"/>
      </w:tblPr>
      <w:tblGrid>
        <w:gridCol w:w="850"/>
        <w:gridCol w:w="964"/>
        <w:gridCol w:w="3742"/>
        <w:gridCol w:w="935"/>
        <w:gridCol w:w="1814"/>
      </w:tblGrid>
      <w:tr>
        <w:trPr>
          <w:cantSplit/>
          <w:tblHeader/>
        </w:trPr>
        <w:tc>
          <w:tcPr>
            <w:tcW w:type="dxa" w:w="850"/>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反馈批次</w:t>
            </w:r>
          </w:p>
        </w:tc>
        <w:tc>
          <w:tcPr>
            <w:tcW w:type="dxa" w:w="964"/>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本人负责市</w:t>
            </w:r>
          </w:p>
        </w:tc>
        <w:tc>
          <w:tcPr>
            <w:tcW w:type="dxa" w:w="3742"/>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县区成果名称</w:t>
            </w:r>
          </w:p>
        </w:tc>
        <w:tc>
          <w:tcPr>
            <w:tcW w:type="dxa" w:w="935"/>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反馈文件数</w:t>
            </w:r>
          </w:p>
        </w:tc>
        <w:tc>
          <w:tcPr>
            <w:tcW w:type="dxa" w:w="1814"/>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材料记录时间</w:t>
            </w:r>
          </w:p>
        </w:tc>
      </w:tr>
      <w:tr>
        <w:trPr>
          <w:cantSplit/>
        </w:trPr>
        <w:tc>
          <w:tcPr>
            <w:tcW w:type="dxa" w:w="850"/>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第一批</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沧州市</w:t>
            </w:r>
          </w:p>
        </w:tc>
        <w:tc>
          <w:tcPr>
            <w:tcW w:type="dxa" w:w="374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孟村回族自治县、新华区、运河区（合并成果单元）、沧县、青县、东光县、肃宁县、河间市、海兴县、献县、泊头市</w:t>
            </w:r>
          </w:p>
        </w:tc>
        <w:tc>
          <w:tcPr>
            <w:tcW w:type="dxa" w:w="935"/>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10份</w:t>
            </w:r>
          </w:p>
        </w:tc>
        <w:tc>
          <w:tcPr>
            <w:tcW w:type="dxa" w:w="181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2026年6月28日</w:t>
            </w:r>
          </w:p>
        </w:tc>
      </w:tr>
      <w:tr>
        <w:trPr>
          <w:cantSplit/>
        </w:trPr>
        <w:tc>
          <w:tcPr>
            <w:tcW w:type="dxa" w:w="850"/>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第二批</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沧州市</w:t>
            </w:r>
          </w:p>
        </w:tc>
        <w:tc>
          <w:tcPr>
            <w:tcW w:type="dxa" w:w="374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盐山县、孟村回族自治县、新华区、运河区（合并成果单元）、沧县、青县、东光县、吴桥县、肃宁县、河间市、任丘市、海兴县、黄骅市</w:t>
            </w:r>
          </w:p>
        </w:tc>
        <w:tc>
          <w:tcPr>
            <w:tcW w:type="dxa" w:w="935"/>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12份</w:t>
            </w:r>
          </w:p>
        </w:tc>
        <w:tc>
          <w:tcPr>
            <w:tcW w:type="dxa" w:w="181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2026年6月28日至7月2日</w:t>
            </w:r>
          </w:p>
        </w:tc>
      </w:tr>
      <w:tr>
        <w:trPr>
          <w:cantSplit/>
        </w:trPr>
        <w:tc>
          <w:tcPr>
            <w:tcW w:type="dxa" w:w="850"/>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第三批</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w:t>
            </w:r>
          </w:p>
        </w:tc>
        <w:tc>
          <w:tcPr>
            <w:tcW w:type="dxa" w:w="374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该批未见本人负责的沧州市反馈文件</w:t>
            </w:r>
          </w:p>
        </w:tc>
        <w:tc>
          <w:tcPr>
            <w:tcW w:type="dxa" w:w="935"/>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0份</w:t>
            </w:r>
          </w:p>
        </w:tc>
        <w:tc>
          <w:tcPr>
            <w:tcW w:type="dxa" w:w="181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2026年7月</w:t>
            </w:r>
          </w:p>
        </w:tc>
      </w:tr>
      <w:tr>
        <w:trPr>
          <w:cantSplit/>
        </w:trPr>
        <w:tc>
          <w:tcPr>
            <w:tcW w:type="dxa" w:w="850"/>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合计</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沧州市</w:t>
            </w:r>
          </w:p>
        </w:tc>
        <w:tc>
          <w:tcPr>
            <w:tcW w:type="dxa" w:w="374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跨批次去重14个县级成果单元，无市级成果反馈</w:t>
            </w:r>
          </w:p>
        </w:tc>
        <w:tc>
          <w:tcPr>
            <w:tcW w:type="dxa" w:w="935"/>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22份</w:t>
            </w:r>
          </w:p>
        </w:tc>
        <w:tc>
          <w:tcPr>
            <w:tcW w:type="dxa" w:w="181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2026年6—7月</w:t>
            </w:r>
          </w:p>
        </w:tc>
      </w:tr>
    </w:tbl>
    <w:p w14:paraId="252F09DB">
      <w:pPr>
        <w:keepNext w:val="0"/>
        <w:keepLines/>
        <w:pageBreakBefore w:val="0"/>
        <w:widowControl/>
        <w:spacing w:before="0" w:after="100" w:line="300" w:lineRule="auto"/>
        <w:ind w:firstLine="0"/>
      </w:pPr>
      <w:r>
        <w:rPr>
          <w:rFonts w:ascii="Times New Roman" w:hAnsi="Times New Roman" w:eastAsia="宋体" w:cs="Times New Roman"/>
          <w:color w:val="000000"/>
          <w:sz w:val="20"/>
        </w:rPr>
        <w:t>注：时间采用本人负责反馈文件中的质控日期，不以文件复制或修改时间代替。第一批10份、第二批12份，合计22份反馈文件；第三批未见沧州市反馈。该数量是文件记录数，不直接等同于独立审核轮次。</w:t>
      </w:r>
    </w:p>
    <w:p w14:paraId="628F655F">
      <w:pPr>
        <w:keepNext w:val="0"/>
        <w:keepLines/>
        <w:pageBreakBefore w:val="0"/>
        <w:widowControl/>
        <w:spacing w:before="0" w:after="100" w:line="300" w:lineRule="auto"/>
        <w:ind w:firstLine="482"/>
      </w:pPr>
      <w:r>
        <w:rPr>
          <w:rFonts w:ascii="Times New Roman" w:hAnsi="Times New Roman" w:eastAsia="宋体" w:cs="Times New Roman"/>
          <w:color w:val="000000"/>
          <w:sz w:val="24"/>
        </w:rPr>
        <w:t>个人工作范围与《河北省三普成果统计报告-新收v2》沧州市土壤类型制图成果条目对应。县级成果单元去重后共14个：新华区与运河区合并成果单元、沧县、青县、东光县、海兴县、盐山县、肃宁县、吴桥县、献县、孟村回族自治县、泊头市、任丘市、黄骅市、河间市。</w:t>
      </w:r>
    </w:p>
    <w:p w14:paraId="7B49370B">
      <w:pPr>
        <w:keepNext w:val="0"/>
        <w:keepLines/>
        <w:pageBreakBefore w:val="0"/>
        <w:widowControl/>
        <w:spacing w:before="0" w:after="100" w:line="300" w:lineRule="auto"/>
        <w:ind w:firstLine="482"/>
      </w:pPr>
      <w:r>
        <w:rPr>
          <w:rFonts w:ascii="Times New Roman" w:hAnsi="Times New Roman" w:eastAsia="宋体" w:cs="Times New Roman"/>
          <w:color w:val="000000"/>
          <w:sz w:val="24"/>
        </w:rPr>
        <w:t>两个反馈批次重复出现8个成果单元：孟村回族自治县、新华区与运河区合并成果单元、沧县、青县、东光县、肃宁县、河间市、海兴县。合并区按1个提交单元统计，不拆分增加数量。</w:t>
      </w:r>
    </w:p>
    <w:p w14:paraId="00935F99">
      <w:pPr>
        <w:keepNext w:val="0"/>
        <w:keepLines/>
        <w:pageBreakBefore w:val="0"/>
        <w:widowControl/>
        <w:spacing w:before="0" w:after="100" w:line="300" w:lineRule="auto"/>
        <w:ind w:firstLine="482"/>
      </w:pPr>
      <w:r>
        <w:rPr>
          <w:rFonts w:ascii="Times New Roman" w:hAnsi="Times New Roman" w:eastAsia="宋体" w:cs="Times New Roman"/>
          <w:color w:val="000000"/>
          <w:sz w:val="24"/>
        </w:rPr>
        <w:t>本人的反馈数量不包含石家庄市、邯郸市、衡水市和邢台市的组内成果，也不包含市级反馈。组内组织协调与本人直接承担的成果审核分别表述。</w:t>
      </w:r>
    </w:p>
    <w:p w14:paraId="3B5193E4">
      <w:pPr>
        <w:pStyle w:val="8"/>
        <w:keepNext/>
        <w:keepLines/>
        <w:pageBreakBefore/>
        <w:widowControl/>
        <w:spacing w:before="100" w:after="140" w:line="300" w:lineRule="auto"/>
        <w:ind w:firstLine="0"/>
      </w:pPr>
      <w:r>
        <w:rPr>
          <w:rFonts w:ascii="Times New Roman" w:hAnsi="Times New Roman" w:eastAsia="黑体" w:cs="Times New Roman"/>
          <w:color w:val="000000"/>
          <w:sz w:val="24"/>
        </w:rPr>
        <w:t>4、2026年第二次质控批次</w:t>
      </w:r>
    </w:p>
    <w:p w14:paraId="4C22A8A9">
      <w:pPr>
        <w:keepNext w:val="0"/>
        <w:keepLines/>
        <w:pageBreakBefore w:val="0"/>
        <w:widowControl/>
        <w:spacing w:before="0" w:after="100" w:line="300" w:lineRule="auto"/>
        <w:ind w:firstLine="482"/>
      </w:pPr>
      <w:r>
        <w:rPr>
          <w:rFonts w:ascii="Times New Roman" w:hAnsi="Times New Roman" w:eastAsia="宋体" w:cs="Times New Roman"/>
          <w:color w:val="000000"/>
          <w:sz w:val="24"/>
        </w:rPr>
        <w:t>本轮个人工作包括：土壤类型图60个县区范围内尚未完成或需复核成果的审核，已完成部分不重新审核；土壤退化与障碍分析7个县区；土特产品土壤适宜性评价7个县区。范围依据《河北省三普返回数据清单汇总(1)》和本人最新分工核定，邢台市补入柏乡县后由15个调整为16个。下表列示个人负责范围，不将范围总数作为类型图本轮全部重审完成量。</w:t>
      </w:r>
    </w:p>
    <w:p w14:paraId="70E21A7E">
      <w:pPr>
        <w:keepNext/>
        <w:keepLines/>
        <w:pageBreakBefore w:val="0"/>
        <w:widowControl/>
        <w:spacing w:before="100" w:after="140" w:line="300" w:lineRule="auto"/>
        <w:ind w:firstLine="0"/>
        <w:jc w:val="center"/>
      </w:pPr>
      <w:r>
        <w:rPr>
          <w:rFonts w:ascii="Times New Roman" w:hAnsi="Times New Roman" w:eastAsia="黑体" w:cs="Times New Roman"/>
          <w:color w:val="000000"/>
          <w:sz w:val="22"/>
        </w:rPr>
        <w:t>表4  2026年第二次质控本人工作范围明细</w:t>
      </w:r>
    </w:p>
    <w:tbl>
      <w:tblPr>
        <w:tblW w:type="auto" w:w="0"/>
        <w:tblLayout w:type="fixed"/>
        <w:tblLook w:firstColumn="1" w:firstRow="1" w:lastColumn="0" w:lastRow="0" w:noHBand="0" w:noVBand="1" w:val="04A0"/>
      </w:tblPr>
      <w:tblGrid>
        <w:gridCol w:w="1587"/>
        <w:gridCol w:w="964"/>
        <w:gridCol w:w="3572"/>
        <w:gridCol w:w="822"/>
        <w:gridCol w:w="1361"/>
      </w:tblGrid>
      <w:tr>
        <w:trPr>
          <w:cantSplit/>
          <w:tblHeader/>
        </w:trPr>
        <w:tc>
          <w:tcPr>
            <w:tcW w:type="dxa" w:w="1587"/>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本人负责专题</w:t>
            </w:r>
          </w:p>
        </w:tc>
        <w:tc>
          <w:tcPr>
            <w:tcW w:type="dxa" w:w="964"/>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所属市</w:t>
            </w:r>
          </w:p>
        </w:tc>
        <w:tc>
          <w:tcPr>
            <w:tcW w:type="dxa" w:w="3572"/>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县（市、区）名称</w:t>
            </w:r>
          </w:p>
        </w:tc>
        <w:tc>
          <w:tcPr>
            <w:tcW w:type="dxa" w:w="822"/>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范围数量</w:t>
            </w:r>
          </w:p>
        </w:tc>
        <w:tc>
          <w:tcPr>
            <w:tcW w:type="dxa" w:w="1361"/>
            <w:vAlign w:val="center"/>
            <w:tcBorders>
              <w:top w:val="single" w:sz="4" w:color="D9D9D9"/>
              <w:left w:val="single" w:sz="4" w:color="D9D9D9"/>
              <w:bottom w:val="single" w:sz="4" w:color="D9D9D9"/>
              <w:right w:val="single" w:sz="4" w:color="D9D9D9"/>
            </w:tcBorders>
            <w:shd w:fill="E7E6E6"/>
          </w:tcPr>
          <w:p>
            <w:pPr>
              <w:keepNext w:val="0"/>
              <w:spacing w:after="80" w:before="80" w:line="276" w:lineRule="auto"/>
              <w:ind w:firstLine="0"/>
              <w:jc w:val="center"/>
            </w:pPr>
            <w:r>
              <w:rPr>
                <w:rFonts w:ascii="Times New Roman" w:hAnsi="Times New Roman" w:eastAsia="黑体"/>
                <w:sz w:val="21"/>
              </w:rPr>
              <w:t>批次时间</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石家庄市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长安区、桥西区、新华区、裕华区、藁城区、栾城区、井陉县、正定县、行唐县、灵寿县、高邑县、深泽县、赞皇县、无极县、平山县、元氏县、赵县、晋州市、新乐市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19个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邢台市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襄都区、信都区、任泽区、南和区、清河县、宁晋县、内丘县、广宗县、新河县、巨鹿县、平乡县、威县、临西县、沙河市、南宫市、柏乡县</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16个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沧州市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沧县、青县、东光县、海兴县、盐山县、肃宁县、南皮县、吴桥县、献县、孟村回族自治县、泊头市、任丘市、黄骅市、河间市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14个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土壤类型图</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衡水市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桃城区、冀州区、枣强县、武邑县、武强县、饶阳县、安平县、故城县、景县、阜城县、深州市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土壤退化与障碍分析</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石家庄市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赞皇县、无极县、平山县、元氏县、赵县、晋州市、新乐市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7个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衡水市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冀州区</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邯郸市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永年区、成安县、涉县、邱县、馆陶县</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5个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土特产品土壤适宜性评价</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辛集市</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辛集市</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1个</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r>
        <w:trPr>
          <w:cantSplit/>
        </w:trPr>
        <w:tc>
          <w:tcPr>
            <w:tcW w:type="dxa" w:w="1587"/>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范围合计</w:t>
            </w:r>
          </w:p>
        </w:tc>
        <w:tc>
          <w:tcPr>
            <w:tcW w:type="dxa" w:w="964"/>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3个专题</w:t>
            </w:r>
          </w:p>
        </w:tc>
        <w:tc>
          <w:tcPr>
            <w:tcW w:type="dxa" w:w="357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left"/>
            </w:pPr>
            <w:r>
              <w:rPr>
                <w:rFonts w:ascii="Times New Roman" w:hAnsi="Times New Roman" w:eastAsia="宋体"/>
                <w:sz w:val="21"/>
              </w:rPr>
              <w:t>按县区与专题组合计数；类型图仅审核未完成或需复核成果</w:t>
            </w:r>
          </w:p>
        </w:tc>
        <w:tc>
          <w:tcPr>
            <w:tcW w:type="dxa" w:w="822"/>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74项</w:t>
            </w:r>
          </w:p>
        </w:tc>
        <w:tc>
          <w:tcPr>
            <w:tcW w:type="dxa" w:w="1361"/>
            <w:vAlign w:val="center"/>
            <w:tcBorders>
              <w:top w:val="single" w:sz="4" w:color="D9D9D9"/>
              <w:left w:val="single" w:sz="4" w:color="D9D9D9"/>
              <w:bottom w:val="single" w:sz="4" w:color="D9D9D9"/>
              <w:right w:val="single" w:sz="4" w:color="D9D9D9"/>
            </w:tcBorders>
          </w:tcPr>
          <w:p>
            <w:pPr>
              <w:keepNext w:val="0"/>
              <w:spacing w:after="80" w:before="80" w:line="276" w:lineRule="auto"/>
              <w:ind w:firstLine="0"/>
              <w:jc w:val="center"/>
            </w:pPr>
            <w:r>
              <w:rPr>
                <w:rFonts w:ascii="Times New Roman" w:hAnsi="Times New Roman" w:eastAsia="宋体"/>
                <w:sz w:val="21"/>
              </w:rPr>
              <w:t>2026年9月</w:t>
            </w:r>
          </w:p>
        </w:tc>
      </w:tr>
    </w:tbl>
    <w:p>
      <w:pPr>
        <w:keepNext w:val="0"/>
        <w:keepLines/>
        <w:pageBreakBefore w:val="0"/>
        <w:widowControl/>
        <w:spacing w:before="0" w:after="100" w:line="300" w:lineRule="auto"/>
        <w:ind w:firstLine="482"/>
      </w:pPr>
      <w:r>
        <w:rPr>
          <w:rFonts w:ascii="Times New Roman" w:hAnsi="Times New Roman" w:eastAsia="宋体"/>
          <w:sz w:val="24"/>
        </w:rPr>
        <w:t>组员分工另记，不计入上表：鲍正宇负责农业利用适宜性评价6个县区（桃城区、冀州区、武邑县、饶阳县、安平县、景县），以及石家庄市资源评价与利用报告12个县区（藁城区、井陉县、正定县、行唐县、灵寿县、深泽县、赞皇县、无极县、平山县、元氏县、晋州市、新乐市）。苏海菲负责成安县、辛集市类型图，邯郸市涉县至武安市9个县区及辛集市属性图，以及邢台市、邯郸市资源评价与利用报告；邢台市名单含本次补入的柏乡县。</w:t>
      </w:r>
    </w:p>
    <w:p w14:paraId="5C5B9159">
      <w:pPr>
        <w:keepNext w:val="0"/>
        <w:keepLines/>
        <w:pageBreakBefore w:val="0"/>
        <w:widowControl/>
        <w:spacing w:before="0" w:after="100" w:line="300" w:lineRule="auto"/>
        <w:ind w:firstLine="482"/>
      </w:pPr>
      <w:r>
        <w:rPr>
          <w:rFonts w:ascii="Times New Roman" w:hAnsi="Times New Roman" w:eastAsia="宋体" w:cs="Times New Roman"/>
          <w:color w:val="000000"/>
          <w:sz w:val="24"/>
        </w:rPr>
        <w:t>主要工作包括：核清接收目录和成果版本，核对文字、图件与数据之间的对应关系；依据适用规范检查专题内容、数据计算和表达；按具体问题记录涉及县区、材料位置与核查依据，形成便于作业单位整改和质控方复核的意见。对自动筛查或AI辅助整理结果，需回到原始材料核实后确认。</w:t>
      </w:r>
    </w:p>
    <w:p w14:paraId="74566B06">
      <w:pPr>
        <w:keepNext/>
        <w:keepLines/>
        <w:pageBreakBefore/>
        <w:spacing w:before="80" w:after="120" w:line="300" w:lineRule="auto"/>
        <w:ind w:firstLine="0"/>
      </w:pPr>
      <w:r>
        <w:rPr>
          <w:rFonts w:ascii="Times New Roman" w:hAnsi="Times New Roman" w:eastAsia="黑体" w:cs="Times New Roman"/>
          <w:sz w:val="24"/>
        </w:rPr>
        <w:t>5、质控辅助工具与交流平台建设</w:t>
      </w:r>
    </w:p>
    <w:p w14:paraId="37DB83E1">
      <w:pPr>
        <w:keepNext w:val="0"/>
        <w:keepLines/>
        <w:pageBreakBefore w:val="0"/>
        <w:spacing w:before="0" w:after="120" w:line="300" w:lineRule="auto"/>
        <w:ind w:firstLine="482"/>
      </w:pPr>
      <w:r>
        <w:rPr>
          <w:rFonts w:ascii="Times New Roman" w:hAnsi="Times New Roman" w:eastAsia="宋体" w:cs="Times New Roman"/>
          <w:sz w:val="24"/>
        </w:rPr>
        <w:t>结合质控工作形成soil-survey-qc Skill，将材料定位、规范查阅、问题与证据对应及报告工作稿整理等步骤组织为可复用的AI辅助流程，便于统一记录和复核。其输出须经人工逐项核实后方可确认，不替代专业判断和正式验收。详细内容见单独文档《AI辅助质控Skill说明报告》（03_质控Skill说明报告.docx）。</w:t>
      </w:r>
    </w:p>
    <w:p w14:paraId="7F276065">
      <w:pPr>
        <w:keepNext w:val="0"/>
        <w:keepLines/>
        <w:pageBreakBefore w:val="0"/>
        <w:spacing w:before="0" w:after="120" w:line="300" w:lineRule="auto"/>
        <w:ind w:firstLine="482"/>
      </w:pPr>
      <w:r>
        <w:rPr>
          <w:rFonts w:ascii="Times New Roman" w:hAnsi="Times New Roman" w:eastAsia="宋体" w:cs="Times New Roman"/>
          <w:sz w:val="24"/>
        </w:rPr>
        <w:t>搭建河北省第三次全国土壤普查成果编制质量控制意见交流平台，按成果类型、地区、作业单位及批次组织质控意见与整改答复，提供查阅、预览和下载入口，便于材料检索与反馈对照。详细功能与使用方式见单独文档《质量控制意见交流平台展示报告》（02_平台展示报告.docx）。</w:t>
      </w:r>
    </w:p>
    <w:p w14:paraId="57EDE4FD">
      <w:pPr>
        <w:keepNext/>
        <w:keepLines/>
        <w:pageBreakBefore w:val="0"/>
        <w:spacing w:before="0" w:after="120" w:line="240" w:lineRule="auto"/>
        <w:ind w:firstLine="0"/>
        <w:jc w:val="center"/>
      </w:pPr>
      <w:r>
        <w:drawing>
          <wp:inline distT="0" distB="0" distL="114300" distR="114300">
            <wp:extent cx="5183505" cy="3599815"/>
            <wp:effectExtent l="0" t="0" r="10795"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
                    <a:stretch>
                      <a:fillRect/>
                    </a:stretch>
                  </pic:blipFill>
                  <pic:spPr>
                    <a:xfrm>
                      <a:off x="0" y="0"/>
                      <a:ext cx="5184000" cy="3600000"/>
                    </a:xfrm>
                    <a:prstGeom prst="rect">
                      <a:avLst/>
                    </a:prstGeom>
                  </pic:spPr>
                </pic:pic>
              </a:graphicData>
            </a:graphic>
          </wp:inline>
        </w:drawing>
      </w:r>
    </w:p>
    <w:p w14:paraId="738AC0FF">
      <w:pPr>
        <w:keepNext w:val="0"/>
        <w:keepLines/>
        <w:pageBreakBefore w:val="0"/>
        <w:spacing w:before="0" w:after="120" w:line="300" w:lineRule="auto"/>
        <w:ind w:firstLine="0"/>
        <w:jc w:val="center"/>
      </w:pPr>
      <w:r>
        <w:rPr>
          <w:rFonts w:ascii="Times New Roman" w:hAnsi="Times New Roman" w:eastAsia="宋体" w:cs="Times New Roman"/>
          <w:sz w:val="20"/>
        </w:rPr>
        <w:t>平台首页截图（2026年9月12日）；界面收缴统计不代表本人工作量或验收通过率</w:t>
      </w:r>
    </w:p>
    <w:p w14:paraId="5FD6970E">
      <w:pPr>
        <w:keepNext w:val="0"/>
        <w:keepLines/>
        <w:pageBreakBefore w:val="0"/>
        <w:spacing w:before="0" w:after="120" w:line="300" w:lineRule="auto"/>
        <w:ind w:firstLine="482"/>
      </w:pPr>
      <w:r>
        <w:rPr>
          <w:rFonts w:ascii="Times New Roman" w:hAnsi="Times New Roman" w:eastAsia="宋体" w:cs="Times New Roman"/>
          <w:sz w:val="20"/>
        </w:rPr>
        <w:t>上述两份独立说明文档统一存放于“甲方工作报告支撑材料_20260912／00_编制说明与展示报告”。</w:t>
      </w:r>
    </w:p>
    <w:p w14:paraId="42CC96CE">
      <w:pPr>
        <w:pStyle w:val="8"/>
        <w:keepNext/>
        <w:keepLines/>
        <w:pageBreakBefore/>
        <w:widowControl/>
        <w:spacing w:before="100" w:after="140" w:line="300" w:lineRule="auto"/>
        <w:ind w:firstLine="0"/>
      </w:pPr>
      <w:r>
        <w:rPr>
          <w:rFonts w:ascii="Times New Roman" w:hAnsi="Times New Roman" w:eastAsia="黑体" w:cs="Times New Roman"/>
          <w:color w:val="000000"/>
          <w:sz w:val="24"/>
        </w:rPr>
        <w:t>6、专题中常见问题</w:t>
      </w:r>
    </w:p>
    <w:p w14:paraId="3BC72F5D">
      <w:pPr>
        <w:keepNext w:val="0"/>
        <w:keepLines/>
        <w:pageBreakBefore w:val="0"/>
        <w:widowControl/>
        <w:spacing w:before="0" w:after="100" w:line="276" w:lineRule="auto"/>
        <w:ind w:firstLine="482"/>
      </w:pPr>
      <w:r>
        <w:rPr>
          <w:rFonts w:ascii="Times New Roman" w:hAnsi="Times New Roman" w:eastAsia="宋体" w:cs="Times New Roman"/>
          <w:color w:val="000000"/>
          <w:sz w:val="22"/>
        </w:rPr>
        <w:t>以下保留6个专题共41类典型问题。其中，类型图12类、退化障碍6类、土特产品6类对应本人负责专题；其余17类为组员负责专题的参考案例，不计入本人审核工作量。属性图对应组员苏海菲，农业利用适宜性评价对应组员鲍正宇；资源评价案例取自新乐市，对应组员鲍正宇。所有案例针对原提交版本，不据此判断当前整改状态。</w:t>
      </w:r>
    </w:p>
    <w:p w14:paraId="293A53A1">
      <w:pPr>
        <w:keepNext w:val="0"/>
        <w:keepLines/>
        <w:pageBreakBefore w:val="0"/>
        <w:widowControl/>
        <w:spacing w:before="0" w:after="100" w:line="300" w:lineRule="auto"/>
        <w:ind w:firstLine="482"/>
      </w:pPr>
      <w:r>
        <w:rPr>
          <w:rFonts w:ascii="Times New Roman" w:hAnsi="Times New Roman" w:eastAsia="宋体" w:cs="Times New Roman"/>
          <w:color w:val="000000"/>
          <w:sz w:val="24"/>
        </w:rPr>
        <w:t>原反馈中的自动检测提示保留人工判读环节；数据不一致问题应同时核对两侧原文及统计口径。图中截取内容均注明原件或反馈页码，正式规范截图单独列示。下列案例用于归纳工作中的核查重点，不代表问题发生频率排序，也不替代正式验收结论。</w:t>
      </w:r>
    </w:p>
    <w:p w14:paraId="67CD7F0C">
      <w:pPr>
        <w:pStyle w:val="8"/>
        <w:keepNext/>
        <w:keepLines/>
        <w:pageBreakBefore w:val="0"/>
        <w:widowControl/>
        <w:spacing w:before="100" w:after="140" w:line="300" w:lineRule="auto"/>
        <w:ind w:firstLine="0"/>
      </w:pPr>
      <w:r>
        <w:rPr>
          <w:rFonts w:ascii="Times New Roman" w:hAnsi="Times New Roman" w:eastAsia="黑体" w:cs="Times New Roman"/>
          <w:color w:val="000000"/>
          <w:sz w:val="24"/>
        </w:rPr>
        <w:t>土壤类型图  问题1</w:t>
      </w:r>
    </w:p>
    <w:p w14:paraId="67CB42ED">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分类字段出现空值</w:t>
      </w:r>
    </w:p>
    <w:p w14:paraId="14436161">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问题描述：既往反馈记录了2个图斑的TL、YL、TS字段空值。此类提示须结合图斑类别人工复核，属于土壤图斑的应补齐分类信息，不能直接把全部空值判为错误。</w:t>
      </w:r>
    </w:p>
    <w:p w14:paraId="2F5F6F78">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涉及成果：沧州市泊头市，类型图成果数据库。</w:t>
      </w:r>
    </w:p>
    <w:p w14:paraId="205A28B9">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规范要求：《数据库规范（修订版）》第7.2.3节要求检查字段名称、类型、长度、值域、小数位及字段值正确性。</w:t>
      </w:r>
    </w:p>
    <w:p w14:paraId="230C1B2C">
      <w:pPr>
        <w:keepNext/>
        <w:keepLines/>
        <w:pageBreakBefore w:val="0"/>
        <w:widowControl/>
        <w:spacing w:before="0" w:after="40" w:line="240" w:lineRule="auto"/>
        <w:ind w:firstLine="0"/>
        <w:jc w:val="center"/>
      </w:pPr>
      <w:r>
        <w:drawing>
          <wp:inline distT="0" distB="0" distL="114300" distR="114300">
            <wp:extent cx="3448685" cy="18719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448852" cy="1872000"/>
                    </a:xfrm>
                    <a:prstGeom prst="rect">
                      <a:avLst/>
                    </a:prstGeom>
                  </pic:spPr>
                </pic:pic>
              </a:graphicData>
            </a:graphic>
          </wp:inline>
        </w:drawing>
      </w:r>
    </w:p>
    <w:p w14:paraId="131A4CD3">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图1-1  问题截图  原件PDF第4页</w:t>
      </w:r>
    </w:p>
    <w:p w14:paraId="41ABE236">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截图来源：2026年第一次质控第一批，泊头市原反馈PDF第4页。</w:t>
      </w:r>
    </w:p>
    <w:p w14:paraId="559DBA62">
      <w:pPr>
        <w:keepNext/>
        <w:keepLines/>
        <w:pageBreakBefore w:val="0"/>
        <w:widowControl/>
        <w:spacing w:before="0" w:after="40" w:line="240" w:lineRule="auto"/>
        <w:ind w:firstLine="0"/>
        <w:jc w:val="center"/>
      </w:pPr>
      <w:r>
        <w:drawing>
          <wp:inline distT="0" distB="0" distL="114300" distR="114300">
            <wp:extent cx="5219700" cy="1165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20000" cy="1166310"/>
                    </a:xfrm>
                    <a:prstGeom prst="rect">
                      <a:avLst/>
                    </a:prstGeom>
                  </pic:spPr>
                </pic:pic>
              </a:graphicData>
            </a:graphic>
          </wp:inline>
        </w:drawing>
      </w:r>
    </w:p>
    <w:p w14:paraId="0EBBD4A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图1-N  规范原文  PDF第34页</w:t>
      </w:r>
    </w:p>
    <w:p w14:paraId="138D28BB">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土壤类型图  问题2</w:t>
      </w:r>
    </w:p>
    <w:p w14:paraId="249EB652">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工作报告与技术报告的路线数量不一致</w:t>
      </w:r>
    </w:p>
    <w:p w14:paraId="4EEBDBE4">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问题描述：既往反馈中，工作报告记录3条野外校核路线，技术报告记录4条，均写71个校核点。应核对路线图与校核记录，统一报告中的路线数量。</w:t>
      </w:r>
    </w:p>
    <w:p w14:paraId="3E90A363">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涉及成果：沧州市青县，类型图编制工作报告和技术报告。</w:t>
      </w:r>
    </w:p>
    <w:p w14:paraId="7C451476">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规范要求：《市县级成果验收工作方案》表3.5-1“报告质量”要求表述清晰、逻辑性强、结果结论可靠。</w:t>
      </w:r>
    </w:p>
    <w:p w14:paraId="5E45A440">
      <w:pPr>
        <w:keepNext/>
        <w:keepLines/>
        <w:pageBreakBefore w:val="0"/>
        <w:widowControl/>
        <w:spacing w:before="0" w:after="40" w:line="240" w:lineRule="auto"/>
        <w:ind w:firstLine="0"/>
        <w:jc w:val="center"/>
      </w:pPr>
      <w:r>
        <w:drawing>
          <wp:inline distT="0" distB="0" distL="114300" distR="114300">
            <wp:extent cx="5219700" cy="1887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20000" cy="1888436"/>
                    </a:xfrm>
                    <a:prstGeom prst="rect">
                      <a:avLst/>
                    </a:prstGeom>
                  </pic:spPr>
                </pic:pic>
              </a:graphicData>
            </a:graphic>
          </wp:inline>
        </w:drawing>
      </w:r>
    </w:p>
    <w:p w14:paraId="5F765909">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图2-1  问题截图  原件PDF第4页</w:t>
      </w:r>
    </w:p>
    <w:p w14:paraId="439C16D0">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截图来源：2026年第一次质控第一批，青县原反馈PDF第4页。</w:t>
      </w:r>
    </w:p>
    <w:p w14:paraId="71E6B9E4">
      <w:pPr>
        <w:keepNext/>
        <w:keepLines/>
        <w:pageBreakBefore w:val="0"/>
        <w:widowControl/>
        <w:spacing w:before="0" w:after="40" w:line="240" w:lineRule="auto"/>
        <w:ind w:firstLine="0"/>
        <w:jc w:val="center"/>
      </w:pPr>
      <w:r>
        <w:drawing>
          <wp:inline distT="0" distB="0" distL="114300" distR="114300">
            <wp:extent cx="5219700" cy="8401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20000" cy="840549"/>
                    </a:xfrm>
                    <a:prstGeom prst="rect">
                      <a:avLst/>
                    </a:prstGeom>
                  </pic:spPr>
                </pic:pic>
              </a:graphicData>
            </a:graphic>
          </wp:inline>
        </w:drawing>
      </w:r>
    </w:p>
    <w:p w14:paraId="100AE2A6">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图2-N  规范原文  PDF第17页</w:t>
      </w:r>
    </w:p>
    <w:p w14:paraId="7D296A4D">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土壤类型图  问题3</w:t>
      </w:r>
    </w:p>
    <w:p w14:paraId="464D0AC5">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推测制图样本数量跨报告不一致</w:t>
      </w:r>
    </w:p>
    <w:p w14:paraId="56997D80">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问题描述：技术报告记载推测制图点位1727个，工作报告为1779个；其中野外校核点、典型虚点的数量也不一致。应以对应版本的样本数据及去重规则为依据，统一数量及构成。</w:t>
      </w:r>
    </w:p>
    <w:p w14:paraId="7C915D9B">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涉及成果：沧州市泊头市，类型图编制工作报告和技术报告。</w:t>
      </w:r>
    </w:p>
    <w:p w14:paraId="4ED93077">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规范要求：《市县级成果验收工作方案》表3.5-1“报告质量”要求结果结论可靠；统计数量应能与相应数据对应。</w:t>
      </w:r>
    </w:p>
    <w:p w14:paraId="45B78922">
      <w:pPr>
        <w:keepNext/>
        <w:keepLines/>
        <w:pageBreakBefore w:val="0"/>
        <w:widowControl/>
        <w:spacing w:before="0" w:after="40" w:line="240" w:lineRule="auto"/>
        <w:ind w:firstLine="0"/>
        <w:jc w:val="center"/>
      </w:pPr>
      <w:r>
        <w:drawing>
          <wp:inline distT="0" distB="0" distL="114300" distR="114300">
            <wp:extent cx="5219700" cy="12719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20000" cy="1271962"/>
                    </a:xfrm>
                    <a:prstGeom prst="rect">
                      <a:avLst/>
                    </a:prstGeom>
                  </pic:spPr>
                </pic:pic>
              </a:graphicData>
            </a:graphic>
          </wp:inline>
        </w:drawing>
      </w:r>
    </w:p>
    <w:p w14:paraId="68860813">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图3-1  问题截图  原件PDF第6页</w:t>
      </w:r>
    </w:p>
    <w:p w14:paraId="5E2E9235">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截图来源：2026年第一次质控第一批，泊头市原反馈PDF第6页。</w:t>
      </w:r>
    </w:p>
    <w:p w14:paraId="712AC1E5">
      <w:pPr>
        <w:keepNext/>
        <w:keepLines/>
        <w:pageBreakBefore w:val="0"/>
        <w:widowControl/>
        <w:spacing w:before="0" w:after="40" w:line="240" w:lineRule="auto"/>
        <w:ind w:firstLine="0"/>
        <w:jc w:val="center"/>
      </w:pPr>
      <w:r>
        <w:drawing>
          <wp:inline distT="0" distB="0" distL="114300" distR="114300">
            <wp:extent cx="5219700" cy="84010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20000" cy="840549"/>
                    </a:xfrm>
                    <a:prstGeom prst="rect">
                      <a:avLst/>
                    </a:prstGeom>
                  </pic:spPr>
                </pic:pic>
              </a:graphicData>
            </a:graphic>
          </wp:inline>
        </w:drawing>
      </w:r>
    </w:p>
    <w:p w14:paraId="03CABB2F">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图3-N  规范原文  PDF第17页</w:t>
      </w:r>
    </w:p>
    <w:p w14:paraId="2E4B37FD">
      <w:pPr>
        <w:keepNext/>
        <w:keepLines/>
        <w:pageBreakBefore/>
        <w:spacing w:before="80" w:after="120" w:line="300" w:lineRule="auto"/>
        <w:ind w:firstLine="0"/>
      </w:pPr>
      <w:r>
        <w:rPr>
          <w:rFonts w:ascii="Times New Roman" w:hAnsi="Times New Roman" w:eastAsia="黑体" w:cs="Times New Roman"/>
          <w:sz w:val="24"/>
        </w:rPr>
        <w:t>土壤类型图 其他典型问题（4-12）</w:t>
      </w:r>
    </w:p>
    <w:p w14:paraId="7929B187">
      <w:pPr>
        <w:keepNext/>
        <w:keepLines/>
        <w:pageBreakBefore w:val="0"/>
        <w:spacing w:before="80" w:after="120" w:line="300" w:lineRule="auto"/>
        <w:ind w:firstLine="0"/>
      </w:pPr>
      <w:r>
        <w:rPr>
          <w:rFonts w:ascii="Times New Roman" w:hAnsi="Times New Roman" w:eastAsia="黑体" w:cs="Times New Roman"/>
          <w:sz w:val="24"/>
        </w:rPr>
        <w:t>4、土壤分类与采用清单衔接不足</w:t>
      </w:r>
    </w:p>
    <w:p w14:paraId="5A6CB381">
      <w:pPr>
        <w:keepNext w:val="0"/>
        <w:keepLines/>
        <w:pageBreakBefore w:val="0"/>
        <w:spacing w:before="0" w:after="120" w:line="300" w:lineRule="auto"/>
        <w:ind w:firstLine="482"/>
      </w:pPr>
      <w:r>
        <w:rPr>
          <w:rFonts w:ascii="Times New Roman" w:hAnsi="Times New Roman" w:eastAsia="宋体" w:cs="Times New Roman"/>
          <w:sz w:val="24"/>
        </w:rPr>
        <w:t>青县原反馈第1页记录部分剖面土属、土种未匹配省级分类清单。应核对采用版本、</w:t>
      </w:r>
      <w:bookmarkStart w:id="0" w:name="_GoBack"/>
      <w:bookmarkEnd w:id="0"/>
      <w:r>
        <w:rPr>
          <w:rFonts w:ascii="Times New Roman" w:hAnsi="Times New Roman" w:eastAsia="宋体" w:cs="Times New Roman"/>
          <w:sz w:val="24"/>
        </w:rPr>
        <w:t>名称及上下级组合，并结合剖面信息人工确认；未匹配提示不能直接等同于分类错误。</w:t>
      </w:r>
    </w:p>
    <w:p w14:paraId="77911ABA">
      <w:pPr>
        <w:keepNext/>
        <w:keepLines/>
        <w:pageBreakBefore w:val="0"/>
        <w:spacing w:before="80" w:after="120" w:line="300" w:lineRule="auto"/>
        <w:ind w:firstLine="0"/>
      </w:pPr>
      <w:r>
        <w:rPr>
          <w:rFonts w:ascii="Times New Roman" w:hAnsi="Times New Roman" w:eastAsia="黑体" w:cs="Times New Roman"/>
          <w:sz w:val="24"/>
        </w:rPr>
        <w:t>5、典型虚点缺少代表性说明</w:t>
      </w:r>
    </w:p>
    <w:p w14:paraId="7AC6704C">
      <w:pPr>
        <w:keepNext w:val="0"/>
        <w:keepLines/>
        <w:pageBreakBefore w:val="0"/>
        <w:spacing w:before="0" w:after="120" w:line="300" w:lineRule="auto"/>
        <w:ind w:firstLine="482"/>
      </w:pPr>
      <w:r>
        <w:rPr>
          <w:rFonts w:ascii="Times New Roman" w:hAnsi="Times New Roman" w:eastAsia="宋体" w:cs="Times New Roman"/>
          <w:sz w:val="24"/>
        </w:rPr>
        <w:t>泊头市原反馈第2页记录提取775个典型虚点，但未给出虚点环境组合与对应土种特征相符的实例。应补充选点规则、空间覆盖及代表性依据，避免仅列点数和方法名称。</w:t>
      </w:r>
    </w:p>
    <w:p w14:paraId="1F34E647">
      <w:pPr>
        <w:keepNext/>
        <w:keepLines/>
        <w:pageBreakBefore w:val="0"/>
        <w:spacing w:before="80" w:after="120" w:line="300" w:lineRule="auto"/>
        <w:ind w:firstLine="0"/>
      </w:pPr>
      <w:r>
        <w:rPr>
          <w:rFonts w:ascii="Times New Roman" w:hAnsi="Times New Roman" w:eastAsia="黑体" w:cs="Times New Roman"/>
          <w:sz w:val="24"/>
        </w:rPr>
        <w:t>6、环境变量筛选与合理性解释不足</w:t>
      </w:r>
    </w:p>
    <w:p w14:paraId="2119CF37">
      <w:pPr>
        <w:keepNext w:val="0"/>
        <w:keepLines/>
        <w:pageBreakBefore w:val="0"/>
        <w:spacing w:before="0" w:after="120" w:line="300" w:lineRule="auto"/>
        <w:ind w:firstLine="482"/>
      </w:pPr>
      <w:r>
        <w:rPr>
          <w:rFonts w:ascii="Times New Roman" w:hAnsi="Times New Roman" w:eastAsia="宋体" w:cs="Times New Roman"/>
          <w:sz w:val="24"/>
        </w:rPr>
        <w:t>青县原反馈第2页指出未列环境变量重要性排序及评述；泊头市第2页提出共线性说明不足。应结合县域成土条件、变量来源和模型结果解释选取理由，不以某类变量排序靠前单独判错。</w:t>
      </w:r>
    </w:p>
    <w:p w14:paraId="224830A3">
      <w:pPr>
        <w:keepNext/>
        <w:keepLines/>
        <w:pageBreakBefore w:val="0"/>
        <w:spacing w:before="0" w:after="120" w:line="240" w:lineRule="auto"/>
        <w:ind w:firstLine="0"/>
        <w:jc w:val="center"/>
      </w:pPr>
      <w:r>
        <w:drawing>
          <wp:inline distT="0" distB="0" distL="114300" distR="114300">
            <wp:extent cx="5219700" cy="6718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
                    <a:stretch>
                      <a:fillRect/>
                    </a:stretch>
                  </pic:blipFill>
                  <pic:spPr>
                    <a:xfrm>
                      <a:off x="0" y="0"/>
                      <a:ext cx="5220000" cy="672085"/>
                    </a:xfrm>
                    <a:prstGeom prst="rect">
                      <a:avLst/>
                    </a:prstGeom>
                  </pic:spPr>
                </pic:pic>
              </a:graphicData>
            </a:graphic>
          </wp:inline>
        </w:drawing>
      </w:r>
    </w:p>
    <w:p w14:paraId="2D2BAF12">
      <w:pPr>
        <w:keepNext w:val="0"/>
        <w:keepLines/>
        <w:pageBreakBefore w:val="0"/>
        <w:spacing w:before="0" w:after="120" w:line="300" w:lineRule="auto"/>
        <w:ind w:firstLine="0"/>
        <w:jc w:val="center"/>
      </w:pPr>
      <w:r>
        <w:rPr>
          <w:rFonts w:ascii="Times New Roman" w:hAnsi="Times New Roman" w:eastAsia="宋体" w:cs="Times New Roman"/>
          <w:sz w:val="20"/>
        </w:rPr>
        <w:t>泊头市原反馈PDF第2页：虚点代表性问题记录</w:t>
      </w:r>
    </w:p>
    <w:p w14:paraId="607D3204">
      <w:pPr>
        <w:keepNext/>
        <w:keepLines/>
        <w:pageBreakBefore w:val="1"/>
        <w:spacing w:before="80" w:after="120" w:line="300" w:lineRule="auto"/>
        <w:ind w:firstLine="0"/>
      </w:pPr>
      <w:r>
        <w:rPr>
          <w:rFonts w:ascii="Times New Roman" w:hAnsi="Times New Roman" w:eastAsia="黑体" w:cs="Times New Roman"/>
          <w:sz w:val="24"/>
        </w:rPr>
        <w:t>7、推测制图效果分析过于笼统</w:t>
      </w:r>
    </w:p>
    <w:p w14:paraId="2D4C12FE">
      <w:pPr>
        <w:keepNext w:val="0"/>
        <w:keepLines/>
        <w:pageBreakBefore w:val="0"/>
        <w:spacing w:before="0" w:after="120" w:line="300" w:lineRule="auto"/>
        <w:ind w:firstLine="482"/>
      </w:pPr>
      <w:r>
        <w:rPr>
          <w:rFonts w:ascii="Times New Roman" w:hAnsi="Times New Roman" w:eastAsia="宋体" w:cs="Times New Roman"/>
          <w:sz w:val="24"/>
        </w:rPr>
        <w:t>泊头市原反馈第3页记录总体精度0.57、Kappa系数0.414，但未说明各土种的预测优劣及原因。应结合分类型验证结果解释误分与局限，说明预测成果如何用于最终修编。</w:t>
      </w:r>
    </w:p>
    <w:p w14:paraId="1079FDB3">
      <w:pPr>
        <w:keepNext/>
        <w:keepLines/>
        <w:pageBreakBefore w:val="0"/>
        <w:spacing w:before="80" w:after="120" w:line="300" w:lineRule="auto"/>
        <w:ind w:firstLine="0"/>
      </w:pPr>
      <w:r>
        <w:rPr>
          <w:rFonts w:ascii="Times New Roman" w:hAnsi="Times New Roman" w:eastAsia="黑体" w:cs="Times New Roman"/>
          <w:sz w:val="24"/>
        </w:rPr>
        <w:t>8、图斑重叠与缝隙需要空间复核</w:t>
      </w:r>
    </w:p>
    <w:p w14:paraId="12967E2A">
      <w:pPr>
        <w:keepNext w:val="0"/>
        <w:keepLines/>
        <w:pageBreakBefore w:val="0"/>
        <w:spacing w:before="0" w:after="120" w:line="300" w:lineRule="auto"/>
        <w:ind w:firstLine="482"/>
      </w:pPr>
      <w:r>
        <w:rPr>
          <w:rFonts w:ascii="Times New Roman" w:hAnsi="Times New Roman" w:eastAsia="宋体" w:cs="Times New Roman"/>
          <w:sz w:val="24"/>
        </w:rPr>
        <w:t>青县原反馈第7页记录3处重叠和1处缝隙提示。应回到对应图斑核查几何关系、边界和容差，区分实际拓扑缺陷与合法分隔，修正后重新检查并保留记录。</w:t>
      </w:r>
    </w:p>
    <w:p w14:paraId="7A15B162">
      <w:pPr>
        <w:keepNext/>
        <w:keepLines/>
        <w:pageBreakBefore w:val="0"/>
        <w:spacing w:before="80" w:after="120" w:line="300" w:lineRule="auto"/>
        <w:ind w:firstLine="0"/>
      </w:pPr>
      <w:r>
        <w:rPr>
          <w:rFonts w:ascii="Times New Roman" w:hAnsi="Times New Roman" w:eastAsia="黑体" w:cs="Times New Roman"/>
          <w:sz w:val="24"/>
        </w:rPr>
        <w:t>9、过程数据与成果数据存放关系不清</w:t>
      </w:r>
    </w:p>
    <w:p w14:paraId="38E4C355">
      <w:pPr>
        <w:keepNext w:val="0"/>
        <w:keepLines/>
        <w:pageBreakBefore w:val="0"/>
        <w:spacing w:before="0" w:after="120" w:line="300" w:lineRule="auto"/>
        <w:ind w:firstLine="482"/>
      </w:pPr>
      <w:r>
        <w:rPr>
          <w:rFonts w:ascii="Times New Roman" w:hAnsi="Times New Roman" w:eastAsia="宋体" w:cs="Times New Roman"/>
          <w:sz w:val="24"/>
        </w:rPr>
        <w:t>青县原反馈第18页指出室内校核前后图斑未分别组织、推测图与不确定性图存放位置不当。应按数据用途核清HISTORY、PROCESS、RESULT层级，保持输入、过程与最终成果可追溯。</w:t>
      </w:r>
    </w:p>
    <w:p w14:paraId="76B46FE2">
      <w:pPr>
        <w:keepNext/>
        <w:keepLines/>
        <w:pageBreakBefore w:val="0"/>
        <w:spacing w:before="0" w:after="120" w:line="240" w:lineRule="auto"/>
        <w:ind w:firstLine="0"/>
        <w:jc w:val="center"/>
      </w:pPr>
      <w:r>
        <w:drawing>
          <wp:inline distT="0" distB="0" distL="114300" distR="114300">
            <wp:extent cx="3840480" cy="2159635"/>
            <wp:effectExtent l="0" t="0" r="7620" b="120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2"/>
                    <a:stretch>
                      <a:fillRect/>
                    </a:stretch>
                  </pic:blipFill>
                  <pic:spPr>
                    <a:xfrm>
                      <a:off x="0" y="0"/>
                      <a:ext cx="3840674" cy="2160000"/>
                    </a:xfrm>
                    <a:prstGeom prst="rect">
                      <a:avLst/>
                    </a:prstGeom>
                  </pic:spPr>
                </pic:pic>
              </a:graphicData>
            </a:graphic>
          </wp:inline>
        </w:drawing>
      </w:r>
    </w:p>
    <w:p w14:paraId="2C675572">
      <w:pPr>
        <w:keepNext w:val="0"/>
        <w:keepLines/>
        <w:pageBreakBefore w:val="0"/>
        <w:spacing w:before="0" w:after="120" w:line="300" w:lineRule="auto"/>
        <w:ind w:firstLine="0"/>
        <w:jc w:val="center"/>
      </w:pPr>
      <w:r>
        <w:rPr>
          <w:rFonts w:ascii="Times New Roman" w:hAnsi="Times New Roman" w:eastAsia="宋体" w:cs="Times New Roman"/>
          <w:sz w:val="20"/>
        </w:rPr>
        <w:t>青县原反馈PDF第7页：拓扑检测提示，须回到原数据人工核实</w:t>
      </w:r>
    </w:p>
    <w:p w14:paraId="0813DB03">
      <w:pPr>
        <w:keepNext/>
        <w:keepLines/>
        <w:pageBreakBefore w:val="1"/>
        <w:spacing w:before="80" w:after="120" w:line="300" w:lineRule="auto"/>
        <w:ind w:firstLine="0"/>
      </w:pPr>
      <w:r>
        <w:rPr>
          <w:rFonts w:ascii="Times New Roman" w:hAnsi="Times New Roman" w:eastAsia="黑体" w:cs="Times New Roman"/>
          <w:sz w:val="24"/>
        </w:rPr>
        <w:t>10、图面要素与成果包表达不完整</w:t>
      </w:r>
    </w:p>
    <w:p w14:paraId="1A3174AE">
      <w:pPr>
        <w:keepNext w:val="0"/>
        <w:keepLines/>
        <w:pageBreakBefore w:val="0"/>
        <w:spacing w:before="0" w:after="120" w:line="300" w:lineRule="auto"/>
        <w:ind w:firstLine="482"/>
      </w:pPr>
      <w:r>
        <w:rPr>
          <w:rFonts w:ascii="Times New Roman" w:hAnsi="Times New Roman" w:eastAsia="宋体" w:cs="Times New Roman"/>
          <w:sz w:val="24"/>
        </w:rPr>
        <w:t>青县原反馈第8、12—14页涉及图形比例尺、面积汇总、地物注记及编制人员等问题。应按适用成图要求逐项核对，确保图例、行政界线、地形信息和编制信息能够支持独立读图。</w:t>
      </w:r>
    </w:p>
    <w:p w14:paraId="28B20467">
      <w:pPr>
        <w:keepNext/>
        <w:keepLines/>
        <w:pageBreakBefore w:val="0"/>
        <w:spacing w:before="80" w:after="120" w:line="300" w:lineRule="auto"/>
        <w:ind w:firstLine="0"/>
      </w:pPr>
      <w:r>
        <w:rPr>
          <w:rFonts w:ascii="Times New Roman" w:hAnsi="Times New Roman" w:eastAsia="黑体" w:cs="Times New Roman"/>
          <w:sz w:val="24"/>
        </w:rPr>
        <w:t>11、校核点分类合计与总数不一致</w:t>
      </w:r>
    </w:p>
    <w:p w14:paraId="53C87E18">
      <w:pPr>
        <w:keepNext w:val="0"/>
        <w:keepLines/>
        <w:pageBreakBefore w:val="0"/>
        <w:spacing w:before="0" w:after="120" w:line="300" w:lineRule="auto"/>
        <w:ind w:firstLine="482"/>
      </w:pPr>
      <w:r>
        <w:rPr>
          <w:rFonts w:ascii="Times New Roman" w:hAnsi="Times New Roman" w:eastAsia="宋体" w:cs="Times New Roman"/>
          <w:sz w:val="24"/>
        </w:rPr>
        <w:t>泊头市原反馈第6页载明，工作报告写校核点共137个，分项77个与68个合计145个；技术报告另有分项合计不符。应核对是否存在重复计数，并说明统计口径后统一表文。</w:t>
      </w:r>
    </w:p>
    <w:p w14:paraId="64C148C8">
      <w:pPr>
        <w:keepNext/>
        <w:keepLines/>
        <w:pageBreakBefore w:val="0"/>
        <w:spacing w:before="80" w:after="120" w:line="300" w:lineRule="auto"/>
        <w:ind w:firstLine="0"/>
      </w:pPr>
      <w:r>
        <w:rPr>
          <w:rFonts w:ascii="Times New Roman" w:hAnsi="Times New Roman" w:eastAsia="黑体" w:cs="Times New Roman"/>
          <w:sz w:val="24"/>
        </w:rPr>
        <w:t>12、地图工程依赖路径与出图样式未同步</w:t>
      </w:r>
    </w:p>
    <w:p w14:paraId="6FDC2AC5">
      <w:pPr>
        <w:keepNext w:val="0"/>
        <w:keepLines/>
        <w:pageBreakBefore w:val="0"/>
        <w:spacing w:before="0" w:after="120" w:line="300" w:lineRule="auto"/>
        <w:ind w:firstLine="482"/>
      </w:pPr>
      <w:r>
        <w:rPr>
          <w:rFonts w:ascii="Times New Roman" w:hAnsi="Times New Roman" w:eastAsia="宋体" w:cs="Times New Roman"/>
          <w:sz w:val="24"/>
        </w:rPr>
        <w:t>泊头市原反馈第10页指出地图文档未设置相对路径，并要求核对工程样式与成果图片。应在交付目录中重开工程，检查数据链接、符号、图例和输出图是否对应，保证接收方能够复现。</w:t>
      </w:r>
    </w:p>
    <w:p w14:paraId="67B971AA">
      <w:pPr>
        <w:keepNext/>
        <w:keepLines/>
        <w:pageBreakBefore w:val="0"/>
        <w:spacing w:before="0" w:after="120" w:line="240" w:lineRule="auto"/>
        <w:ind w:firstLine="0"/>
        <w:jc w:val="center"/>
      </w:pPr>
      <w:r>
        <w:drawing>
          <wp:inline distT="0" distB="0" distL="114300" distR="114300">
            <wp:extent cx="5219700" cy="634365"/>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3"/>
                    <a:stretch>
                      <a:fillRect/>
                    </a:stretch>
                  </pic:blipFill>
                  <pic:spPr>
                    <a:xfrm>
                      <a:off x="0" y="0"/>
                      <a:ext cx="5220000" cy="634976"/>
                    </a:xfrm>
                    <a:prstGeom prst="rect">
                      <a:avLst/>
                    </a:prstGeom>
                  </pic:spPr>
                </pic:pic>
              </a:graphicData>
            </a:graphic>
          </wp:inline>
        </w:drawing>
      </w:r>
    </w:p>
    <w:p w14:paraId="51504A59">
      <w:pPr>
        <w:keepNext w:val="0"/>
        <w:keepLines/>
        <w:pageBreakBefore w:val="0"/>
        <w:spacing w:before="0" w:after="120" w:line="300" w:lineRule="auto"/>
        <w:ind w:firstLine="0"/>
        <w:jc w:val="center"/>
      </w:pPr>
      <w:r>
        <w:rPr>
          <w:rFonts w:ascii="Times New Roman" w:hAnsi="Times New Roman" w:eastAsia="宋体" w:cs="Times New Roman"/>
          <w:sz w:val="20"/>
        </w:rPr>
        <w:t>青县原反馈PDF第1页：成果布局包与图层样式组织要求</w:t>
      </w:r>
    </w:p>
    <w:p w14:paraId="714A5FAA">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土壤属性图  问题1（组员苏海菲）</w:t>
      </w:r>
    </w:p>
    <w:p w14:paraId="4BB5C455">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数据库图层命名不统一</w:t>
      </w:r>
    </w:p>
    <w:p w14:paraId="50A991ED">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问题描述：既有反馈截图中，部分基础图层仍使用中文名称，未按成果组织要求采用规定的图层名称。应核对专题成果目录与图层对应关系，并保留清晰的中文别名。</w:t>
      </w:r>
    </w:p>
    <w:p w14:paraId="7BCF354F">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涉及成果：邯郸市涉县，属性图成果数据库。</w:t>
      </w:r>
    </w:p>
    <w:p w14:paraId="1F63709D">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规范要求：《数据库规范（修订版）》第7.2.1节要求检查数据库和成果目录命名，第7.2.2.2节要求核对图层命名与类型。</w:t>
      </w:r>
    </w:p>
    <w:p w14:paraId="2FA21605">
      <w:pPr>
        <w:keepNext/>
        <w:keepLines/>
        <w:pageBreakBefore w:val="0"/>
        <w:widowControl/>
        <w:spacing w:before="0" w:after="40" w:line="240" w:lineRule="auto"/>
        <w:ind w:firstLine="0"/>
        <w:jc w:val="center"/>
      </w:pPr>
      <w:r>
        <w:drawing>
          <wp:inline distT="0" distB="0" distL="114300" distR="114300">
            <wp:extent cx="4402455" cy="29514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403076" cy="2951999"/>
                    </a:xfrm>
                    <a:prstGeom prst="rect">
                      <a:avLst/>
                    </a:prstGeom>
                  </pic:spPr>
                </pic:pic>
              </a:graphicData>
            </a:graphic>
          </wp:inline>
        </w:drawing>
      </w:r>
    </w:p>
    <w:p w14:paraId="647FE87D">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图4-1  问题截图  原件PDF第1页</w:t>
      </w:r>
    </w:p>
    <w:p w14:paraId="5CDA67E7">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截图来源：涉县原属性图反馈PDF第1页；为既有专题案例，不计入2026年第一次个人类型图反馈量。</w:t>
      </w:r>
    </w:p>
    <w:p w14:paraId="0073BA9D">
      <w:pPr>
        <w:keepNext/>
        <w:keepLines/>
        <w:pageBreakBefore w:val="0"/>
        <w:widowControl/>
        <w:spacing w:before="0" w:after="40" w:line="240" w:lineRule="auto"/>
        <w:ind w:firstLine="0"/>
        <w:jc w:val="center"/>
      </w:pPr>
      <w:r>
        <w:drawing>
          <wp:inline distT="0" distB="0" distL="114300" distR="114300">
            <wp:extent cx="5219700" cy="1091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20000" cy="1092050"/>
                    </a:xfrm>
                    <a:prstGeom prst="rect">
                      <a:avLst/>
                    </a:prstGeom>
                  </pic:spPr>
                </pic:pic>
              </a:graphicData>
            </a:graphic>
          </wp:inline>
        </w:drawing>
      </w:r>
    </w:p>
    <w:p w14:paraId="30DC1332">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图4-N  规范原文  PDF第34页</w:t>
      </w:r>
    </w:p>
    <w:p w14:paraId="17D2A374">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土壤属性图  问题2（组员苏海菲）</w:t>
      </w:r>
    </w:p>
    <w:p w14:paraId="306FE527">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图廓编制信息缺少调查时间</w:t>
      </w:r>
    </w:p>
    <w:p w14:paraId="3A0FDD73">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问题描述：原反馈所附图廓信息列出了制图单位和制图时间，未列土壤调查时间。应区分数据调查时点与图件编制时点，完整填写编制信息。</w:t>
      </w:r>
    </w:p>
    <w:p w14:paraId="64077FA7">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涉及成果：邯郸市涉县，土壤属性专题图。</w:t>
      </w:r>
    </w:p>
    <w:p w14:paraId="3EFBE45E">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规范要求：《土壤属性图与专题图编制技术规范（修订版）》第8.1节明确编制内容包括制图时间、土壤调查时间等。</w:t>
      </w:r>
    </w:p>
    <w:p w14:paraId="759FA06E">
      <w:pPr>
        <w:keepNext/>
        <w:keepLines/>
        <w:pageBreakBefore w:val="0"/>
        <w:widowControl/>
        <w:spacing w:before="0" w:after="40" w:line="240" w:lineRule="auto"/>
        <w:ind w:firstLine="0"/>
        <w:jc w:val="center"/>
      </w:pPr>
      <w:r>
        <w:drawing>
          <wp:inline distT="0" distB="0" distL="114300" distR="114300">
            <wp:extent cx="5219700" cy="1448435"/>
            <wp:effectExtent l="0" t="0" r="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20000" cy="1448897"/>
                    </a:xfrm>
                    <a:prstGeom prst="rect">
                      <a:avLst/>
                    </a:prstGeom>
                  </pic:spPr>
                </pic:pic>
              </a:graphicData>
            </a:graphic>
          </wp:inline>
        </w:drawing>
      </w:r>
    </w:p>
    <w:p w14:paraId="30D9ABC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图5-1  问题截图  原件PDF第5页</w:t>
      </w:r>
    </w:p>
    <w:p w14:paraId="7C1D4A91">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截图来源：涉县原属性图反馈PDF第5页。</w:t>
      </w:r>
    </w:p>
    <w:p w14:paraId="389E8DCF">
      <w:pPr>
        <w:keepNext/>
        <w:keepLines/>
        <w:pageBreakBefore w:val="0"/>
        <w:widowControl/>
        <w:spacing w:before="0" w:after="40" w:line="240" w:lineRule="auto"/>
        <w:ind w:firstLine="0"/>
        <w:jc w:val="center"/>
      </w:pPr>
      <w:r>
        <w:drawing>
          <wp:inline distT="0" distB="0" distL="114300" distR="114300">
            <wp:extent cx="5219700" cy="11398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20000" cy="1140100"/>
                    </a:xfrm>
                    <a:prstGeom prst="rect">
                      <a:avLst/>
                    </a:prstGeom>
                  </pic:spPr>
                </pic:pic>
              </a:graphicData>
            </a:graphic>
          </wp:inline>
        </w:drawing>
      </w:r>
    </w:p>
    <w:p w14:paraId="658760DA">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图5-N  规范原文  PDF第13页</w:t>
      </w:r>
    </w:p>
    <w:p w14:paraId="30CB9A47">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土壤属性图  问题3（组员苏海菲）</w:t>
      </w:r>
    </w:p>
    <w:p w14:paraId="0BDFBDEE">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历史比较的均值和单位前后不一致</w:t>
      </w:r>
    </w:p>
    <w:p w14:paraId="327BC148">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问题描述：原反馈中，正文写二普全县有效磷均值4.5 mg/kg，表37全县行写7.85，表头又标为g/kg。应同时核对原始数值与计量单位，确认可比口径后再计算变化幅度。</w:t>
      </w:r>
    </w:p>
    <w:p w14:paraId="6F7B2957">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涉及成果：邯郸市涉县，属性制图报告有效磷历史比较。</w:t>
      </w:r>
    </w:p>
    <w:p w14:paraId="7886173C">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规范要求：《市县级成果验收工作方案》表3.5-2“历史变化”要求历史属性数据准确、全面，结果与结论可靠。</w:t>
      </w:r>
    </w:p>
    <w:p w14:paraId="558E7038">
      <w:pPr>
        <w:keepNext/>
        <w:keepLines/>
        <w:pageBreakBefore w:val="0"/>
        <w:widowControl/>
        <w:spacing w:before="0" w:after="40" w:line="240" w:lineRule="auto"/>
        <w:ind w:firstLine="0"/>
        <w:jc w:val="center"/>
      </w:pPr>
      <w:r>
        <w:drawing>
          <wp:inline distT="0" distB="0" distL="114300" distR="114300">
            <wp:extent cx="2785745" cy="9525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2786376" cy="952675"/>
                    </a:xfrm>
                    <a:prstGeom prst="rect">
                      <a:avLst/>
                    </a:prstGeom>
                  </pic:spPr>
                </pic:pic>
              </a:graphicData>
            </a:graphic>
          </wp:inline>
        </w:drawing>
      </w:r>
    </w:p>
    <w:p w14:paraId="26C37F50">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图6-1  问题截图  原件PDF第8页</w:t>
      </w:r>
    </w:p>
    <w:p w14:paraId="032D0F84">
      <w:pPr>
        <w:keepNext/>
        <w:keepLines/>
        <w:pageBreakBefore w:val="0"/>
        <w:widowControl/>
        <w:spacing w:before="0" w:after="40" w:line="240" w:lineRule="auto"/>
        <w:ind w:firstLine="0"/>
        <w:jc w:val="center"/>
      </w:pPr>
      <w:r>
        <w:drawing>
          <wp:inline distT="0" distB="0" distL="114300" distR="114300">
            <wp:extent cx="2785745" cy="1998980"/>
            <wp:effectExtent l="0" t="0" r="825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2786376" cy="1999324"/>
                    </a:xfrm>
                    <a:prstGeom prst="rect">
                      <a:avLst/>
                    </a:prstGeom>
                  </pic:spPr>
                </pic:pic>
              </a:graphicData>
            </a:graphic>
          </wp:inline>
        </w:drawing>
      </w:r>
    </w:p>
    <w:p w14:paraId="74294B00">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图6-2  问题截图  原件PDF第9页</w:t>
      </w:r>
    </w:p>
    <w:p w14:paraId="357BE1FA">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截图来源：涉县原属性图反馈PDF第8—9页。</w:t>
      </w:r>
    </w:p>
    <w:p w14:paraId="76C8B4DB">
      <w:pPr>
        <w:keepNext/>
        <w:keepLines/>
        <w:pageBreakBefore w:val="0"/>
        <w:widowControl/>
        <w:spacing w:before="0" w:after="40" w:line="240" w:lineRule="auto"/>
        <w:ind w:firstLine="0"/>
        <w:jc w:val="center"/>
      </w:pPr>
      <w:r>
        <w:drawing>
          <wp:inline distT="0" distB="0" distL="114300" distR="114300">
            <wp:extent cx="5219700" cy="1306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20000" cy="1307412"/>
                    </a:xfrm>
                    <a:prstGeom prst="rect">
                      <a:avLst/>
                    </a:prstGeom>
                  </pic:spPr>
                </pic:pic>
              </a:graphicData>
            </a:graphic>
          </wp:inline>
        </w:drawing>
      </w:r>
    </w:p>
    <w:p w14:paraId="704CB9C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图6-N  规范原文  PDF第18页</w:t>
      </w:r>
    </w:p>
    <w:p w14:paraId="768F11D8">
      <w:pPr>
        <w:keepNext/>
        <w:keepLines/>
        <w:pageBreakBefore/>
        <w:spacing w:before="80" w:after="120" w:line="300" w:lineRule="auto"/>
        <w:ind w:firstLine="0"/>
      </w:pPr>
      <w:r>
        <w:rPr>
          <w:rFonts w:ascii="Times New Roman" w:hAnsi="Times New Roman" w:eastAsia="黑体" w:cs="Times New Roman"/>
          <w:sz w:val="24"/>
        </w:rPr>
        <w:t>土壤属性图 其他典型问题（4-6）（组员苏海菲）</w:t>
      </w:r>
    </w:p>
    <w:p w14:paraId="2A86B6E3">
      <w:pPr>
        <w:keepNext/>
        <w:keepLines/>
        <w:pageBreakBefore w:val="0"/>
        <w:spacing w:before="80" w:after="120" w:line="300" w:lineRule="auto"/>
        <w:ind w:firstLine="0"/>
      </w:pPr>
      <w:r>
        <w:rPr>
          <w:rFonts w:ascii="Times New Roman" w:hAnsi="Times New Roman" w:eastAsia="黑体" w:cs="Times New Roman"/>
          <w:sz w:val="24"/>
        </w:rPr>
        <w:t>4、样点空间分布说明不足</w:t>
      </w:r>
    </w:p>
    <w:p w14:paraId="49CF85FC">
      <w:pPr>
        <w:keepNext w:val="0"/>
        <w:keepLines/>
        <w:pageBreakBefore w:val="0"/>
        <w:spacing w:before="0" w:after="120" w:line="300" w:lineRule="auto"/>
        <w:ind w:firstLine="482"/>
      </w:pPr>
      <w:r>
        <w:rPr>
          <w:rFonts w:ascii="Times New Roman" w:hAnsi="Times New Roman" w:eastAsia="宋体" w:cs="Times New Roman"/>
          <w:sz w:val="24"/>
        </w:rPr>
        <w:t>涉县原反馈第7页指出报告缺少土壤样点空间分布图。应补充实际采用样点的位置与覆盖说明，便于判断样点对主要地类、地形和土壤类型的代表性。</w:t>
      </w:r>
    </w:p>
    <w:p w14:paraId="5963A0D0">
      <w:pPr>
        <w:keepNext/>
        <w:keepLines/>
        <w:pageBreakBefore w:val="0"/>
        <w:spacing w:before="80" w:after="120" w:line="300" w:lineRule="auto"/>
        <w:ind w:firstLine="0"/>
      </w:pPr>
      <w:r>
        <w:rPr>
          <w:rFonts w:ascii="Times New Roman" w:hAnsi="Times New Roman" w:eastAsia="黑体" w:cs="Times New Roman"/>
          <w:sz w:val="24"/>
        </w:rPr>
        <w:t>5、环境变量来源与时点不明确</w:t>
      </w:r>
    </w:p>
    <w:p w14:paraId="3E2CC945">
      <w:pPr>
        <w:keepNext w:val="0"/>
        <w:keepLines/>
        <w:pageBreakBefore w:val="0"/>
        <w:spacing w:before="0" w:after="120" w:line="300" w:lineRule="auto"/>
        <w:ind w:firstLine="482"/>
      </w:pPr>
      <w:r>
        <w:rPr>
          <w:rFonts w:ascii="Times New Roman" w:hAnsi="Times New Roman" w:eastAsia="宋体" w:cs="Times New Roman"/>
          <w:sz w:val="24"/>
        </w:rPr>
        <w:t>涉县原反馈第3—4页指出土地利用数据年份、环境变量制备年限和长期序列使用情况交代不足。应明确各变量来源、时间范围、分辨率和预处理过程，核对其与本轮调查时点的适配性。</w:t>
      </w:r>
    </w:p>
    <w:p w14:paraId="59CAC9D4">
      <w:pPr>
        <w:keepNext/>
        <w:keepLines/>
        <w:pageBreakBefore w:val="0"/>
        <w:spacing w:before="80" w:after="120" w:line="300" w:lineRule="auto"/>
        <w:ind w:firstLine="0"/>
      </w:pPr>
      <w:r>
        <w:rPr>
          <w:rFonts w:ascii="Times New Roman" w:hAnsi="Times New Roman" w:eastAsia="黑体" w:cs="Times New Roman"/>
          <w:sz w:val="24"/>
        </w:rPr>
        <w:t>6、变量预处理和共线性处置说明不足</w:t>
      </w:r>
    </w:p>
    <w:p w14:paraId="269FC669">
      <w:pPr>
        <w:keepNext w:val="0"/>
        <w:keepLines/>
        <w:pageBreakBefore w:val="0"/>
        <w:spacing w:before="0" w:after="120" w:line="300" w:lineRule="auto"/>
        <w:ind w:firstLine="482"/>
      </w:pPr>
      <w:r>
        <w:rPr>
          <w:rFonts w:ascii="Times New Roman" w:hAnsi="Times New Roman" w:eastAsia="宋体" w:cs="Times New Roman"/>
          <w:sz w:val="24"/>
        </w:rPr>
        <w:t>涉县原反馈第3、7页涉及母岩母质类别变量编码及入模变量共线性说明。应记录类别编码、变量筛选与相关性处理，核实处理方法是否与模型实际输入一致。</w:t>
      </w:r>
    </w:p>
    <w:p w14:paraId="38EF6E7A">
      <w:pPr>
        <w:keepNext/>
        <w:keepLines/>
        <w:pageBreakBefore w:val="0"/>
        <w:spacing w:before="0" w:after="120" w:line="240" w:lineRule="auto"/>
        <w:ind w:firstLine="0"/>
        <w:jc w:val="center"/>
      </w:pPr>
      <w:r>
        <w:drawing>
          <wp:inline distT="0" distB="0" distL="114300" distR="114300">
            <wp:extent cx="5219700" cy="112712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1"/>
                    <a:stretch>
                      <a:fillRect/>
                    </a:stretch>
                  </pic:blipFill>
                  <pic:spPr>
                    <a:xfrm>
                      <a:off x="0" y="0"/>
                      <a:ext cx="5220000" cy="1127276"/>
                    </a:xfrm>
                    <a:prstGeom prst="rect">
                      <a:avLst/>
                    </a:prstGeom>
                  </pic:spPr>
                </pic:pic>
              </a:graphicData>
            </a:graphic>
          </wp:inline>
        </w:drawing>
      </w:r>
    </w:p>
    <w:p w14:paraId="64ECC6B3">
      <w:pPr>
        <w:keepNext w:val="0"/>
        <w:keepLines/>
        <w:pageBreakBefore w:val="0"/>
        <w:spacing w:before="0" w:after="120" w:line="300" w:lineRule="auto"/>
        <w:ind w:firstLine="0"/>
        <w:jc w:val="center"/>
      </w:pPr>
      <w:r>
        <w:rPr>
          <w:rFonts w:ascii="Times New Roman" w:hAnsi="Times New Roman" w:eastAsia="宋体" w:cs="Times New Roman"/>
          <w:sz w:val="20"/>
        </w:rPr>
        <w:t>涉县原属性图反馈PDF第7页：样点分布与共线性说明问题</w:t>
      </w:r>
    </w:p>
    <w:p w14:paraId="1B0025D3">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土壤退化与障碍分析  问题1</w:t>
      </w:r>
    </w:p>
    <w:p w14:paraId="182D68C3">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同一指标的全县均值前后不一致</w:t>
      </w:r>
    </w:p>
    <w:p w14:paraId="6954C067">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问题描述：报告第7页将全县有机质均值分别写为13.12和13.25 g/kg，第8页表1.1合计及正文为17.17 g/kg。应核对所用数据、地类范围与统计方法，统一全县均值。</w:t>
      </w:r>
    </w:p>
    <w:p w14:paraId="001FD113">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涉及成果：石家庄市赞皇县，退化障碍专题报告。</w:t>
      </w:r>
    </w:p>
    <w:p w14:paraId="16675787">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规范要求：《市县级成果验收工作方案》表3.5-3“现状分析”要求分布、面积、程度有可靠数据支撑，结果与结论可靠。</w:t>
      </w:r>
    </w:p>
    <w:p w14:paraId="5928956B">
      <w:pPr>
        <w:keepNext/>
        <w:keepLines/>
        <w:pageBreakBefore w:val="0"/>
        <w:widowControl/>
        <w:spacing w:before="0" w:after="40" w:line="240" w:lineRule="auto"/>
        <w:ind w:firstLine="0"/>
        <w:jc w:val="center"/>
      </w:pPr>
      <w:r>
        <w:drawing>
          <wp:inline distT="0" distB="0" distL="114300" distR="114300">
            <wp:extent cx="4601210" cy="521970"/>
            <wp:effectExtent l="0" t="0" r="889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4601468" cy="522305"/>
                    </a:xfrm>
                    <a:prstGeom prst="rect">
                      <a:avLst/>
                    </a:prstGeom>
                  </pic:spPr>
                </pic:pic>
              </a:graphicData>
            </a:graphic>
          </wp:inline>
        </w:drawing>
      </w:r>
    </w:p>
    <w:p w14:paraId="6E1F8BE7">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图7-1  问题截图  原件PDF第7页</w:t>
      </w:r>
    </w:p>
    <w:p w14:paraId="6387B3F2">
      <w:pPr>
        <w:keepNext/>
        <w:keepLines/>
        <w:pageBreakBefore w:val="0"/>
        <w:widowControl/>
        <w:spacing w:before="0" w:after="40" w:line="240" w:lineRule="auto"/>
        <w:ind w:firstLine="0"/>
        <w:jc w:val="center"/>
      </w:pPr>
      <w:r>
        <w:drawing>
          <wp:inline distT="0" distB="0" distL="114300" distR="114300">
            <wp:extent cx="4601210" cy="1540510"/>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601468" cy="1541017"/>
                    </a:xfrm>
                    <a:prstGeom prst="rect">
                      <a:avLst/>
                    </a:prstGeom>
                  </pic:spPr>
                </pic:pic>
              </a:graphicData>
            </a:graphic>
          </wp:inline>
        </w:drawing>
      </w:r>
    </w:p>
    <w:p w14:paraId="54431A6E">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图7-2  问题截图  原件PDF第7页</w:t>
      </w:r>
    </w:p>
    <w:p w14:paraId="04737BCA">
      <w:pPr>
        <w:keepNext/>
        <w:keepLines/>
        <w:pageBreakBefore w:val="0"/>
        <w:widowControl/>
        <w:spacing w:before="0" w:after="40" w:line="240" w:lineRule="auto"/>
        <w:ind w:firstLine="0"/>
        <w:jc w:val="center"/>
      </w:pPr>
      <w:r>
        <w:drawing>
          <wp:inline distT="0" distB="0" distL="114300" distR="114300">
            <wp:extent cx="4601210" cy="888365"/>
            <wp:effectExtent l="0" t="0" r="889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4601468" cy="888677"/>
                    </a:xfrm>
                    <a:prstGeom prst="rect">
                      <a:avLst/>
                    </a:prstGeom>
                  </pic:spPr>
                </pic:pic>
              </a:graphicData>
            </a:graphic>
          </wp:inline>
        </w:drawing>
      </w:r>
    </w:p>
    <w:p w14:paraId="723B08B1">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图7-3  问题截图  原件PDF第8页</w:t>
      </w:r>
    </w:p>
    <w:p w14:paraId="66F673E2">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截图来源：赞皇县《土壤退化、障碍与分析报告》，原件渲染PDF第7—8页。</w:t>
      </w:r>
    </w:p>
    <w:p w14:paraId="4DA02A9D">
      <w:pPr>
        <w:keepNext/>
        <w:keepLines/>
        <w:pageBreakBefore w:val="0"/>
        <w:widowControl/>
        <w:spacing w:before="0" w:after="40" w:line="240" w:lineRule="auto"/>
        <w:ind w:firstLine="0"/>
        <w:jc w:val="center"/>
      </w:pPr>
      <w:r>
        <w:drawing>
          <wp:inline distT="0" distB="0" distL="114300" distR="114300">
            <wp:extent cx="3530600" cy="13677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3530742" cy="1368000"/>
                    </a:xfrm>
                    <a:prstGeom prst="rect">
                      <a:avLst/>
                    </a:prstGeom>
                  </pic:spPr>
                </pic:pic>
              </a:graphicData>
            </a:graphic>
          </wp:inline>
        </w:drawing>
      </w:r>
    </w:p>
    <w:p w14:paraId="5E76925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图7-N  规范原文  PDF第19页</w:t>
      </w:r>
    </w:p>
    <w:p w14:paraId="71DB5261">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土壤退化与障碍分析  问题2</w:t>
      </w:r>
    </w:p>
    <w:p w14:paraId="271B4DEC">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低值区判断与分级表不一致</w:t>
      </w:r>
    </w:p>
    <w:p w14:paraId="3447EC54">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问题描述：第7页称林地无低有机质地块，但同页表1.1林地“≤10.0 g/kg”列为7323亩。应核对阈值和林地统计结果，修正与表格矛盾的文字结论。</w:t>
      </w:r>
    </w:p>
    <w:p w14:paraId="48F4B038">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涉及成果：石家庄市赞皇县，退化障碍专题报告。</w:t>
      </w:r>
    </w:p>
    <w:p w14:paraId="6B56653F">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规范要求：《市县级成果验收工作方案》表3.5-3“现状分析”要求现状分级分区对比充分，结果与结论可靠。</w:t>
      </w:r>
    </w:p>
    <w:p w14:paraId="0C671FE1">
      <w:pPr>
        <w:keepNext/>
        <w:keepLines/>
        <w:pageBreakBefore w:val="0"/>
        <w:widowControl/>
        <w:spacing w:before="0" w:after="40" w:line="240" w:lineRule="auto"/>
        <w:ind w:firstLine="0"/>
        <w:jc w:val="center"/>
      </w:pPr>
      <w:r>
        <w:drawing>
          <wp:inline distT="0" distB="0" distL="114300" distR="114300">
            <wp:extent cx="3975100" cy="13385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3975598" cy="1338874"/>
                    </a:xfrm>
                    <a:prstGeom prst="rect">
                      <a:avLst/>
                    </a:prstGeom>
                  </pic:spPr>
                </pic:pic>
              </a:graphicData>
            </a:graphic>
          </wp:inline>
        </w:drawing>
      </w:r>
    </w:p>
    <w:p w14:paraId="24D7ACF5">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图8-1  问题截图  原件PDF第7页</w:t>
      </w:r>
    </w:p>
    <w:p w14:paraId="30699C5C">
      <w:pPr>
        <w:keepNext/>
        <w:keepLines/>
        <w:pageBreakBefore w:val="0"/>
        <w:widowControl/>
        <w:spacing w:before="0" w:after="40" w:line="240" w:lineRule="auto"/>
        <w:ind w:firstLine="0"/>
        <w:jc w:val="center"/>
      </w:pPr>
      <w:r>
        <w:drawing>
          <wp:inline distT="0" distB="0" distL="114300" distR="114300">
            <wp:extent cx="3975100" cy="1612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3975598" cy="1613125"/>
                    </a:xfrm>
                    <a:prstGeom prst="rect">
                      <a:avLst/>
                    </a:prstGeom>
                  </pic:spPr>
                </pic:pic>
              </a:graphicData>
            </a:graphic>
          </wp:inline>
        </w:drawing>
      </w:r>
    </w:p>
    <w:p w14:paraId="6827D10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图8-2  问题截图  原件PDF第7页</w:t>
      </w:r>
    </w:p>
    <w:p w14:paraId="487AC15F">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截图来源：赞皇县《土壤退化、障碍与分析报告》，原件渲染PDF第7页。</w:t>
      </w:r>
    </w:p>
    <w:p w14:paraId="23C5449C">
      <w:pPr>
        <w:keepNext/>
        <w:keepLines/>
        <w:pageBreakBefore w:val="0"/>
        <w:widowControl/>
        <w:spacing w:before="0" w:after="40" w:line="240" w:lineRule="auto"/>
        <w:ind w:firstLine="0"/>
        <w:jc w:val="center"/>
      </w:pPr>
      <w:r>
        <w:drawing>
          <wp:inline distT="0" distB="0" distL="114300" distR="114300">
            <wp:extent cx="3530600" cy="13677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3530742" cy="1368000"/>
                    </a:xfrm>
                    <a:prstGeom prst="rect">
                      <a:avLst/>
                    </a:prstGeom>
                  </pic:spPr>
                </pic:pic>
              </a:graphicData>
            </a:graphic>
          </wp:inline>
        </w:drawing>
      </w:r>
    </w:p>
    <w:p w14:paraId="68002365">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图8-N  规范原文  PDF第19页</w:t>
      </w:r>
    </w:p>
    <w:p w14:paraId="253BA750">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土壤退化与障碍分析  问题3</w:t>
      </w:r>
    </w:p>
    <w:p w14:paraId="6FD1E836">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全县汇总均值低于全部分组均值</w:t>
      </w:r>
    </w:p>
    <w:p w14:paraId="7A419193">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问题描述：各地类有效锌均值为1.22—1.30 mg/kg，全县均值却列为1.20 mg/kg。若地类分组覆盖同一总体，汇总均值不应低于全部分组均值，应核对汇总范围、权重与原始数据。</w:t>
      </w:r>
    </w:p>
    <w:p w14:paraId="11DB10B7">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涉及成果：石家庄市赞皇县，退化障碍专题报告表1.10。</w:t>
      </w:r>
    </w:p>
    <w:p w14:paraId="521291BD">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规范要求：《市县级成果验收工作方案》表3.5-3“现状分析”要求数据可靠、结果正确，分类统计与总体统计应一致。</w:t>
      </w:r>
    </w:p>
    <w:p w14:paraId="3F399B58">
      <w:pPr>
        <w:keepNext/>
        <w:keepLines/>
        <w:pageBreakBefore w:val="0"/>
        <w:widowControl/>
        <w:spacing w:before="0" w:after="40" w:line="240" w:lineRule="auto"/>
        <w:ind w:firstLine="0"/>
        <w:jc w:val="center"/>
      </w:pPr>
      <w:r>
        <w:drawing>
          <wp:inline distT="0" distB="0" distL="114300" distR="114300">
            <wp:extent cx="5219700" cy="24593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220000" cy="2459889"/>
                    </a:xfrm>
                    <a:prstGeom prst="rect">
                      <a:avLst/>
                    </a:prstGeom>
                  </pic:spPr>
                </pic:pic>
              </a:graphicData>
            </a:graphic>
          </wp:inline>
        </w:drawing>
      </w:r>
    </w:p>
    <w:p w14:paraId="5E66A0F5">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图9-1  问题截图  原件PDF第14页</w:t>
      </w:r>
    </w:p>
    <w:p w14:paraId="443FD3BD">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截图来源：赞皇县《土壤退化、障碍与分析报告》，原件渲染PDF第14页。</w:t>
      </w:r>
    </w:p>
    <w:p w14:paraId="147D6BE8">
      <w:pPr>
        <w:keepNext/>
        <w:keepLines/>
        <w:pageBreakBefore w:val="0"/>
        <w:widowControl/>
        <w:spacing w:before="0" w:after="40" w:line="240" w:lineRule="auto"/>
        <w:ind w:firstLine="0"/>
        <w:jc w:val="center"/>
      </w:pPr>
      <w:r>
        <w:drawing>
          <wp:inline distT="0" distB="0" distL="114300" distR="114300">
            <wp:extent cx="3530600" cy="13677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3530742" cy="1368000"/>
                    </a:xfrm>
                    <a:prstGeom prst="rect">
                      <a:avLst/>
                    </a:prstGeom>
                  </pic:spPr>
                </pic:pic>
              </a:graphicData>
            </a:graphic>
          </wp:inline>
        </w:drawing>
      </w:r>
    </w:p>
    <w:p w14:paraId="097F96B2">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图9-N  规范原文  PDF第19页</w:t>
      </w:r>
    </w:p>
    <w:p w14:paraId="72929D95">
      <w:pPr>
        <w:keepNext/>
        <w:keepLines/>
        <w:pageBreakBefore/>
        <w:spacing w:before="80" w:after="120" w:line="300" w:lineRule="auto"/>
        <w:ind w:firstLine="0"/>
      </w:pPr>
      <w:r>
        <w:rPr>
          <w:rFonts w:ascii="Times New Roman" w:hAnsi="Times New Roman" w:eastAsia="黑体" w:cs="Times New Roman"/>
          <w:sz w:val="24"/>
        </w:rPr>
        <w:t>土壤退化与障碍分析 其他典型问题（4-6）</w:t>
      </w:r>
    </w:p>
    <w:p w14:paraId="0630666B">
      <w:pPr>
        <w:keepNext/>
        <w:keepLines/>
        <w:pageBreakBefore w:val="0"/>
        <w:spacing w:before="80" w:after="120" w:line="300" w:lineRule="auto"/>
        <w:ind w:firstLine="0"/>
      </w:pPr>
      <w:r>
        <w:rPr>
          <w:rFonts w:ascii="Times New Roman" w:hAnsi="Times New Roman" w:eastAsia="黑体" w:cs="Times New Roman"/>
          <w:sz w:val="24"/>
        </w:rPr>
        <w:t>4、同一低值类型在不同表中面积不一致</w:t>
      </w:r>
    </w:p>
    <w:p w14:paraId="29CD5909">
      <w:pPr>
        <w:keepNext w:val="0"/>
        <w:keepLines/>
        <w:pageBreakBefore w:val="0"/>
        <w:spacing w:before="0" w:after="120" w:line="300" w:lineRule="auto"/>
        <w:ind w:firstLine="482"/>
      </w:pPr>
      <w:r>
        <w:rPr>
          <w:rFonts w:ascii="Times New Roman" w:hAnsi="Times New Roman" w:eastAsia="宋体" w:cs="Times New Roman"/>
          <w:sz w:val="24"/>
        </w:rPr>
        <w:t>赞皇县报告PDF第8页表1.2列全氮≤0.75 g/kg面积105173亩，表1.3“全氮低”却列130280亩；园地分项也不一致。应核对分类条件与叠加统计，说明是否包含复合类型。</w:t>
      </w:r>
    </w:p>
    <w:p w14:paraId="2AD5C3A4">
      <w:pPr>
        <w:keepNext/>
        <w:keepLines/>
        <w:pageBreakBefore w:val="0"/>
        <w:spacing w:before="80" w:after="120" w:line="300" w:lineRule="auto"/>
        <w:ind w:firstLine="0"/>
      </w:pPr>
      <w:r>
        <w:rPr>
          <w:rFonts w:ascii="Times New Roman" w:hAnsi="Times New Roman" w:eastAsia="黑体" w:cs="Times New Roman"/>
          <w:sz w:val="24"/>
        </w:rPr>
        <w:t>5、缺素面积汇总遗漏部分地类</w:t>
      </w:r>
    </w:p>
    <w:p w14:paraId="6E547B50">
      <w:pPr>
        <w:keepNext w:val="0"/>
        <w:keepLines/>
        <w:pageBreakBefore w:val="0"/>
        <w:spacing w:before="0" w:after="120" w:line="300" w:lineRule="auto"/>
        <w:ind w:firstLine="482"/>
      </w:pPr>
      <w:r>
        <w:rPr>
          <w:rFonts w:ascii="Times New Roman" w:hAnsi="Times New Roman" w:eastAsia="宋体" w:cs="Times New Roman"/>
          <w:sz w:val="24"/>
        </w:rPr>
        <w:t>赞皇县报告PDF第14—15页表1.10列缺锌面积1159亩，表1.11列1106亩，差53亩；前表林地50亩、其他土地3亩在后表均为0。应逐项核对筛选范围及分组汇总。</w:t>
      </w:r>
    </w:p>
    <w:p w14:paraId="4A81B6C8">
      <w:pPr>
        <w:keepNext/>
        <w:keepLines/>
        <w:pageBreakBefore w:val="0"/>
        <w:spacing w:before="80" w:after="120" w:line="300" w:lineRule="auto"/>
        <w:ind w:firstLine="0"/>
      </w:pPr>
      <w:r>
        <w:rPr>
          <w:rFonts w:ascii="Times New Roman" w:hAnsi="Times New Roman" w:eastAsia="黑体" w:cs="Times New Roman"/>
          <w:sz w:val="24"/>
        </w:rPr>
        <w:t>6、障碍分布比例与面积计算不符</w:t>
      </w:r>
    </w:p>
    <w:p w14:paraId="55B73A48">
      <w:pPr>
        <w:keepNext w:val="0"/>
        <w:keepLines/>
        <w:pageBreakBefore w:val="0"/>
        <w:spacing w:before="0" w:after="120" w:line="300" w:lineRule="auto"/>
        <w:ind w:firstLine="482"/>
      </w:pPr>
      <w:r>
        <w:rPr>
          <w:rFonts w:ascii="Times New Roman" w:hAnsi="Times New Roman" w:eastAsia="宋体" w:cs="Times New Roman"/>
          <w:sz w:val="24"/>
        </w:rPr>
        <w:t>赞皇县报告PDF第19页称耕地占夹砂型障碍面积95%以上；第20页表1.13对应耕地2470、3552、293亩，合计6315亩，占7182亩约87.93%。应据同一范围重算比例并修正文字。</w:t>
      </w:r>
    </w:p>
    <w:p w14:paraId="4044E8B3">
      <w:pPr>
        <w:keepNext/>
        <w:keepLines/>
        <w:pageBreakBefore w:val="0"/>
        <w:spacing w:before="0" w:after="120" w:line="240" w:lineRule="auto"/>
        <w:ind w:firstLine="0"/>
        <w:jc w:val="center"/>
      </w:pPr>
      <w:r>
        <w:drawing>
          <wp:inline distT="0" distB="0" distL="114300" distR="114300">
            <wp:extent cx="5219700" cy="19526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9"/>
                    <a:stretch>
                      <a:fillRect/>
                    </a:stretch>
                  </pic:blipFill>
                  <pic:spPr>
                    <a:xfrm>
                      <a:off x="0" y="0"/>
                      <a:ext cx="5220000" cy="1952630"/>
                    </a:xfrm>
                    <a:prstGeom prst="rect">
                      <a:avLst/>
                    </a:prstGeom>
                  </pic:spPr>
                </pic:pic>
              </a:graphicData>
            </a:graphic>
          </wp:inline>
        </w:drawing>
      </w:r>
    </w:p>
    <w:p w14:paraId="36451499">
      <w:pPr>
        <w:keepNext w:val="0"/>
        <w:keepLines/>
        <w:pageBreakBefore w:val="0"/>
        <w:spacing w:before="0" w:after="120" w:line="300" w:lineRule="auto"/>
        <w:ind w:firstLine="0"/>
        <w:jc w:val="center"/>
      </w:pPr>
      <w:r>
        <w:rPr>
          <w:rFonts w:ascii="Times New Roman" w:hAnsi="Times New Roman" w:eastAsia="宋体" w:cs="Times New Roman"/>
          <w:sz w:val="20"/>
        </w:rPr>
        <w:t>赞皇县退化障碍报告PDF第8页：表1.3所列瘠薄类型面积</w:t>
      </w:r>
    </w:p>
    <w:p w14:paraId="006BC8D9">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土特产品土壤适宜性评价  问题1</w:t>
      </w:r>
    </w:p>
    <w:p w14:paraId="283829A1">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正文对象与图名不一致</w:t>
      </w:r>
    </w:p>
    <w:p w14:paraId="48406A54">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问题描述：报告正文讨论辣椒生产，图3.1却命名为“中国梨种植面积变化趋势”，图内仍保留“标题”字样。应核对图件来源和统计对象，修正图名及未完成的图表文字。</w:t>
      </w:r>
    </w:p>
    <w:p w14:paraId="30BFCA06">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涉及成果：衡水市冀州区，天鹰椒土特产品专题报告。</w:t>
      </w:r>
    </w:p>
    <w:p w14:paraId="6F1FEBA5">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规范要求：《市县级成果验收工作方案》表3.5-6“报告质量”要求表述清晰、逻辑性强、数据正确。</w:t>
      </w:r>
    </w:p>
    <w:p w14:paraId="7F2836A7">
      <w:pPr>
        <w:keepNext/>
        <w:keepLines/>
        <w:pageBreakBefore w:val="0"/>
        <w:widowControl/>
        <w:spacing w:before="0" w:after="40" w:line="240" w:lineRule="auto"/>
        <w:ind w:firstLine="0"/>
        <w:jc w:val="center"/>
      </w:pPr>
      <w:r>
        <w:drawing>
          <wp:inline distT="0" distB="0" distL="114300" distR="114300">
            <wp:extent cx="3042285" cy="29514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3042569" cy="2952000"/>
                    </a:xfrm>
                    <a:prstGeom prst="rect">
                      <a:avLst/>
                    </a:prstGeom>
                  </pic:spPr>
                </pic:pic>
              </a:graphicData>
            </a:graphic>
          </wp:inline>
        </w:drawing>
      </w:r>
    </w:p>
    <w:p w14:paraId="37B7908B">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图10-1  问题截图  原件PDF第28页</w:t>
      </w:r>
    </w:p>
    <w:p w14:paraId="06D91E11">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截图来源：《冀州区天鹰椒土特产品土壤适宜性评价报告》，原件渲染PDF第28页。</w:t>
      </w:r>
    </w:p>
    <w:p w14:paraId="426BCC3F">
      <w:pPr>
        <w:keepNext/>
        <w:keepLines/>
        <w:pageBreakBefore w:val="0"/>
        <w:widowControl/>
        <w:spacing w:before="0" w:after="40" w:line="240" w:lineRule="auto"/>
        <w:ind w:firstLine="0"/>
        <w:jc w:val="center"/>
      </w:pPr>
      <w:r>
        <w:drawing>
          <wp:inline distT="0" distB="0" distL="114300" distR="114300">
            <wp:extent cx="5219700" cy="864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220000" cy="865445"/>
                    </a:xfrm>
                    <a:prstGeom prst="rect">
                      <a:avLst/>
                    </a:prstGeom>
                  </pic:spPr>
                </pic:pic>
              </a:graphicData>
            </a:graphic>
          </wp:inline>
        </w:drawing>
      </w:r>
    </w:p>
    <w:p w14:paraId="710B3F2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图10-N  规范原文  PDF第22页</w:t>
      </w:r>
    </w:p>
    <w:p w14:paraId="5B6D6000">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土特产品土壤适宜性评价  问题2</w:t>
      </w:r>
    </w:p>
    <w:p w14:paraId="583C364F">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国家分项产量超过世界合计</w:t>
      </w:r>
    </w:p>
    <w:p w14:paraId="4363A143">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问题描述：表3.2所列10国产量合计4575万吨，超过同表世界总计4430万吨。应核对年份、产品口径、单位及原始统计来源，修正分项与合计的对应关系。</w:t>
      </w:r>
    </w:p>
    <w:p w14:paraId="1FC2C8D7">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涉及成果：衡水市冀州区，天鹰椒土特产品专题报告表3.2。</w:t>
      </w:r>
    </w:p>
    <w:p w14:paraId="52B2E005">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规范要求：《市县级成果验收工作方案》表3.5-6“报告质量”要求数据正确、结果结论可靠。</w:t>
      </w:r>
    </w:p>
    <w:p w14:paraId="185AC926">
      <w:pPr>
        <w:keepNext/>
        <w:keepLines/>
        <w:pageBreakBefore w:val="0"/>
        <w:widowControl/>
        <w:spacing w:before="0" w:after="40" w:line="240" w:lineRule="auto"/>
        <w:ind w:firstLine="0"/>
        <w:jc w:val="center"/>
      </w:pPr>
      <w:r>
        <w:drawing>
          <wp:inline distT="0" distB="0" distL="114300" distR="114300">
            <wp:extent cx="5177790" cy="2951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178019" cy="2952000"/>
                    </a:xfrm>
                    <a:prstGeom prst="rect">
                      <a:avLst/>
                    </a:prstGeom>
                  </pic:spPr>
                </pic:pic>
              </a:graphicData>
            </a:graphic>
          </wp:inline>
        </w:drawing>
      </w:r>
    </w:p>
    <w:p w14:paraId="0CD5E911">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图11-1  问题截图  原件PDF第27页</w:t>
      </w:r>
    </w:p>
    <w:p w14:paraId="23ACFD7E">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截图来源：《冀州区天鹰椒土特产品土壤适宜性评价报告》，原件渲染PDF第27页。</w:t>
      </w:r>
    </w:p>
    <w:p w14:paraId="3F7505C5">
      <w:pPr>
        <w:keepNext/>
        <w:keepLines/>
        <w:pageBreakBefore w:val="0"/>
        <w:widowControl/>
        <w:spacing w:before="0" w:after="40" w:line="240" w:lineRule="auto"/>
        <w:ind w:firstLine="0"/>
        <w:jc w:val="center"/>
      </w:pPr>
      <w:r>
        <w:drawing>
          <wp:inline distT="0" distB="0" distL="114300" distR="114300">
            <wp:extent cx="5219700" cy="8648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220000" cy="865445"/>
                    </a:xfrm>
                    <a:prstGeom prst="rect">
                      <a:avLst/>
                    </a:prstGeom>
                  </pic:spPr>
                </pic:pic>
              </a:graphicData>
            </a:graphic>
          </wp:inline>
        </w:drawing>
      </w:r>
    </w:p>
    <w:p w14:paraId="0405D2AE">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图11-N  规范原文  PDF第22页</w:t>
      </w:r>
    </w:p>
    <w:p w14:paraId="0538BF8E">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土特产品土壤适宜性评价  问题3</w:t>
      </w:r>
    </w:p>
    <w:p w14:paraId="1A084C86">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限量指标缺少计量单位</w:t>
      </w:r>
    </w:p>
    <w:p w14:paraId="1EEDA28E">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问题描述：表5.5列出砷、镉等卫生指标限量，但表题、列名和表下注释均未说明计量单位，读者无法据表核对数值含义。应回到所引标准补齐单位，并核对适用对象。</w:t>
      </w:r>
    </w:p>
    <w:p w14:paraId="75026B3D">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涉及成果：衡水市冀州区，天鹰椒土特产品专题报告表5.5。</w:t>
      </w:r>
    </w:p>
    <w:p w14:paraId="7B17D146">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规范要求：《市县级成果验收工作方案》表3.5-6“报告质量”要求表述清晰、数据正确；限量值必须连同单位和适用对象说明。</w:t>
      </w:r>
    </w:p>
    <w:p w14:paraId="5AFE1BB8">
      <w:pPr>
        <w:keepNext/>
        <w:keepLines/>
        <w:pageBreakBefore w:val="0"/>
        <w:widowControl/>
        <w:spacing w:before="0" w:after="40" w:line="240" w:lineRule="auto"/>
        <w:ind w:firstLine="0"/>
        <w:jc w:val="center"/>
      </w:pPr>
      <w:r>
        <w:drawing>
          <wp:inline distT="0" distB="0" distL="114300" distR="114300">
            <wp:extent cx="5219700" cy="2552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5220000" cy="2553112"/>
                    </a:xfrm>
                    <a:prstGeom prst="rect">
                      <a:avLst/>
                    </a:prstGeom>
                  </pic:spPr>
                </pic:pic>
              </a:graphicData>
            </a:graphic>
          </wp:inline>
        </w:drawing>
      </w:r>
    </w:p>
    <w:p w14:paraId="608287E6">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图12-1  问题截图  原件PDF第73页</w:t>
      </w:r>
    </w:p>
    <w:p w14:paraId="7A9F16DE">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截图来源：《冀州区天鹰椒土特产品土壤适宜性评价报告》，原件渲染PDF第73页。</w:t>
      </w:r>
    </w:p>
    <w:p w14:paraId="253FC999">
      <w:pPr>
        <w:keepNext/>
        <w:keepLines/>
        <w:pageBreakBefore w:val="0"/>
        <w:widowControl/>
        <w:spacing w:before="0" w:after="40" w:line="240" w:lineRule="auto"/>
        <w:ind w:firstLine="0"/>
        <w:jc w:val="center"/>
      </w:pPr>
      <w:r>
        <w:drawing>
          <wp:inline distT="0" distB="0" distL="114300" distR="114300">
            <wp:extent cx="5219700" cy="8648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220000" cy="865445"/>
                    </a:xfrm>
                    <a:prstGeom prst="rect">
                      <a:avLst/>
                    </a:prstGeom>
                  </pic:spPr>
                </pic:pic>
              </a:graphicData>
            </a:graphic>
          </wp:inline>
        </w:drawing>
      </w:r>
    </w:p>
    <w:p w14:paraId="2A4A3BFA">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图12-N  规范原文  PDF第22页</w:t>
      </w:r>
    </w:p>
    <w:p w14:paraId="678DF70C">
      <w:pPr>
        <w:keepNext/>
        <w:keepLines/>
        <w:pageBreakBefore/>
        <w:spacing w:before="80" w:after="120" w:line="300" w:lineRule="auto"/>
        <w:ind w:firstLine="0"/>
      </w:pPr>
      <w:r>
        <w:rPr>
          <w:rFonts w:ascii="Times New Roman" w:hAnsi="Times New Roman" w:eastAsia="黑体" w:cs="Times New Roman"/>
          <w:sz w:val="24"/>
        </w:rPr>
        <w:t>土特产品土壤适宜性评价 其他典型问题（4-6）</w:t>
      </w:r>
    </w:p>
    <w:p w14:paraId="3018B5A9">
      <w:pPr>
        <w:keepNext/>
        <w:keepLines/>
        <w:pageBreakBefore w:val="0"/>
        <w:spacing w:before="80" w:after="120" w:line="300" w:lineRule="auto"/>
        <w:ind w:firstLine="0"/>
      </w:pPr>
      <w:r>
        <w:rPr>
          <w:rFonts w:ascii="Times New Roman" w:hAnsi="Times New Roman" w:eastAsia="黑体" w:cs="Times New Roman"/>
          <w:sz w:val="24"/>
        </w:rPr>
        <w:t>4、适宜类别面积在表文之间不一致</w:t>
      </w:r>
    </w:p>
    <w:p w14:paraId="3A0D03E7">
      <w:pPr>
        <w:keepNext w:val="0"/>
        <w:keepLines/>
        <w:pageBreakBefore w:val="0"/>
        <w:spacing w:before="0" w:after="120" w:line="300" w:lineRule="auto"/>
        <w:ind w:firstLine="482"/>
      </w:pPr>
      <w:r>
        <w:rPr>
          <w:rFonts w:ascii="Times New Roman" w:hAnsi="Times New Roman" w:eastAsia="宋体" w:cs="Times New Roman"/>
          <w:sz w:val="24"/>
        </w:rPr>
        <w:t>冀州区天鹰椒报告PDF第91页正文列优势、适宜、不适宜区13226.43、50176.49、8404.95公顷；第92页表5.9列22658.43、49037.62、1059.18公顷。应核对结果版本、净面积与图形面积等口径。</w:t>
      </w:r>
    </w:p>
    <w:p w14:paraId="68FF225E">
      <w:pPr>
        <w:keepNext/>
        <w:keepLines/>
        <w:pageBreakBefore w:val="0"/>
        <w:spacing w:before="80" w:after="120" w:line="300" w:lineRule="auto"/>
        <w:ind w:firstLine="0"/>
      </w:pPr>
      <w:r>
        <w:rPr>
          <w:rFonts w:ascii="Times New Roman" w:hAnsi="Times New Roman" w:eastAsia="黑体" w:cs="Times New Roman"/>
          <w:sz w:val="24"/>
        </w:rPr>
        <w:t>5、分项缺值导致乡镇合计无法复核</w:t>
      </w:r>
    </w:p>
    <w:p w14:paraId="04C8491B">
      <w:pPr>
        <w:keepNext w:val="0"/>
        <w:keepLines/>
        <w:pageBreakBefore w:val="0"/>
        <w:spacing w:before="0" w:after="120" w:line="300" w:lineRule="auto"/>
        <w:ind w:firstLine="482"/>
      </w:pPr>
      <w:r>
        <w:rPr>
          <w:rFonts w:ascii="Times New Roman" w:hAnsi="Times New Roman" w:eastAsia="宋体" w:cs="Times New Roman"/>
          <w:sz w:val="24"/>
        </w:rPr>
        <w:t>同报告PDF第92页表5.9中，魏家屯镇优势区为“—”，其余两类2002.11与90.16公顷合计2092.27公顷，与总计2899.40公顷差807.13公顷。应核实缺值含义并补齐对应结果。</w:t>
      </w:r>
    </w:p>
    <w:p w14:paraId="4A9406DB">
      <w:pPr>
        <w:keepNext/>
        <w:keepLines/>
        <w:pageBreakBefore w:val="0"/>
        <w:spacing w:before="80" w:after="120" w:line="300" w:lineRule="auto"/>
        <w:ind w:firstLine="0"/>
      </w:pPr>
      <w:r>
        <w:rPr>
          <w:rFonts w:ascii="Times New Roman" w:hAnsi="Times New Roman" w:eastAsia="黑体" w:cs="Times New Roman"/>
          <w:sz w:val="24"/>
        </w:rPr>
        <w:t>6、产业布局沿用尚未统一的评价面积</w:t>
      </w:r>
    </w:p>
    <w:p w14:paraId="4B314E5E">
      <w:pPr>
        <w:keepNext w:val="0"/>
        <w:keepLines/>
        <w:pageBreakBefore w:val="0"/>
        <w:spacing w:before="0" w:after="120" w:line="300" w:lineRule="auto"/>
        <w:ind w:firstLine="482"/>
      </w:pPr>
      <w:r>
        <w:rPr>
          <w:rFonts w:ascii="Times New Roman" w:hAnsi="Times New Roman" w:eastAsia="宋体" w:cs="Times New Roman"/>
          <w:sz w:val="24"/>
        </w:rPr>
        <w:t>同报告PDF第96页第6.1.1节再次采用第91页的三类面积，与表5.9不一致。整改时应同步更新评价分区、现状分析和布局建议，避免只改统计表、保留后文旧值。</w:t>
      </w:r>
    </w:p>
    <w:p w14:paraId="4C0530AC">
      <w:pPr>
        <w:keepNext/>
        <w:keepLines/>
        <w:pageBreakBefore w:val="0"/>
        <w:spacing w:before="0" w:after="120" w:line="240" w:lineRule="auto"/>
        <w:ind w:firstLine="0"/>
        <w:jc w:val="center"/>
      </w:pPr>
      <w:r>
        <w:drawing>
          <wp:inline distT="0" distB="0" distL="114300" distR="114300">
            <wp:extent cx="4225290" cy="21596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4"/>
                    <a:stretch>
                      <a:fillRect/>
                    </a:stretch>
                  </pic:blipFill>
                  <pic:spPr>
                    <a:xfrm>
                      <a:off x="0" y="0"/>
                      <a:ext cx="4225401" cy="2160000"/>
                    </a:xfrm>
                    <a:prstGeom prst="rect">
                      <a:avLst/>
                    </a:prstGeom>
                  </pic:spPr>
                </pic:pic>
              </a:graphicData>
            </a:graphic>
          </wp:inline>
        </w:drawing>
      </w:r>
    </w:p>
    <w:p w14:paraId="5188075C">
      <w:pPr>
        <w:keepNext w:val="0"/>
        <w:keepLines/>
        <w:pageBreakBefore w:val="0"/>
        <w:spacing w:before="0" w:after="120" w:line="300" w:lineRule="auto"/>
        <w:ind w:firstLine="0"/>
        <w:jc w:val="center"/>
      </w:pPr>
      <w:r>
        <w:rPr>
          <w:rFonts w:ascii="Times New Roman" w:hAnsi="Times New Roman" w:eastAsia="宋体" w:cs="Times New Roman"/>
          <w:sz w:val="20"/>
        </w:rPr>
        <w:t>冀州区天鹰椒报告PDF第92页：表5.9续表及合计</w:t>
      </w:r>
    </w:p>
    <w:p w14:paraId="48B4F1BA">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土壤农业利用适宜性评价  问题1（组员鲍正宇）</w:t>
      </w:r>
    </w:p>
    <w:p w14:paraId="1E53450B">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宜园与宜林面积在表文之间对调</w:t>
      </w:r>
    </w:p>
    <w:p w14:paraId="5A28392B">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问题描述：表2.3合计行列宜园113792亩、宜林5455亩，同页正文却列宜园5455亩、宜林113792亩。应核对评价类别编码、统计列顺序和最终成果库，统一类别与面积。</w:t>
      </w:r>
    </w:p>
    <w:p w14:paraId="0434FE39">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涉及成果：衡水市冀州区，农业利用适宜性评价报告。</w:t>
      </w:r>
    </w:p>
    <w:p w14:paraId="655C5808">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规范要求：《市县级成果验收工作方案》表3.5-4“报告质量”要求数据正确、结果结论可靠。</w:t>
      </w:r>
    </w:p>
    <w:p w14:paraId="7AD0581E">
      <w:pPr>
        <w:keepNext/>
        <w:keepLines/>
        <w:pageBreakBefore w:val="0"/>
        <w:widowControl/>
        <w:spacing w:before="0" w:after="40" w:line="240" w:lineRule="auto"/>
        <w:ind w:firstLine="0"/>
        <w:jc w:val="center"/>
      </w:pPr>
      <w:r>
        <w:drawing>
          <wp:inline distT="0" distB="0" distL="114300" distR="114300">
            <wp:extent cx="3343910" cy="29514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3343940" cy="2951999"/>
                    </a:xfrm>
                    <a:prstGeom prst="rect">
                      <a:avLst/>
                    </a:prstGeom>
                  </pic:spPr>
                </pic:pic>
              </a:graphicData>
            </a:graphic>
          </wp:inline>
        </w:drawing>
      </w:r>
    </w:p>
    <w:p w14:paraId="0BD1CDF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图13-1  问题截图  原件PDF第34页</w:t>
      </w:r>
    </w:p>
    <w:p w14:paraId="26C8818B">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截图来源：《衡水市冀州区土壤农业利用适宜性评价专题报告》，提交PDF第34页。</w:t>
      </w:r>
    </w:p>
    <w:p w14:paraId="53CE0012">
      <w:pPr>
        <w:keepNext/>
        <w:keepLines/>
        <w:pageBreakBefore w:val="0"/>
        <w:widowControl/>
        <w:spacing w:before="0" w:after="40" w:line="240" w:lineRule="auto"/>
        <w:ind w:firstLine="0"/>
        <w:jc w:val="center"/>
      </w:pPr>
      <w:r>
        <w:drawing>
          <wp:inline distT="0" distB="0" distL="114300" distR="114300">
            <wp:extent cx="5219700" cy="6057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220000" cy="605978"/>
                    </a:xfrm>
                    <a:prstGeom prst="rect">
                      <a:avLst/>
                    </a:prstGeom>
                  </pic:spPr>
                </pic:pic>
              </a:graphicData>
            </a:graphic>
          </wp:inline>
        </w:drawing>
      </w:r>
    </w:p>
    <w:p w14:paraId="28DB4CE6">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图13-N  规范原文  PDF第20页</w:t>
      </w:r>
    </w:p>
    <w:p w14:paraId="51E06318">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土壤农业利用适宜性评价  问题2（组员鲍正宇）</w:t>
      </w:r>
    </w:p>
    <w:p w14:paraId="2E21DF76">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贡献比例与所列面积不符</w:t>
      </w:r>
    </w:p>
    <w:p w14:paraId="41931D25">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问题描述：两个典型潮土土属的宜耕面积分别为627456亩和309918亩，全区宜耕948820亩，计算占比约98.79%；综合结论却写贡献99.6%。应统一比例分母并重新核算。</w:t>
      </w:r>
    </w:p>
    <w:p w14:paraId="4F39CD97">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涉及成果：衡水市冀州区，农业利用适宜性评价报告。</w:t>
      </w:r>
    </w:p>
    <w:p w14:paraId="2E3E43A3">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规范要求：《市县级成果验收工作方案》表3.5-4“报告质量”要求数据正确、逻辑性强，结论应得到统计结果支持。</w:t>
      </w:r>
    </w:p>
    <w:p w14:paraId="07E90E28">
      <w:pPr>
        <w:keepNext/>
        <w:keepLines/>
        <w:pageBreakBefore w:val="0"/>
        <w:widowControl/>
        <w:spacing w:before="0" w:after="40" w:line="240" w:lineRule="auto"/>
        <w:ind w:firstLine="0"/>
        <w:jc w:val="center"/>
      </w:pPr>
      <w:r>
        <w:drawing>
          <wp:inline distT="0" distB="0" distL="114300" distR="114300">
            <wp:extent cx="3846195"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3846545" cy="2286458"/>
                    </a:xfrm>
                    <a:prstGeom prst="rect">
                      <a:avLst/>
                    </a:prstGeom>
                  </pic:spPr>
                </pic:pic>
              </a:graphicData>
            </a:graphic>
          </wp:inline>
        </w:drawing>
      </w:r>
    </w:p>
    <w:p w14:paraId="25A744A6">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图14-1  问题截图  原件PDF第34页</w:t>
      </w:r>
    </w:p>
    <w:p w14:paraId="7829F38A">
      <w:pPr>
        <w:keepNext/>
        <w:keepLines/>
        <w:pageBreakBefore w:val="0"/>
        <w:widowControl/>
        <w:spacing w:before="0" w:after="40" w:line="240" w:lineRule="auto"/>
        <w:ind w:firstLine="0"/>
        <w:jc w:val="center"/>
      </w:pPr>
      <w:r>
        <w:drawing>
          <wp:inline distT="0" distB="0" distL="114300" distR="114300">
            <wp:extent cx="3846195" cy="665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3846545" cy="665542"/>
                    </a:xfrm>
                    <a:prstGeom prst="rect">
                      <a:avLst/>
                    </a:prstGeom>
                  </pic:spPr>
                </pic:pic>
              </a:graphicData>
            </a:graphic>
          </wp:inline>
        </w:drawing>
      </w:r>
    </w:p>
    <w:p w14:paraId="6A2B968F">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图14-2  问题截图  原件PDF第35页</w:t>
      </w:r>
    </w:p>
    <w:p w14:paraId="1544E92B">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截图来源：《衡水市冀州区土壤农业利用适宜性评价专题报告》，提交PDF第34—35页。</w:t>
      </w:r>
    </w:p>
    <w:p w14:paraId="132B23EA">
      <w:pPr>
        <w:keepNext/>
        <w:keepLines/>
        <w:pageBreakBefore w:val="0"/>
        <w:widowControl/>
        <w:spacing w:before="0" w:after="40" w:line="240" w:lineRule="auto"/>
        <w:ind w:firstLine="0"/>
        <w:jc w:val="center"/>
      </w:pPr>
      <w:r>
        <w:drawing>
          <wp:inline distT="0" distB="0" distL="114300" distR="114300">
            <wp:extent cx="5219700" cy="605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220000" cy="605978"/>
                    </a:xfrm>
                    <a:prstGeom prst="rect">
                      <a:avLst/>
                    </a:prstGeom>
                  </pic:spPr>
                </pic:pic>
              </a:graphicData>
            </a:graphic>
          </wp:inline>
        </w:drawing>
      </w:r>
    </w:p>
    <w:p w14:paraId="2B2E894E">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图14-N  规范原文  PDF第20页</w:t>
      </w:r>
    </w:p>
    <w:p w14:paraId="72CF94B1">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土壤农业利用适宜性评价  问题3（组员鲍正宇）</w:t>
      </w:r>
    </w:p>
    <w:p w14:paraId="30143CC4">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最高比例的判断与同段数据矛盾</w:t>
      </w:r>
    </w:p>
    <w:p w14:paraId="17E2EFAE">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问题描述：“各土壤类型对比分析”称砂质石灰性潮土勉强适宜占比9.6%为全区最高，同段又列砂质脱潮土为15.0%。应先明确比较范围和分母，再据数据给出排序结论。</w:t>
      </w:r>
    </w:p>
    <w:p w14:paraId="503B2284">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涉及成果：衡水市冀州区，农业利用适宜性评价报告。</w:t>
      </w:r>
    </w:p>
    <w:p w14:paraId="6EB296D8">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规范要求：《市县级成果验收工作方案》表3.5-4“报告质量”要求表述清晰、逻辑性强、结果结论可靠。</w:t>
      </w:r>
    </w:p>
    <w:p w14:paraId="0C9F6034">
      <w:pPr>
        <w:keepNext/>
        <w:keepLines/>
        <w:pageBreakBefore w:val="0"/>
        <w:widowControl/>
        <w:spacing w:before="0" w:after="40" w:line="240" w:lineRule="auto"/>
        <w:ind w:firstLine="0"/>
        <w:jc w:val="center"/>
      </w:pPr>
      <w:r>
        <w:drawing>
          <wp:inline distT="0" distB="0" distL="114300" distR="114300">
            <wp:extent cx="5219700" cy="12426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220000" cy="1243088"/>
                    </a:xfrm>
                    <a:prstGeom prst="rect">
                      <a:avLst/>
                    </a:prstGeom>
                  </pic:spPr>
                </pic:pic>
              </a:graphicData>
            </a:graphic>
          </wp:inline>
        </w:drawing>
      </w:r>
    </w:p>
    <w:p w14:paraId="43F80B4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图15-1  问题截图  原件PDF第35页</w:t>
      </w:r>
    </w:p>
    <w:p w14:paraId="35FAD1F2">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截图来源：《衡水市冀州区土壤农业利用适宜性评价专题报告》，提交PDF第35页。</w:t>
      </w:r>
    </w:p>
    <w:p w14:paraId="7F6EFB65">
      <w:pPr>
        <w:keepNext/>
        <w:keepLines/>
        <w:pageBreakBefore w:val="0"/>
        <w:widowControl/>
        <w:spacing w:before="0" w:after="40" w:line="240" w:lineRule="auto"/>
        <w:ind w:firstLine="0"/>
        <w:jc w:val="center"/>
      </w:pPr>
      <w:r>
        <w:drawing>
          <wp:inline distT="0" distB="0" distL="114300" distR="114300">
            <wp:extent cx="5219700" cy="6057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5220000" cy="605978"/>
                    </a:xfrm>
                    <a:prstGeom prst="rect">
                      <a:avLst/>
                    </a:prstGeom>
                  </pic:spPr>
                </pic:pic>
              </a:graphicData>
            </a:graphic>
          </wp:inline>
        </w:drawing>
      </w:r>
    </w:p>
    <w:p w14:paraId="56985663">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图15-N  规范原文  PDF第20页</w:t>
      </w:r>
    </w:p>
    <w:p w14:paraId="7A9A28B5">
      <w:pPr>
        <w:keepNext/>
        <w:keepLines/>
        <w:pageBreakBefore/>
        <w:spacing w:before="80" w:after="120" w:line="300" w:lineRule="auto"/>
        <w:ind w:firstLine="0"/>
      </w:pPr>
      <w:r>
        <w:rPr>
          <w:rFonts w:ascii="Times New Roman" w:hAnsi="Times New Roman" w:eastAsia="黑体" w:cs="Times New Roman"/>
          <w:sz w:val="24"/>
        </w:rPr>
        <w:t>土壤农业利用适宜性评价 其他典型问题（4-6）（组员鲍正宇）</w:t>
      </w:r>
    </w:p>
    <w:p w14:paraId="00704A19">
      <w:pPr>
        <w:keepNext/>
        <w:keepLines/>
        <w:pageBreakBefore w:val="0"/>
        <w:spacing w:before="80" w:after="120" w:line="300" w:lineRule="auto"/>
        <w:ind w:firstLine="0"/>
      </w:pPr>
      <w:r>
        <w:rPr>
          <w:rFonts w:ascii="Times New Roman" w:hAnsi="Times New Roman" w:eastAsia="黑体" w:cs="Times New Roman"/>
          <w:sz w:val="24"/>
        </w:rPr>
        <w:t>4、适宜比例的分母在比较中混用</w:t>
      </w:r>
    </w:p>
    <w:p w14:paraId="43F3861F">
      <w:pPr>
        <w:keepNext w:val="0"/>
        <w:keepLines/>
        <w:pageBreakBefore w:val="0"/>
        <w:spacing w:before="0" w:after="120" w:line="300" w:lineRule="auto"/>
        <w:ind w:firstLine="482"/>
      </w:pPr>
      <w:r>
        <w:rPr>
          <w:rFonts w:ascii="Times New Roman" w:hAnsi="Times New Roman" w:eastAsia="宋体" w:cs="Times New Roman"/>
          <w:sz w:val="24"/>
        </w:rPr>
        <w:t>冀州区报告PDF第34—35页，壤质石灰性潮土勉强宜耕32154亩，占该土属701717亩约4.58%，占其宜耕627456亩约5.12%。比较文字把5.1%与另一土属按总面积计算的9.6%并列，应统一分母。</w:t>
      </w:r>
    </w:p>
    <w:p w14:paraId="44BD676F">
      <w:pPr>
        <w:keepNext/>
        <w:keepLines/>
        <w:pageBreakBefore w:val="0"/>
        <w:spacing w:before="80" w:after="120" w:line="300" w:lineRule="auto"/>
        <w:ind w:firstLine="0"/>
      </w:pPr>
      <w:r>
        <w:rPr>
          <w:rFonts w:ascii="Times New Roman" w:hAnsi="Times New Roman" w:eastAsia="黑体" w:cs="Times New Roman"/>
          <w:sz w:val="24"/>
        </w:rPr>
        <w:t>5、局部适宜结果被扩大为全部适宜</w:t>
      </w:r>
    </w:p>
    <w:p w14:paraId="2C2F3132">
      <w:pPr>
        <w:keepNext w:val="0"/>
        <w:keepLines/>
        <w:pageBreakBefore w:val="0"/>
        <w:spacing w:before="0" w:after="120" w:line="300" w:lineRule="auto"/>
        <w:ind w:firstLine="482"/>
      </w:pPr>
      <w:r>
        <w:rPr>
          <w:rFonts w:ascii="Times New Roman" w:hAnsi="Times New Roman" w:eastAsia="宋体" w:cs="Times New Roman"/>
          <w:sz w:val="24"/>
        </w:rPr>
        <w:t>冀州区报告PDF第37页列草地现状11709亩、其中宜耕10086亩，占86.14%，随后却称现有草地“全部具备良好的耕作基础”。应将结论限定于实际评价范围与适宜地块。</w:t>
      </w:r>
    </w:p>
    <w:p w14:paraId="0521E264">
      <w:pPr>
        <w:keepNext/>
        <w:keepLines/>
        <w:pageBreakBefore w:val="0"/>
        <w:spacing w:before="80" w:after="120" w:line="300" w:lineRule="auto"/>
        <w:ind w:firstLine="0"/>
      </w:pPr>
      <w:r>
        <w:rPr>
          <w:rFonts w:ascii="Times New Roman" w:hAnsi="Times New Roman" w:eastAsia="黑体" w:cs="Times New Roman"/>
          <w:sz w:val="24"/>
        </w:rPr>
        <w:t>6、土地利用类别名称前后不一致</w:t>
      </w:r>
    </w:p>
    <w:p w14:paraId="373464A2">
      <w:pPr>
        <w:keepNext w:val="0"/>
        <w:keepLines/>
        <w:pageBreakBefore w:val="0"/>
        <w:spacing w:before="0" w:after="120" w:line="300" w:lineRule="auto"/>
        <w:ind w:firstLine="482"/>
      </w:pPr>
      <w:r>
        <w:rPr>
          <w:rFonts w:ascii="Times New Roman" w:hAnsi="Times New Roman" w:eastAsia="宋体" w:cs="Times New Roman"/>
          <w:sz w:val="24"/>
        </w:rPr>
        <w:t>冀州区报告PDF第36—39页正文分别讨论园地、林地、草地及其他土地，但表2.5首行写“园林”，数值对应正文园地。应核对类别编码与名称，避免与下一行林地混淆。</w:t>
      </w:r>
    </w:p>
    <w:p w14:paraId="79AAF5AE">
      <w:pPr>
        <w:keepNext/>
        <w:keepLines/>
        <w:pageBreakBefore w:val="0"/>
        <w:spacing w:before="0" w:after="120" w:line="240" w:lineRule="auto"/>
        <w:ind w:firstLine="0"/>
        <w:jc w:val="center"/>
      </w:pPr>
      <w:r>
        <w:drawing>
          <wp:inline distT="0" distB="0" distL="114300" distR="114300">
            <wp:extent cx="5219700" cy="9690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0"/>
                    <a:stretch>
                      <a:fillRect/>
                    </a:stretch>
                  </pic:blipFill>
                  <pic:spPr>
                    <a:xfrm>
                      <a:off x="0" y="0"/>
                      <a:ext cx="5220000" cy="969011"/>
                    </a:xfrm>
                    <a:prstGeom prst="rect">
                      <a:avLst/>
                    </a:prstGeom>
                  </pic:spPr>
                </pic:pic>
              </a:graphicData>
            </a:graphic>
          </wp:inline>
        </w:drawing>
      </w:r>
    </w:p>
    <w:p w14:paraId="2B82658F">
      <w:pPr>
        <w:keepNext w:val="0"/>
        <w:keepLines/>
        <w:pageBreakBefore w:val="0"/>
        <w:spacing w:before="0" w:after="120" w:line="300" w:lineRule="auto"/>
        <w:ind w:firstLine="0"/>
        <w:jc w:val="center"/>
      </w:pPr>
      <w:r>
        <w:rPr>
          <w:rFonts w:ascii="Times New Roman" w:hAnsi="Times New Roman" w:eastAsia="宋体" w:cs="Times New Roman"/>
          <w:sz w:val="20"/>
        </w:rPr>
        <w:t>冀州区农业利用适宜性评价报告PDF第37页：草地宜耕范围与结论</w:t>
      </w:r>
    </w:p>
    <w:p w14:paraId="002C9D20">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土地资源评价与利用报告  问题1（组员鲍正宇）</w:t>
      </w:r>
    </w:p>
    <w:p w14:paraId="32A9CCF9">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区位描述出现本市与本市相邻</w:t>
      </w:r>
    </w:p>
    <w:p w14:paraId="1557E70A">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问题描述：报告“定位与经济布局”写新乐市“南邻石家庄市藁城区、新乐市”，出现本市与本市相邻的表述。应依据区位资料核对相邻行政区，删除错误地名。</w:t>
      </w:r>
    </w:p>
    <w:p w14:paraId="20E46AF0">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涉及成果：石家庄市新乐市，土壤资源评价与利用报告。</w:t>
      </w:r>
    </w:p>
    <w:p w14:paraId="3D85D3AA">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规范要求：《市县级成果验收工作方案》表3.5第二章要求区域基本状况等内容完整、数据可靠。</w:t>
      </w:r>
    </w:p>
    <w:p w14:paraId="368A95ED">
      <w:pPr>
        <w:keepNext/>
        <w:keepLines/>
        <w:pageBreakBefore w:val="0"/>
        <w:widowControl/>
        <w:spacing w:before="0" w:after="40" w:line="240" w:lineRule="auto"/>
        <w:ind w:firstLine="0"/>
        <w:jc w:val="center"/>
      </w:pPr>
      <w:r>
        <w:drawing>
          <wp:inline distT="0" distB="0" distL="114300" distR="114300">
            <wp:extent cx="5219700" cy="13639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220000" cy="1364484"/>
                    </a:xfrm>
                    <a:prstGeom prst="rect">
                      <a:avLst/>
                    </a:prstGeom>
                  </pic:spPr>
                </pic:pic>
              </a:graphicData>
            </a:graphic>
          </wp:inline>
        </w:drawing>
      </w:r>
    </w:p>
    <w:p w14:paraId="7C947259">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图16-1  问题截图  原件PDF第57页</w:t>
      </w:r>
    </w:p>
    <w:p w14:paraId="3465C539">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截图来源：《新乐市第三次全国土壤资源评价与利用》，提交PDF第57页。</w:t>
      </w:r>
    </w:p>
    <w:p w14:paraId="4ECFE2CC">
      <w:pPr>
        <w:keepNext/>
        <w:keepLines/>
        <w:pageBreakBefore w:val="0"/>
        <w:widowControl/>
        <w:spacing w:before="0" w:after="40" w:line="240" w:lineRule="auto"/>
        <w:ind w:firstLine="0"/>
        <w:jc w:val="center"/>
      </w:pPr>
      <w:r>
        <w:drawing>
          <wp:inline distT="0" distB="0" distL="114300" distR="114300">
            <wp:extent cx="3502660" cy="13677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3502956" cy="1367999"/>
                    </a:xfrm>
                    <a:prstGeom prst="rect">
                      <a:avLst/>
                    </a:prstGeom>
                  </pic:spPr>
                </pic:pic>
              </a:graphicData>
            </a:graphic>
          </wp:inline>
        </w:drawing>
      </w:r>
    </w:p>
    <w:p w14:paraId="77E45C6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图16-N  规范原文  PDF第16页</w:t>
      </w:r>
    </w:p>
    <w:p w14:paraId="1E17F6CA">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土地资源评价与利用报告  问题2（组员鲍正宇）</w:t>
      </w:r>
    </w:p>
    <w:p w14:paraId="3CCD774C">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分级面积相加与总计不符</w:t>
      </w:r>
    </w:p>
    <w:p w14:paraId="7DB49D7E">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问题描述：有效硫各级面积为22400、763400、0亩，合计785800亩，但总计列783633亩，相差2167亩。应核对分级面积及总计使用的数据版本。</w:t>
      </w:r>
    </w:p>
    <w:p w14:paraId="7F9E1042">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涉及成果：石家庄市新乐市，土壤资源评价与利用报告表4.59。</w:t>
      </w:r>
    </w:p>
    <w:p w14:paraId="7000FE60">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规范要求：《市县级成果验收工作方案》表3.5规定第四章参照表3.5-2；后者“现状分析”要求属性数据准确、结果可靠。</w:t>
      </w:r>
    </w:p>
    <w:p w14:paraId="77A2F6B2">
      <w:pPr>
        <w:keepNext/>
        <w:keepLines/>
        <w:pageBreakBefore w:val="0"/>
        <w:widowControl/>
        <w:spacing w:before="0" w:after="40" w:line="240" w:lineRule="auto"/>
        <w:ind w:firstLine="0"/>
        <w:jc w:val="center"/>
      </w:pPr>
      <w:r>
        <w:drawing>
          <wp:inline distT="0" distB="0" distL="114300" distR="114300">
            <wp:extent cx="4323080" cy="29514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4323433" cy="2952000"/>
                    </a:xfrm>
                    <a:prstGeom prst="rect">
                      <a:avLst/>
                    </a:prstGeom>
                  </pic:spPr>
                </pic:pic>
              </a:graphicData>
            </a:graphic>
          </wp:inline>
        </w:drawing>
      </w:r>
    </w:p>
    <w:p w14:paraId="6C954372">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图17-1  问题截图  原件PDF第272页</w:t>
      </w:r>
    </w:p>
    <w:p w14:paraId="103DF562">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截图来源：《新乐市第三次全国土壤资源评价与利用》，提交PDF第272页。</w:t>
      </w:r>
    </w:p>
    <w:p w14:paraId="345D25BA">
      <w:pPr>
        <w:keepNext/>
        <w:keepLines/>
        <w:pageBreakBefore w:val="0"/>
        <w:widowControl/>
        <w:spacing w:before="0" w:after="40" w:line="240" w:lineRule="auto"/>
        <w:ind w:firstLine="0"/>
        <w:jc w:val="center"/>
      </w:pPr>
      <w:r>
        <w:drawing>
          <wp:inline distT="0" distB="0" distL="114300" distR="114300">
            <wp:extent cx="4554220" cy="13677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4554387" cy="1368000"/>
                    </a:xfrm>
                    <a:prstGeom prst="rect">
                      <a:avLst/>
                    </a:prstGeom>
                  </pic:spPr>
                </pic:pic>
              </a:graphicData>
            </a:graphic>
          </wp:inline>
        </w:drawing>
      </w:r>
    </w:p>
    <w:p w14:paraId="4F01A023">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图17-N  规范原文  PDF第18页</w:t>
      </w:r>
    </w:p>
    <w:p w14:paraId="4D172F2F">
      <w:pPr>
        <w:pStyle w:val="8"/>
        <w:keepNext/>
        <w:keepLines/>
        <w:pageBreakBefore/>
        <w:widowControl/>
        <w:spacing w:before="100" w:after="140" w:line="300" w:lineRule="auto"/>
        <w:ind w:firstLine="0"/>
      </w:pPr>
      <w:r>
        <w:rPr>
          <w:rFonts w:ascii="Times New Roman" w:hAnsi="Times New Roman" w:eastAsia="黑体" w:cs="Times New Roman"/>
          <w:color w:val="000000"/>
          <w:sz w:val="24"/>
        </w:rPr>
        <w:t>土地资源评价与利用报告  问题3（组员鲍正宇）</w:t>
      </w:r>
    </w:p>
    <w:p w14:paraId="34CE53A8">
      <w:pPr>
        <w:pStyle w:val="2"/>
        <w:keepNext/>
        <w:keepLines/>
        <w:pageBreakBefore w:val="0"/>
        <w:widowControl/>
        <w:spacing w:before="100" w:after="140" w:line="300" w:lineRule="auto"/>
        <w:ind w:firstLine="0"/>
      </w:pPr>
      <w:r>
        <w:rPr>
          <w:rFonts w:ascii="Times New Roman" w:hAnsi="Times New Roman" w:eastAsia="黑体" w:cs="Times New Roman"/>
          <w:color w:val="000000"/>
          <w:sz w:val="24"/>
        </w:rPr>
        <w:t>正文与表格的指标数值和单位不一致</w:t>
      </w:r>
    </w:p>
    <w:p w14:paraId="2A9BA0A5">
      <w:pPr>
        <w:keepNext w:val="0"/>
        <w:keepLines/>
        <w:pageBreakBefore w:val="0"/>
        <w:widowControl/>
        <w:spacing w:before="0" w:after="100" w:line="300" w:lineRule="auto"/>
        <w:ind w:firstLine="482"/>
      </w:pPr>
      <w:r>
        <w:rPr>
          <w:rFonts w:ascii="Times New Roman" w:hAnsi="Times New Roman" w:eastAsia="宋体" w:cs="Times New Roman"/>
          <w:color w:val="000000"/>
          <w:sz w:val="24"/>
        </w:rPr>
        <w:t>问题描述：正文列水浇地、旱地有效硫样点均值32.15、24.32 mg/kg，表4.60相应值却为8.63、3.93，表头标为g/kg。应同步核对指标名称、单位和数值，避免据不一致的数据提出施肥建议。</w:t>
      </w:r>
    </w:p>
    <w:p w14:paraId="0813340D">
      <w:pPr>
        <w:keepNext w:val="0"/>
        <w:keepLines/>
        <w:pageBreakBefore w:val="0"/>
        <w:widowControl/>
        <w:spacing w:before="0" w:after="100" w:line="300" w:lineRule="auto"/>
        <w:ind w:firstLine="482"/>
      </w:pPr>
      <w:r>
        <w:rPr>
          <w:rFonts w:ascii="Times New Roman" w:hAnsi="Times New Roman" w:eastAsia="宋体" w:cs="Times New Roman"/>
          <w:color w:val="000000"/>
          <w:sz w:val="24"/>
        </w:rPr>
        <w:t>涉及成果：石家庄市新乐市，土壤资源评价与利用报告有效硫分析。</w:t>
      </w:r>
    </w:p>
    <w:p w14:paraId="4AF28E51">
      <w:pPr>
        <w:keepNext w:val="0"/>
        <w:keepLines/>
        <w:pageBreakBefore w:val="0"/>
        <w:widowControl/>
        <w:spacing w:before="0" w:after="100" w:line="300" w:lineRule="auto"/>
        <w:ind w:firstLine="482"/>
      </w:pPr>
      <w:r>
        <w:rPr>
          <w:rFonts w:ascii="Times New Roman" w:hAnsi="Times New Roman" w:eastAsia="宋体" w:cs="Times New Roman"/>
          <w:color w:val="000000"/>
          <w:sz w:val="24"/>
        </w:rPr>
        <w:t>规范要求：《市县级成果验收工作方案》表3.5-2“现状分析”要求属性数据准确，结果与结论可靠、符合实际。</w:t>
      </w:r>
    </w:p>
    <w:p w14:paraId="0948C883">
      <w:pPr>
        <w:keepNext/>
        <w:keepLines/>
        <w:pageBreakBefore w:val="0"/>
        <w:widowControl/>
        <w:spacing w:before="0" w:after="40" w:line="240" w:lineRule="auto"/>
        <w:ind w:firstLine="0"/>
        <w:jc w:val="center"/>
      </w:pPr>
      <w:r>
        <w:drawing>
          <wp:inline distT="0" distB="0" distL="114300" distR="114300">
            <wp:extent cx="3001645" cy="1167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3002270" cy="1167394"/>
                    </a:xfrm>
                    <a:prstGeom prst="rect">
                      <a:avLst/>
                    </a:prstGeom>
                  </pic:spPr>
                </pic:pic>
              </a:graphicData>
            </a:graphic>
          </wp:inline>
        </w:drawing>
      </w:r>
    </w:p>
    <w:p w14:paraId="1B09515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图18-1  问题截图  原件PDF第273页</w:t>
      </w:r>
    </w:p>
    <w:p w14:paraId="2C0359B3">
      <w:pPr>
        <w:keepNext/>
        <w:keepLines/>
        <w:pageBreakBefore w:val="0"/>
        <w:widowControl/>
        <w:spacing w:before="0" w:after="40" w:line="240" w:lineRule="auto"/>
        <w:ind w:firstLine="0"/>
        <w:jc w:val="center"/>
      </w:pPr>
      <w:r>
        <w:drawing>
          <wp:inline distT="0" distB="0" distL="114300" distR="114300">
            <wp:extent cx="3001645" cy="178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3002270" cy="1784605"/>
                    </a:xfrm>
                    <a:prstGeom prst="rect">
                      <a:avLst/>
                    </a:prstGeom>
                  </pic:spPr>
                </pic:pic>
              </a:graphicData>
            </a:graphic>
          </wp:inline>
        </w:drawing>
      </w:r>
    </w:p>
    <w:p w14:paraId="2E8236A9">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图18-2  问题截图  原件PDF第274页</w:t>
      </w:r>
    </w:p>
    <w:p w14:paraId="37578EE0">
      <w:pPr>
        <w:keepNext w:val="0"/>
        <w:keepLines/>
        <w:pageBreakBefore w:val="0"/>
        <w:widowControl/>
        <w:spacing w:before="0" w:after="100" w:line="300" w:lineRule="auto"/>
        <w:ind w:firstLine="0"/>
      </w:pPr>
      <w:r>
        <w:rPr>
          <w:rFonts w:ascii="Times New Roman" w:hAnsi="Times New Roman" w:eastAsia="宋体" w:cs="Times New Roman"/>
          <w:color w:val="000000"/>
          <w:sz w:val="19"/>
        </w:rPr>
        <w:t>截图来源：《新乐市第三次全国土壤资源评价与利用》，提交PDF第273—274页。</w:t>
      </w:r>
    </w:p>
    <w:p w14:paraId="13E21981">
      <w:pPr>
        <w:keepNext/>
        <w:keepLines/>
        <w:pageBreakBefore w:val="0"/>
        <w:widowControl/>
        <w:spacing w:before="0" w:after="40" w:line="240" w:lineRule="auto"/>
        <w:ind w:firstLine="0"/>
        <w:jc w:val="center"/>
      </w:pPr>
      <w:r>
        <w:drawing>
          <wp:inline distT="0" distB="0" distL="114300" distR="114300">
            <wp:extent cx="4554220" cy="13677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4554387" cy="1368000"/>
                    </a:xfrm>
                    <a:prstGeom prst="rect">
                      <a:avLst/>
                    </a:prstGeom>
                  </pic:spPr>
                </pic:pic>
              </a:graphicData>
            </a:graphic>
          </wp:inline>
        </w:drawing>
      </w:r>
    </w:p>
    <w:p w14:paraId="5DDEB4DA">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图18-N  规范原文  PDF第18页</w:t>
      </w:r>
    </w:p>
    <w:p w14:paraId="03E1249A">
      <w:pPr>
        <w:keepNext/>
        <w:keepLines/>
        <w:pageBreakBefore/>
        <w:spacing w:before="80" w:after="120" w:line="300" w:lineRule="auto"/>
        <w:ind w:firstLine="0"/>
      </w:pPr>
      <w:r>
        <w:rPr>
          <w:rFonts w:ascii="Times New Roman" w:hAnsi="Times New Roman" w:eastAsia="黑体" w:cs="Times New Roman"/>
          <w:sz w:val="24"/>
        </w:rPr>
        <w:t>土地资源评价与利用报告 其他典型问题（4-5）（组员鲍正宇）</w:t>
      </w:r>
    </w:p>
    <w:p w14:paraId="1DAD303C">
      <w:pPr>
        <w:keepNext/>
        <w:keepLines/>
        <w:pageBreakBefore w:val="0"/>
        <w:spacing w:before="80" w:after="120" w:line="300" w:lineRule="auto"/>
        <w:ind w:firstLine="0"/>
      </w:pPr>
      <w:r>
        <w:rPr>
          <w:rFonts w:ascii="Times New Roman" w:hAnsi="Times New Roman" w:eastAsia="黑体" w:cs="Times New Roman"/>
          <w:sz w:val="24"/>
        </w:rPr>
        <w:t>4、样点比例与实际数量不符</w:t>
      </w:r>
    </w:p>
    <w:p w14:paraId="67C7D329">
      <w:pPr>
        <w:keepNext w:val="0"/>
        <w:keepLines/>
        <w:pageBreakBefore w:val="0"/>
        <w:spacing w:before="0" w:after="120" w:line="300" w:lineRule="auto"/>
        <w:ind w:firstLine="482"/>
      </w:pPr>
      <w:r>
        <w:rPr>
          <w:rFonts w:ascii="Times New Roman" w:hAnsi="Times New Roman" w:eastAsia="宋体" w:cs="Times New Roman"/>
          <w:sz w:val="24"/>
        </w:rPr>
        <w:t>新乐市报告PDF第272页表4.59列有效硫Ⅲ级样点3个、总样点369个，比例应约0.81%，表中却写0.94%，且三个等级比例合计100.00%。应从样点数量重新计算各级比例，不能仅以比例加和为100%判断正确。</w:t>
      </w:r>
    </w:p>
    <w:p w14:paraId="1AD4D6CD">
      <w:pPr>
        <w:keepNext/>
        <w:keepLines/>
        <w:pageBreakBefore w:val="0"/>
        <w:spacing w:before="80" w:after="120" w:line="300" w:lineRule="auto"/>
        <w:ind w:firstLine="0"/>
      </w:pPr>
      <w:r>
        <w:rPr>
          <w:rFonts w:ascii="Times New Roman" w:hAnsi="Times New Roman" w:eastAsia="黑体" w:cs="Times New Roman"/>
          <w:sz w:val="24"/>
        </w:rPr>
        <w:t>5、分类型面积未与全市面积核平</w:t>
      </w:r>
    </w:p>
    <w:p w14:paraId="139C3218">
      <w:pPr>
        <w:keepNext w:val="0"/>
        <w:keepLines/>
        <w:pageBreakBefore w:val="0"/>
        <w:spacing w:before="0" w:after="120" w:line="300" w:lineRule="auto"/>
        <w:ind w:firstLine="482"/>
      </w:pPr>
      <w:r>
        <w:rPr>
          <w:rFonts w:ascii="Times New Roman" w:hAnsi="Times New Roman" w:eastAsia="宋体" w:cs="Times New Roman"/>
          <w:sz w:val="24"/>
        </w:rPr>
        <w:t>新乐市报告PDF第275页列三类土壤的有效硫制图面积735194、47784、534亩，合计783512亩，与同段全市783633亩差121亩。应核对是否漏列类别或混用版本，并交代差额来源。</w:t>
      </w:r>
    </w:p>
    <w:p w14:paraId="439A1DDE">
      <w:pPr>
        <w:keepNext/>
        <w:keepLines/>
        <w:pageBreakBefore w:val="0"/>
        <w:spacing w:before="0" w:after="120" w:line="240" w:lineRule="auto"/>
        <w:ind w:firstLine="0"/>
        <w:jc w:val="center"/>
      </w:pPr>
      <w:r>
        <w:drawing>
          <wp:inline distT="0" distB="0" distL="114300" distR="114300">
            <wp:extent cx="5219700" cy="20256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7"/>
                    <a:stretch>
                      <a:fillRect/>
                    </a:stretch>
                  </pic:blipFill>
                  <pic:spPr>
                    <a:xfrm>
                      <a:off x="0" y="0"/>
                      <a:ext cx="5220000" cy="2025671"/>
                    </a:xfrm>
                    <a:prstGeom prst="rect">
                      <a:avLst/>
                    </a:prstGeom>
                  </pic:spPr>
                </pic:pic>
              </a:graphicData>
            </a:graphic>
          </wp:inline>
        </w:drawing>
      </w:r>
    </w:p>
    <w:p w14:paraId="20A9FED3">
      <w:pPr>
        <w:keepNext w:val="0"/>
        <w:keepLines/>
        <w:pageBreakBefore w:val="0"/>
        <w:spacing w:before="0" w:after="120" w:line="300" w:lineRule="auto"/>
        <w:ind w:firstLine="0"/>
        <w:jc w:val="center"/>
      </w:pPr>
      <w:r>
        <w:rPr>
          <w:rFonts w:ascii="Times New Roman" w:hAnsi="Times New Roman" w:eastAsia="宋体" w:cs="Times New Roman"/>
          <w:sz w:val="20"/>
        </w:rPr>
        <w:t>新乐市资源评价与利用报告PDF第272页：样点数量与占比</w:t>
      </w:r>
    </w:p>
    <w:p w14:paraId="67B46E2A">
      <w:pPr>
        <w:pStyle w:val="7"/>
        <w:keepNext/>
        <w:keepLines/>
        <w:pageBreakBefore/>
        <w:widowControl/>
        <w:spacing w:before="100" w:after="140" w:line="300" w:lineRule="auto"/>
        <w:ind w:firstLine="0"/>
      </w:pPr>
      <w:r>
        <w:rPr>
          <w:rFonts w:ascii="Times New Roman" w:hAnsi="Times New Roman" w:eastAsia="黑体" w:cs="Times New Roman"/>
          <w:color w:val="000000"/>
          <w:sz w:val="28"/>
        </w:rPr>
        <w:t>二、出差工作总结</w:t>
      </w:r>
    </w:p>
    <w:p w14:paraId="58F7CEE1">
      <w:pPr>
        <w:pStyle w:val="8"/>
        <w:keepNext/>
        <w:keepLines/>
        <w:pageBreakBefore w:val="0"/>
        <w:widowControl/>
        <w:spacing w:before="100" w:after="140" w:line="300" w:lineRule="auto"/>
        <w:ind w:firstLine="0"/>
      </w:pPr>
      <w:r>
        <w:rPr>
          <w:rFonts w:ascii="Times New Roman" w:hAnsi="Times New Roman" w:eastAsia="黑体" w:cs="Times New Roman"/>
          <w:color w:val="000000"/>
          <w:sz w:val="24"/>
        </w:rPr>
        <w:t>1、2026年7月16日会议出差</w:t>
      </w:r>
    </w:p>
    <w:p w14:paraId="0AE8EA26">
      <w:pPr>
        <w:keepNext w:val="0"/>
        <w:keepLines/>
        <w:pageBreakBefore w:val="0"/>
        <w:widowControl/>
        <w:spacing w:before="0" w:after="100" w:line="300" w:lineRule="auto"/>
        <w:ind w:firstLine="482"/>
      </w:pPr>
      <w:r>
        <w:rPr>
          <w:rFonts w:ascii="Times New Roman" w:hAnsi="Times New Roman" w:eastAsia="宋体" w:cs="Times New Roman"/>
          <w:color w:val="000000"/>
          <w:sz w:val="24"/>
        </w:rPr>
        <w:t>2026年7月16日赴石家庄，当天往返，陪同老师参加河北省第三次全国土壤普查成果质控工作推进会议及相关培训。会议围绕成果验收、各市工作进度、成果编制技术和共性质量问题进行交流。本人随同参会，了解当前成果提交和质量控制要求，为后续检查与现场反馈做好衔接。</w:t>
      </w:r>
    </w:p>
    <w:p w14:paraId="5E414049">
      <w:pPr>
        <w:keepNext/>
        <w:keepLines/>
        <w:pageBreakBefore w:val="0"/>
        <w:widowControl/>
        <w:spacing w:before="0" w:after="40" w:line="240" w:lineRule="auto"/>
        <w:ind w:firstLine="0"/>
        <w:jc w:val="center"/>
      </w:pPr>
      <w:r>
        <w:drawing>
          <wp:inline distT="0" distB="0" distL="114300" distR="114300">
            <wp:extent cx="4734560" cy="26638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4734843" cy="2664000"/>
                    </a:xfrm>
                    <a:prstGeom prst="rect">
                      <a:avLst/>
                    </a:prstGeom>
                  </pic:spPr>
                </pic:pic>
              </a:graphicData>
            </a:graphic>
          </wp:inline>
        </w:drawing>
      </w:r>
    </w:p>
    <w:p w14:paraId="40BECF06">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图19  质控共性问题及工作要求交流</w:t>
      </w:r>
    </w:p>
    <w:p w14:paraId="026B9A43">
      <w:pPr>
        <w:keepNext/>
        <w:keepLines/>
        <w:pageBreakBefore w:val="0"/>
        <w:widowControl/>
        <w:spacing w:before="0" w:after="40" w:line="240" w:lineRule="auto"/>
        <w:ind w:firstLine="0"/>
        <w:jc w:val="center"/>
      </w:pPr>
      <w:r>
        <w:drawing>
          <wp:inline distT="0" distB="0" distL="114300" distR="114300">
            <wp:extent cx="4734560" cy="2663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4734843" cy="2664000"/>
                    </a:xfrm>
                    <a:prstGeom prst="rect">
                      <a:avLst/>
                    </a:prstGeom>
                  </pic:spPr>
                </pic:pic>
              </a:graphicData>
            </a:graphic>
          </wp:inline>
        </w:drawing>
      </w:r>
    </w:p>
    <w:p w14:paraId="450D226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图20  河北省三普成果编制质量控制报告</w:t>
      </w:r>
    </w:p>
    <w:p w14:paraId="6E35BA13">
      <w:pPr>
        <w:pStyle w:val="8"/>
        <w:keepNext/>
        <w:keepLines/>
        <w:pageBreakBefore/>
        <w:widowControl/>
        <w:spacing w:before="100" w:after="140" w:line="300" w:lineRule="auto"/>
        <w:ind w:firstLine="0"/>
      </w:pPr>
      <w:r>
        <w:rPr>
          <w:rFonts w:ascii="Times New Roman" w:hAnsi="Times New Roman" w:eastAsia="黑体" w:cs="Times New Roman"/>
          <w:color w:val="000000"/>
          <w:sz w:val="24"/>
        </w:rPr>
        <w:t>2026年7月16日会议现场记录</w:t>
      </w:r>
    </w:p>
    <w:p w14:paraId="7074E4DF">
      <w:pPr>
        <w:keepNext/>
        <w:keepLines/>
        <w:pageBreakBefore w:val="0"/>
        <w:widowControl/>
        <w:spacing w:before="0" w:after="40" w:line="240" w:lineRule="auto"/>
        <w:ind w:firstLine="0"/>
        <w:jc w:val="center"/>
      </w:pPr>
      <w:r>
        <w:drawing>
          <wp:inline distT="0" distB="0" distL="114300" distR="114300">
            <wp:extent cx="5214620" cy="29337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214726" cy="2934000"/>
                    </a:xfrm>
                    <a:prstGeom prst="rect">
                      <a:avLst/>
                    </a:prstGeom>
                  </pic:spPr>
                </pic:pic>
              </a:graphicData>
            </a:graphic>
          </wp:inline>
        </w:drawing>
      </w:r>
    </w:p>
    <w:p w14:paraId="78AD540A">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图21  成果汇交文件命名问题讲解</w:t>
      </w:r>
    </w:p>
    <w:p w14:paraId="545014E3">
      <w:pPr>
        <w:keepNext/>
        <w:keepLines/>
        <w:pageBreakBefore w:val="0"/>
        <w:widowControl/>
        <w:spacing w:before="0" w:after="40" w:line="240" w:lineRule="auto"/>
        <w:ind w:firstLine="0"/>
        <w:jc w:val="center"/>
      </w:pPr>
      <w:r>
        <w:drawing>
          <wp:inline distT="0" distB="0" distL="114300" distR="114300">
            <wp:extent cx="5214620" cy="2933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5214726" cy="2934000"/>
                    </a:xfrm>
                    <a:prstGeom prst="rect">
                      <a:avLst/>
                    </a:prstGeom>
                  </pic:spPr>
                </pic:pic>
              </a:graphicData>
            </a:graphic>
          </wp:inline>
        </w:drawing>
      </w:r>
    </w:p>
    <w:p w14:paraId="0758048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图22  质控工作推进会议现场</w:t>
      </w:r>
    </w:p>
    <w:p w14:paraId="349517F6">
      <w:pPr>
        <w:pStyle w:val="8"/>
        <w:keepNext/>
        <w:keepLines/>
        <w:pageBreakBefore/>
        <w:widowControl/>
        <w:spacing w:before="100" w:after="140" w:line="300" w:lineRule="auto"/>
        <w:ind w:firstLine="0"/>
      </w:pPr>
      <w:r>
        <w:rPr>
          <w:rFonts w:ascii="Times New Roman" w:hAnsi="Times New Roman" w:eastAsia="黑体" w:cs="Times New Roman"/>
          <w:color w:val="000000"/>
          <w:sz w:val="24"/>
        </w:rPr>
        <w:t>2、2026年7月24日至8月2日现场质控</w:t>
      </w:r>
    </w:p>
    <w:p w14:paraId="2C9AB9CA">
      <w:pPr>
        <w:keepNext w:val="0"/>
        <w:keepLines/>
        <w:pageBreakBefore w:val="0"/>
        <w:widowControl/>
        <w:spacing w:before="0" w:after="100" w:line="300" w:lineRule="auto"/>
        <w:ind w:firstLine="482"/>
      </w:pPr>
      <w:r>
        <w:rPr>
          <w:rFonts w:ascii="Times New Roman" w:hAnsi="Times New Roman" w:eastAsia="宋体" w:cs="Times New Roman"/>
          <w:color w:val="000000"/>
          <w:sz w:val="24"/>
        </w:rPr>
        <w:t>2026年7月24日至8月2日开展驻场质控，辅助省三普办进行现场即时质量检查。作业单位完成土壤类型图修改后，及时核查提交数据，并当面反馈发现的问题及修改意见，便于作业单位继续核对和完善成果。</w:t>
      </w:r>
    </w:p>
    <w:p w14:paraId="1F49B9C6">
      <w:pPr>
        <w:keepNext/>
        <w:keepLines/>
        <w:pageBreakBefore w:val="0"/>
        <w:widowControl/>
        <w:spacing w:before="0" w:after="40" w:line="240" w:lineRule="auto"/>
        <w:ind w:firstLine="0"/>
        <w:jc w:val="center"/>
      </w:pPr>
      <w:r>
        <w:drawing>
          <wp:inline distT="0" distB="0" distL="114300" distR="114300">
            <wp:extent cx="4990465" cy="28079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2"/>
                    <a:stretch>
                      <a:fillRect/>
                    </a:stretch>
                  </pic:blipFill>
                  <pic:spPr>
                    <a:xfrm>
                      <a:off x="0" y="0"/>
                      <a:ext cx="4990781" cy="2808000"/>
                    </a:xfrm>
                    <a:prstGeom prst="rect">
                      <a:avLst/>
                    </a:prstGeom>
                  </pic:spPr>
                </pic:pic>
              </a:graphicData>
            </a:graphic>
          </wp:inline>
        </w:drawing>
      </w:r>
    </w:p>
    <w:p w14:paraId="5C667450">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图23  现场结合图层开展技术核查</w:t>
      </w:r>
    </w:p>
    <w:p w14:paraId="184880AC">
      <w:pPr>
        <w:keepNext/>
        <w:keepLines/>
        <w:pageBreakBefore w:val="0"/>
        <w:widowControl/>
        <w:spacing w:before="0" w:after="40" w:line="240" w:lineRule="auto"/>
        <w:ind w:firstLine="0"/>
        <w:jc w:val="center"/>
      </w:pPr>
      <w:r>
        <w:drawing>
          <wp:inline distT="0" distB="0" distL="114300" distR="114300">
            <wp:extent cx="4990465" cy="28079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3"/>
                    <a:stretch>
                      <a:fillRect/>
                    </a:stretch>
                  </pic:blipFill>
                  <pic:spPr>
                    <a:xfrm>
                      <a:off x="0" y="0"/>
                      <a:ext cx="4990781" cy="2808000"/>
                    </a:xfrm>
                    <a:prstGeom prst="rect">
                      <a:avLst/>
                    </a:prstGeom>
                  </pic:spPr>
                </pic:pic>
              </a:graphicData>
            </a:graphic>
          </wp:inline>
        </w:drawing>
      </w:r>
    </w:p>
    <w:p w14:paraId="7505AEE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图24  驻场质控与作业单位沟通现场</w:t>
      </w:r>
    </w:p>
    <w:p w14:paraId="49EE51FD">
      <w:pPr>
        <w:pStyle w:val="8"/>
        <w:keepNext/>
        <w:keepLines/>
        <w:pageBreakBefore/>
        <w:widowControl/>
        <w:spacing w:before="100" w:after="140" w:line="300" w:lineRule="auto"/>
        <w:ind w:firstLine="0"/>
      </w:pPr>
      <w:r>
        <w:rPr>
          <w:rFonts w:ascii="Times New Roman" w:hAnsi="Times New Roman" w:eastAsia="黑体" w:cs="Times New Roman"/>
          <w:color w:val="000000"/>
          <w:sz w:val="24"/>
        </w:rPr>
        <w:t>2026年7月24日至8月2日驻场记录</w:t>
      </w:r>
    </w:p>
    <w:p w14:paraId="3D6E4481">
      <w:pPr>
        <w:keepNext/>
        <w:keepLines/>
        <w:pageBreakBefore w:val="0"/>
        <w:widowControl/>
        <w:spacing w:before="0" w:after="40" w:line="240" w:lineRule="auto"/>
        <w:ind w:firstLine="0"/>
        <w:jc w:val="center"/>
      </w:pPr>
      <w:r>
        <w:drawing>
          <wp:inline distT="0" distB="0" distL="114300" distR="114300">
            <wp:extent cx="5214620" cy="2933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a:stretch>
                      <a:fillRect/>
                    </a:stretch>
                  </pic:blipFill>
                  <pic:spPr>
                    <a:xfrm>
                      <a:off x="0" y="0"/>
                      <a:ext cx="5214726" cy="2934000"/>
                    </a:xfrm>
                    <a:prstGeom prst="rect">
                      <a:avLst/>
                    </a:prstGeom>
                  </pic:spPr>
                </pic:pic>
              </a:graphicData>
            </a:graphic>
          </wp:inline>
        </w:drawing>
      </w:r>
    </w:p>
    <w:p w14:paraId="12DEFA34">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图25  对提交成果开展当面核对</w:t>
      </w:r>
    </w:p>
    <w:p w14:paraId="619A90B9">
      <w:pPr>
        <w:keepNext/>
        <w:keepLines/>
        <w:pageBreakBefore w:val="0"/>
        <w:widowControl/>
        <w:spacing w:before="0" w:after="40" w:line="240" w:lineRule="auto"/>
        <w:ind w:firstLine="0"/>
        <w:jc w:val="center"/>
      </w:pPr>
      <w:r>
        <w:drawing>
          <wp:inline distT="0" distB="0" distL="114300" distR="114300">
            <wp:extent cx="5214620" cy="2933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5"/>
                    <a:stretch>
                      <a:fillRect/>
                    </a:stretch>
                  </pic:blipFill>
                  <pic:spPr>
                    <a:xfrm>
                      <a:off x="0" y="0"/>
                      <a:ext cx="5214726" cy="2934000"/>
                    </a:xfrm>
                    <a:prstGeom prst="rect">
                      <a:avLst/>
                    </a:prstGeom>
                  </pic:spPr>
                </pic:pic>
              </a:graphicData>
            </a:graphic>
          </wp:inline>
        </w:drawing>
      </w:r>
    </w:p>
    <w:p w14:paraId="43F2A4F7">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图26  针对图层问题进行现场讨论</w:t>
      </w:r>
    </w:p>
    <w:p w14:paraId="37873488">
      <w:pPr>
        <w:pStyle w:val="8"/>
        <w:keepNext/>
        <w:keepLines/>
        <w:pageBreakBefore/>
        <w:widowControl/>
        <w:spacing w:before="100" w:after="140" w:line="300" w:lineRule="auto"/>
        <w:ind w:firstLine="0"/>
      </w:pPr>
      <w:r>
        <w:rPr>
          <w:rFonts w:ascii="Times New Roman" w:hAnsi="Times New Roman" w:eastAsia="黑体" w:cs="Times New Roman"/>
          <w:color w:val="000000"/>
          <w:sz w:val="24"/>
        </w:rPr>
        <w:t>2026年7月24日至8月2日驻场记录</w:t>
      </w:r>
    </w:p>
    <w:p w14:paraId="696288A3">
      <w:pPr>
        <w:keepNext/>
        <w:keepLines/>
        <w:pageBreakBefore w:val="0"/>
        <w:widowControl/>
        <w:spacing w:before="0" w:after="40" w:line="240" w:lineRule="auto"/>
        <w:ind w:firstLine="0"/>
        <w:jc w:val="center"/>
      </w:pPr>
      <w:r>
        <w:drawing>
          <wp:inline distT="0" distB="0" distL="114300" distR="114300">
            <wp:extent cx="5214620" cy="2933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6"/>
                    <a:stretch>
                      <a:fillRect/>
                    </a:stretch>
                  </pic:blipFill>
                  <pic:spPr>
                    <a:xfrm>
                      <a:off x="0" y="0"/>
                      <a:ext cx="5214726" cy="2934000"/>
                    </a:xfrm>
                    <a:prstGeom prst="rect">
                      <a:avLst/>
                    </a:prstGeom>
                  </pic:spPr>
                </pic:pic>
              </a:graphicData>
            </a:graphic>
          </wp:inline>
        </w:drawing>
      </w:r>
    </w:p>
    <w:p w14:paraId="585416EC">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图27  驻场工作现场记录</w:t>
      </w:r>
    </w:p>
    <w:p w14:paraId="38D875EA">
      <w:pPr>
        <w:keepNext/>
        <w:keepLines/>
        <w:pageBreakBefore w:val="0"/>
        <w:widowControl/>
        <w:spacing w:before="0" w:after="40" w:line="240" w:lineRule="auto"/>
        <w:ind w:firstLine="0"/>
        <w:jc w:val="center"/>
      </w:pPr>
      <w:r>
        <w:drawing>
          <wp:inline distT="0" distB="0" distL="114300" distR="114300">
            <wp:extent cx="5214620" cy="2933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7"/>
                    <a:stretch>
                      <a:fillRect/>
                    </a:stretch>
                  </pic:blipFill>
                  <pic:spPr>
                    <a:xfrm>
                      <a:off x="0" y="0"/>
                      <a:ext cx="5214726" cy="2934000"/>
                    </a:xfrm>
                    <a:prstGeom prst="rect">
                      <a:avLst/>
                    </a:prstGeom>
                  </pic:spPr>
                </pic:pic>
              </a:graphicData>
            </a:graphic>
          </wp:inline>
        </w:drawing>
      </w:r>
    </w:p>
    <w:p w14:paraId="652BFCF2">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图28  围绕修改成果沟通核查意见</w:t>
      </w:r>
    </w:p>
    <w:p w14:paraId="04995BDD">
      <w:pPr>
        <w:pStyle w:val="7"/>
        <w:keepNext/>
        <w:keepLines/>
        <w:pageBreakBefore/>
        <w:widowControl/>
        <w:spacing w:before="100" w:after="140" w:line="300" w:lineRule="auto"/>
        <w:ind w:firstLine="0"/>
      </w:pPr>
      <w:r>
        <w:rPr>
          <w:rFonts w:ascii="Times New Roman" w:hAnsi="Times New Roman" w:eastAsia="黑体" w:cs="Times New Roman"/>
          <w:color w:val="000000"/>
          <w:sz w:val="28"/>
        </w:rPr>
        <w:t>三、会议总结</w:t>
      </w:r>
    </w:p>
    <w:p w14:paraId="0B94CA46">
      <w:pPr>
        <w:keepNext w:val="0"/>
        <w:keepLines/>
        <w:pageBreakBefore w:val="0"/>
        <w:widowControl/>
        <w:spacing w:before="0" w:after="100" w:line="300" w:lineRule="auto"/>
        <w:ind w:firstLine="482"/>
      </w:pPr>
      <w:r>
        <w:rPr>
          <w:rFonts w:ascii="Times New Roman" w:hAnsi="Times New Roman" w:eastAsia="宋体" w:cs="Times New Roman"/>
          <w:color w:val="000000"/>
          <w:sz w:val="24"/>
        </w:rPr>
        <w:t>7月16日会议在石家庄举行。依据会议日程，上午安排三普成果验收要求讲解、各市进度及问题汇报、验收工作部署，并开展河北土壤分类、类型制图和耕地质量评价等技术交流；下午安排属性制图、农业利用适宜性评价、土特产品评价及成果质控问题讲解，最后进行问题交流。</w:t>
      </w:r>
    </w:p>
    <w:p w14:paraId="3ABA5AE7">
      <w:pPr>
        <w:keepNext w:val="0"/>
        <w:keepLines/>
        <w:pageBreakBefore w:val="0"/>
        <w:widowControl/>
        <w:spacing w:before="0" w:after="100" w:line="300" w:lineRule="auto"/>
        <w:ind w:firstLine="482"/>
      </w:pPr>
      <w:r>
        <w:rPr>
          <w:rFonts w:ascii="Times New Roman" w:hAnsi="Times New Roman" w:eastAsia="宋体" w:cs="Times New Roman"/>
          <w:color w:val="000000"/>
          <w:sz w:val="24"/>
        </w:rPr>
        <w:t>会议交流强调按成果汇交要求规范组织材料，统一文件和文件夹命名，核对文字成果行政区划代码与县区名称前缀、数字化图件名称和专题内容的对应关系。结合此次会议，后续质控应把成果目录、数据可读性、图文数据一致性及共性问题复核作为检查重点，并依据正式规范逐项反馈。</w:t>
      </w:r>
    </w:p>
    <w:p w14:paraId="35E7069D">
      <w:pPr>
        <w:keepNext/>
        <w:keepLines/>
        <w:pageBreakBefore w:val="0"/>
        <w:widowControl/>
        <w:spacing w:before="0" w:after="40" w:line="240" w:lineRule="auto"/>
        <w:ind w:firstLine="0"/>
        <w:jc w:val="center"/>
      </w:pPr>
      <w:r>
        <w:drawing>
          <wp:inline distT="0" distB="0" distL="114300" distR="114300">
            <wp:extent cx="4286885" cy="24117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8"/>
                    <a:stretch>
                      <a:fillRect/>
                    </a:stretch>
                  </pic:blipFill>
                  <pic:spPr>
                    <a:xfrm>
                      <a:off x="0" y="0"/>
                      <a:ext cx="4286953" cy="2412000"/>
                    </a:xfrm>
                    <a:prstGeom prst="rect">
                      <a:avLst/>
                    </a:prstGeom>
                  </pic:spPr>
                </pic:pic>
              </a:graphicData>
            </a:graphic>
          </wp:inline>
        </w:drawing>
      </w:r>
    </w:p>
    <w:p w14:paraId="01F22AEE">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图29  成果汇交文件与文件夹命名要求讲解</w:t>
      </w:r>
    </w:p>
    <w:p w14:paraId="32235C69">
      <w:pPr>
        <w:keepNext/>
        <w:keepLines/>
        <w:pageBreakBefore w:val="0"/>
        <w:widowControl/>
        <w:spacing w:before="0" w:after="40" w:line="240" w:lineRule="auto"/>
        <w:ind w:firstLine="0"/>
        <w:jc w:val="center"/>
      </w:pPr>
      <w:r>
        <w:drawing>
          <wp:inline distT="0" distB="0" distL="114300" distR="114300">
            <wp:extent cx="4286885" cy="24117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9"/>
                    <a:stretch>
                      <a:fillRect/>
                    </a:stretch>
                  </pic:blipFill>
                  <pic:spPr>
                    <a:xfrm>
                      <a:off x="0" y="0"/>
                      <a:ext cx="4286953" cy="2412000"/>
                    </a:xfrm>
                    <a:prstGeom prst="rect">
                      <a:avLst/>
                    </a:prstGeom>
                  </pic:spPr>
                </pic:pic>
              </a:graphicData>
            </a:graphic>
          </wp:inline>
        </w:drawing>
      </w:r>
    </w:p>
    <w:p w14:paraId="120E4AFA">
      <w:pPr>
        <w:keepNext w:val="0"/>
        <w:keepLines/>
        <w:pageBreakBefore w:val="0"/>
        <w:widowControl/>
        <w:spacing w:before="0" w:after="120" w:line="300" w:lineRule="auto"/>
        <w:ind w:firstLine="0"/>
        <w:jc w:val="center"/>
      </w:pPr>
      <w:r>
        <w:rPr>
          <w:rFonts w:ascii="Times New Roman" w:hAnsi="Times New Roman" w:eastAsia="宋体" w:cs="Times New Roman"/>
          <w:color w:val="000000"/>
          <w:sz w:val="20"/>
        </w:rPr>
        <w:t>图30  河北土壤分类专题交流</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CAE6C">
    <w:pPr>
      <w:jc w:val="center"/>
    </w:pPr>
    <w:r>
      <w:fldChar w:fldCharType="begin"/>
    </w:r>
    <w:r>
      <w:instrText xml:space="preserve">PAGE</w:instrText>
    </w:r>
    <w:r>
      <w:fldChar w:fldCharType="separate"/>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wNTI3OTFiYzhjMDdhNjJkZTRiODE3N2U0ZGM3ODEifQ=="/>
  </w:docVars>
  <w:rsids>
    <w:rsidRoot w:val="5EFB0C8C"/>
    <w:rsid w:val="00015F32"/>
    <w:rsid w:val="001F100A"/>
    <w:rsid w:val="0043403C"/>
    <w:rsid w:val="005D5464"/>
    <w:rsid w:val="006049A5"/>
    <w:rsid w:val="006D455A"/>
    <w:rsid w:val="00937FF2"/>
    <w:rsid w:val="00A24249"/>
    <w:rsid w:val="00A66A37"/>
    <w:rsid w:val="00B919D3"/>
    <w:rsid w:val="00B93F2F"/>
    <w:rsid w:val="00DF0942"/>
    <w:rsid w:val="00F22439"/>
    <w:rsid w:val="00F44F02"/>
    <w:rsid w:val="01086352"/>
    <w:rsid w:val="01206F80"/>
    <w:rsid w:val="01277475"/>
    <w:rsid w:val="012E6518"/>
    <w:rsid w:val="01492A9E"/>
    <w:rsid w:val="01614448"/>
    <w:rsid w:val="0178668D"/>
    <w:rsid w:val="01797C62"/>
    <w:rsid w:val="01897D0F"/>
    <w:rsid w:val="018D08F6"/>
    <w:rsid w:val="01BA3160"/>
    <w:rsid w:val="01CD008B"/>
    <w:rsid w:val="01DB6147"/>
    <w:rsid w:val="02035D5E"/>
    <w:rsid w:val="020D15B9"/>
    <w:rsid w:val="0228102C"/>
    <w:rsid w:val="02557E16"/>
    <w:rsid w:val="026E5AFB"/>
    <w:rsid w:val="02BE3EE0"/>
    <w:rsid w:val="02E77748"/>
    <w:rsid w:val="02EF7BC9"/>
    <w:rsid w:val="02FE66DA"/>
    <w:rsid w:val="03160142"/>
    <w:rsid w:val="03173D2F"/>
    <w:rsid w:val="031A75CE"/>
    <w:rsid w:val="032B47A6"/>
    <w:rsid w:val="034016C7"/>
    <w:rsid w:val="035265D8"/>
    <w:rsid w:val="03736E5C"/>
    <w:rsid w:val="039A44B7"/>
    <w:rsid w:val="03B90BBC"/>
    <w:rsid w:val="04050F06"/>
    <w:rsid w:val="040D67FC"/>
    <w:rsid w:val="042E1A68"/>
    <w:rsid w:val="043C08A1"/>
    <w:rsid w:val="04445383"/>
    <w:rsid w:val="048D5E78"/>
    <w:rsid w:val="049412EF"/>
    <w:rsid w:val="04A92C15"/>
    <w:rsid w:val="04B82D10"/>
    <w:rsid w:val="04E34424"/>
    <w:rsid w:val="04E60DFB"/>
    <w:rsid w:val="050F724C"/>
    <w:rsid w:val="05372F23"/>
    <w:rsid w:val="05742222"/>
    <w:rsid w:val="05E54FFA"/>
    <w:rsid w:val="061309EF"/>
    <w:rsid w:val="061D12C0"/>
    <w:rsid w:val="0623247F"/>
    <w:rsid w:val="06932624"/>
    <w:rsid w:val="069F2804"/>
    <w:rsid w:val="06A22724"/>
    <w:rsid w:val="06C35870"/>
    <w:rsid w:val="06D06FB1"/>
    <w:rsid w:val="06FE47A8"/>
    <w:rsid w:val="070372F4"/>
    <w:rsid w:val="072478D7"/>
    <w:rsid w:val="07266615"/>
    <w:rsid w:val="07B472EE"/>
    <w:rsid w:val="07B9394D"/>
    <w:rsid w:val="07BA56D8"/>
    <w:rsid w:val="07BD33E9"/>
    <w:rsid w:val="07C10E50"/>
    <w:rsid w:val="07C74D70"/>
    <w:rsid w:val="07C80B90"/>
    <w:rsid w:val="07DC4AD9"/>
    <w:rsid w:val="07E30C05"/>
    <w:rsid w:val="07E9429B"/>
    <w:rsid w:val="07FA4620"/>
    <w:rsid w:val="080178C4"/>
    <w:rsid w:val="08184EB7"/>
    <w:rsid w:val="08267E3E"/>
    <w:rsid w:val="08414652"/>
    <w:rsid w:val="0849494F"/>
    <w:rsid w:val="085923FB"/>
    <w:rsid w:val="085A1DC8"/>
    <w:rsid w:val="08782A30"/>
    <w:rsid w:val="087950CB"/>
    <w:rsid w:val="089E75E5"/>
    <w:rsid w:val="08B4749B"/>
    <w:rsid w:val="08D21E59"/>
    <w:rsid w:val="08DC3918"/>
    <w:rsid w:val="08DE7A4D"/>
    <w:rsid w:val="08FE66A3"/>
    <w:rsid w:val="09136AD6"/>
    <w:rsid w:val="09416369"/>
    <w:rsid w:val="094A0AED"/>
    <w:rsid w:val="094E7F25"/>
    <w:rsid w:val="095E5943"/>
    <w:rsid w:val="097318C6"/>
    <w:rsid w:val="09773F25"/>
    <w:rsid w:val="09A101AA"/>
    <w:rsid w:val="09C25FBD"/>
    <w:rsid w:val="0A0C1E38"/>
    <w:rsid w:val="0A105A3D"/>
    <w:rsid w:val="0A1D5DDA"/>
    <w:rsid w:val="0A281773"/>
    <w:rsid w:val="0A34098C"/>
    <w:rsid w:val="0A384A7B"/>
    <w:rsid w:val="0A8170C3"/>
    <w:rsid w:val="0A972B8F"/>
    <w:rsid w:val="0A9A12E4"/>
    <w:rsid w:val="0ABE721B"/>
    <w:rsid w:val="0AD17F08"/>
    <w:rsid w:val="0AD924F2"/>
    <w:rsid w:val="0B15726F"/>
    <w:rsid w:val="0B1C5811"/>
    <w:rsid w:val="0B27751D"/>
    <w:rsid w:val="0B30226B"/>
    <w:rsid w:val="0B3867EE"/>
    <w:rsid w:val="0B3A2122"/>
    <w:rsid w:val="0B496D1D"/>
    <w:rsid w:val="0B584EB4"/>
    <w:rsid w:val="0B74202B"/>
    <w:rsid w:val="0B922113"/>
    <w:rsid w:val="0BA24085"/>
    <w:rsid w:val="0BA370B7"/>
    <w:rsid w:val="0BD27B90"/>
    <w:rsid w:val="0BDD555B"/>
    <w:rsid w:val="0C1F44E4"/>
    <w:rsid w:val="0C490AE1"/>
    <w:rsid w:val="0C7A0914"/>
    <w:rsid w:val="0C7D3989"/>
    <w:rsid w:val="0CC6012E"/>
    <w:rsid w:val="0CCB0F19"/>
    <w:rsid w:val="0CD850A4"/>
    <w:rsid w:val="0CE252B8"/>
    <w:rsid w:val="0CF33A36"/>
    <w:rsid w:val="0D002B56"/>
    <w:rsid w:val="0D01346B"/>
    <w:rsid w:val="0D0B00FA"/>
    <w:rsid w:val="0D0D5DEB"/>
    <w:rsid w:val="0D544930"/>
    <w:rsid w:val="0D670CF8"/>
    <w:rsid w:val="0D700E9E"/>
    <w:rsid w:val="0D9D6649"/>
    <w:rsid w:val="0DAD4ADD"/>
    <w:rsid w:val="0DB64C5C"/>
    <w:rsid w:val="0DF12849"/>
    <w:rsid w:val="0E024584"/>
    <w:rsid w:val="0E1953A6"/>
    <w:rsid w:val="0E297333"/>
    <w:rsid w:val="0E395239"/>
    <w:rsid w:val="0E4E5730"/>
    <w:rsid w:val="0E6D41F4"/>
    <w:rsid w:val="0E80528F"/>
    <w:rsid w:val="0E856680"/>
    <w:rsid w:val="0E9536BB"/>
    <w:rsid w:val="0EA57E0B"/>
    <w:rsid w:val="0EEA152F"/>
    <w:rsid w:val="0EF519B3"/>
    <w:rsid w:val="0EFE3FE7"/>
    <w:rsid w:val="0EFF62F2"/>
    <w:rsid w:val="0F0753FD"/>
    <w:rsid w:val="0F2606E4"/>
    <w:rsid w:val="0F6D4D4C"/>
    <w:rsid w:val="0F820413"/>
    <w:rsid w:val="0FB16066"/>
    <w:rsid w:val="0FF877CB"/>
    <w:rsid w:val="0FF9478A"/>
    <w:rsid w:val="0FFD6F8A"/>
    <w:rsid w:val="10171036"/>
    <w:rsid w:val="10325E5F"/>
    <w:rsid w:val="103D6C1D"/>
    <w:rsid w:val="10734CBE"/>
    <w:rsid w:val="108A6825"/>
    <w:rsid w:val="10A9456B"/>
    <w:rsid w:val="10D36700"/>
    <w:rsid w:val="10EF1C5A"/>
    <w:rsid w:val="10F70C07"/>
    <w:rsid w:val="110B5602"/>
    <w:rsid w:val="111A0FAE"/>
    <w:rsid w:val="111B2279"/>
    <w:rsid w:val="11311F57"/>
    <w:rsid w:val="11324E38"/>
    <w:rsid w:val="114B6AF9"/>
    <w:rsid w:val="11523E12"/>
    <w:rsid w:val="116645F0"/>
    <w:rsid w:val="1169334B"/>
    <w:rsid w:val="117C4A11"/>
    <w:rsid w:val="11827E9D"/>
    <w:rsid w:val="118B6E36"/>
    <w:rsid w:val="118D6E27"/>
    <w:rsid w:val="11A91F16"/>
    <w:rsid w:val="11F04FA2"/>
    <w:rsid w:val="11FA3716"/>
    <w:rsid w:val="12521F65"/>
    <w:rsid w:val="125619F0"/>
    <w:rsid w:val="125A67DF"/>
    <w:rsid w:val="125D5895"/>
    <w:rsid w:val="12872B26"/>
    <w:rsid w:val="12895BBF"/>
    <w:rsid w:val="12A8500C"/>
    <w:rsid w:val="12B911A0"/>
    <w:rsid w:val="12C13659"/>
    <w:rsid w:val="12CA6196"/>
    <w:rsid w:val="12CA71E5"/>
    <w:rsid w:val="12EB1F65"/>
    <w:rsid w:val="12FE18B2"/>
    <w:rsid w:val="13331D79"/>
    <w:rsid w:val="13363DCA"/>
    <w:rsid w:val="133E4600"/>
    <w:rsid w:val="13411352"/>
    <w:rsid w:val="135A4865"/>
    <w:rsid w:val="135C6151"/>
    <w:rsid w:val="13B97894"/>
    <w:rsid w:val="13CA11AD"/>
    <w:rsid w:val="13CD7BF5"/>
    <w:rsid w:val="13D3046D"/>
    <w:rsid w:val="13EC50CF"/>
    <w:rsid w:val="13F75269"/>
    <w:rsid w:val="13F9380C"/>
    <w:rsid w:val="140171EC"/>
    <w:rsid w:val="140709D4"/>
    <w:rsid w:val="140F325D"/>
    <w:rsid w:val="141823C9"/>
    <w:rsid w:val="14340CEE"/>
    <w:rsid w:val="143904B9"/>
    <w:rsid w:val="1444337C"/>
    <w:rsid w:val="146575EB"/>
    <w:rsid w:val="14967E31"/>
    <w:rsid w:val="14F03B22"/>
    <w:rsid w:val="15225D1E"/>
    <w:rsid w:val="15251582"/>
    <w:rsid w:val="153A23A0"/>
    <w:rsid w:val="15593068"/>
    <w:rsid w:val="157925A7"/>
    <w:rsid w:val="158E54EE"/>
    <w:rsid w:val="15980ECF"/>
    <w:rsid w:val="159F384A"/>
    <w:rsid w:val="15A32CEF"/>
    <w:rsid w:val="15B806DD"/>
    <w:rsid w:val="15C45D99"/>
    <w:rsid w:val="15C75AE7"/>
    <w:rsid w:val="15CE4C16"/>
    <w:rsid w:val="15F147DC"/>
    <w:rsid w:val="15FE382F"/>
    <w:rsid w:val="16063B78"/>
    <w:rsid w:val="162E4628"/>
    <w:rsid w:val="163201F5"/>
    <w:rsid w:val="16323A9F"/>
    <w:rsid w:val="163445BD"/>
    <w:rsid w:val="16357B20"/>
    <w:rsid w:val="164B587C"/>
    <w:rsid w:val="166D0488"/>
    <w:rsid w:val="168956C7"/>
    <w:rsid w:val="168E559A"/>
    <w:rsid w:val="169C7491"/>
    <w:rsid w:val="169E5D42"/>
    <w:rsid w:val="16D374E7"/>
    <w:rsid w:val="16DC4DC9"/>
    <w:rsid w:val="172110AC"/>
    <w:rsid w:val="174D005F"/>
    <w:rsid w:val="175C05C8"/>
    <w:rsid w:val="175D6AE7"/>
    <w:rsid w:val="178E4F66"/>
    <w:rsid w:val="17931615"/>
    <w:rsid w:val="17B76143"/>
    <w:rsid w:val="17DD1AE6"/>
    <w:rsid w:val="17FA3B8B"/>
    <w:rsid w:val="18020ABE"/>
    <w:rsid w:val="181428E2"/>
    <w:rsid w:val="181B3DFE"/>
    <w:rsid w:val="181D20E4"/>
    <w:rsid w:val="18256EC9"/>
    <w:rsid w:val="18313735"/>
    <w:rsid w:val="183D2920"/>
    <w:rsid w:val="184627A0"/>
    <w:rsid w:val="184E1992"/>
    <w:rsid w:val="185E733E"/>
    <w:rsid w:val="18810F39"/>
    <w:rsid w:val="188A0C9A"/>
    <w:rsid w:val="18A76249"/>
    <w:rsid w:val="18C57734"/>
    <w:rsid w:val="18DB51AA"/>
    <w:rsid w:val="18EF6D04"/>
    <w:rsid w:val="18F65417"/>
    <w:rsid w:val="18FA268F"/>
    <w:rsid w:val="19073666"/>
    <w:rsid w:val="190957C3"/>
    <w:rsid w:val="191259C5"/>
    <w:rsid w:val="191645F3"/>
    <w:rsid w:val="19435862"/>
    <w:rsid w:val="19587C4C"/>
    <w:rsid w:val="196002F1"/>
    <w:rsid w:val="19613753"/>
    <w:rsid w:val="19632F2E"/>
    <w:rsid w:val="196676DF"/>
    <w:rsid w:val="19A12AA9"/>
    <w:rsid w:val="19B54E29"/>
    <w:rsid w:val="19CE7F1A"/>
    <w:rsid w:val="19DB35F3"/>
    <w:rsid w:val="19F86827"/>
    <w:rsid w:val="1A203E59"/>
    <w:rsid w:val="1A3E7AD1"/>
    <w:rsid w:val="1A5328A6"/>
    <w:rsid w:val="1A711AB2"/>
    <w:rsid w:val="1AC76270"/>
    <w:rsid w:val="1ACF721D"/>
    <w:rsid w:val="1AD418D5"/>
    <w:rsid w:val="1AE91285"/>
    <w:rsid w:val="1B1F32D5"/>
    <w:rsid w:val="1B295371"/>
    <w:rsid w:val="1B3F3F13"/>
    <w:rsid w:val="1B4D1CC9"/>
    <w:rsid w:val="1B5A6715"/>
    <w:rsid w:val="1B672E50"/>
    <w:rsid w:val="1B6B5EFA"/>
    <w:rsid w:val="1B726559"/>
    <w:rsid w:val="1B9644DB"/>
    <w:rsid w:val="1B9F2B89"/>
    <w:rsid w:val="1BAE548E"/>
    <w:rsid w:val="1BB83478"/>
    <w:rsid w:val="1BC21ADA"/>
    <w:rsid w:val="1BC570BC"/>
    <w:rsid w:val="1BD4694F"/>
    <w:rsid w:val="1BFD3A7B"/>
    <w:rsid w:val="1C3C65F5"/>
    <w:rsid w:val="1C595530"/>
    <w:rsid w:val="1C5B1739"/>
    <w:rsid w:val="1C775D3E"/>
    <w:rsid w:val="1C94033D"/>
    <w:rsid w:val="1CB540EC"/>
    <w:rsid w:val="1CD1422D"/>
    <w:rsid w:val="1CD3760B"/>
    <w:rsid w:val="1CE604C5"/>
    <w:rsid w:val="1CEA22CE"/>
    <w:rsid w:val="1CEA7E09"/>
    <w:rsid w:val="1D185619"/>
    <w:rsid w:val="1D1D1836"/>
    <w:rsid w:val="1D2803F2"/>
    <w:rsid w:val="1D4F468C"/>
    <w:rsid w:val="1D4F5DE7"/>
    <w:rsid w:val="1D737C22"/>
    <w:rsid w:val="1D782D94"/>
    <w:rsid w:val="1D7940D5"/>
    <w:rsid w:val="1D9E3E44"/>
    <w:rsid w:val="1DAB3F32"/>
    <w:rsid w:val="1DAE43A0"/>
    <w:rsid w:val="1DC01E7A"/>
    <w:rsid w:val="1DE028CF"/>
    <w:rsid w:val="1DE1432C"/>
    <w:rsid w:val="1DE63D9A"/>
    <w:rsid w:val="1DEC034D"/>
    <w:rsid w:val="1E1A2260"/>
    <w:rsid w:val="1E294C58"/>
    <w:rsid w:val="1E2B73EA"/>
    <w:rsid w:val="1E5D4918"/>
    <w:rsid w:val="1E6B7003"/>
    <w:rsid w:val="1E826CEA"/>
    <w:rsid w:val="1EA76297"/>
    <w:rsid w:val="1EC94744"/>
    <w:rsid w:val="1F2E028D"/>
    <w:rsid w:val="1F474010"/>
    <w:rsid w:val="1F542AC9"/>
    <w:rsid w:val="1F6079C9"/>
    <w:rsid w:val="1F756320"/>
    <w:rsid w:val="1F8223C8"/>
    <w:rsid w:val="1F847AE6"/>
    <w:rsid w:val="1FA73810"/>
    <w:rsid w:val="1FDC7815"/>
    <w:rsid w:val="1FDE5B53"/>
    <w:rsid w:val="1FF778F1"/>
    <w:rsid w:val="202021A7"/>
    <w:rsid w:val="20260E88"/>
    <w:rsid w:val="20501414"/>
    <w:rsid w:val="205C37A2"/>
    <w:rsid w:val="205F76D3"/>
    <w:rsid w:val="20797027"/>
    <w:rsid w:val="209516C8"/>
    <w:rsid w:val="20A91463"/>
    <w:rsid w:val="20E45ED9"/>
    <w:rsid w:val="20FB4EA5"/>
    <w:rsid w:val="211736F1"/>
    <w:rsid w:val="211A1C3A"/>
    <w:rsid w:val="211A411E"/>
    <w:rsid w:val="213426A6"/>
    <w:rsid w:val="21434713"/>
    <w:rsid w:val="214732C8"/>
    <w:rsid w:val="214F32BD"/>
    <w:rsid w:val="2151511E"/>
    <w:rsid w:val="21852403"/>
    <w:rsid w:val="218B78B6"/>
    <w:rsid w:val="21A4237B"/>
    <w:rsid w:val="21D01658"/>
    <w:rsid w:val="21D83371"/>
    <w:rsid w:val="21E2167F"/>
    <w:rsid w:val="221B54CC"/>
    <w:rsid w:val="224F0D9B"/>
    <w:rsid w:val="22560A3F"/>
    <w:rsid w:val="22691D17"/>
    <w:rsid w:val="228E43F0"/>
    <w:rsid w:val="22A712EE"/>
    <w:rsid w:val="22CF4C0B"/>
    <w:rsid w:val="22D4645A"/>
    <w:rsid w:val="22F21777"/>
    <w:rsid w:val="22F52AA8"/>
    <w:rsid w:val="230C7AD0"/>
    <w:rsid w:val="23171931"/>
    <w:rsid w:val="235E654A"/>
    <w:rsid w:val="237C4E26"/>
    <w:rsid w:val="23827481"/>
    <w:rsid w:val="2392443C"/>
    <w:rsid w:val="23E86FE0"/>
    <w:rsid w:val="23EA5DBF"/>
    <w:rsid w:val="240C1F81"/>
    <w:rsid w:val="24216384"/>
    <w:rsid w:val="243735C4"/>
    <w:rsid w:val="245A3A96"/>
    <w:rsid w:val="246D3574"/>
    <w:rsid w:val="2480784E"/>
    <w:rsid w:val="248C6598"/>
    <w:rsid w:val="24B40568"/>
    <w:rsid w:val="24BB29DF"/>
    <w:rsid w:val="24CC1B4E"/>
    <w:rsid w:val="24D96349"/>
    <w:rsid w:val="24DE0AC6"/>
    <w:rsid w:val="24EB2AC1"/>
    <w:rsid w:val="24EF07CB"/>
    <w:rsid w:val="24F457E8"/>
    <w:rsid w:val="251A2C3E"/>
    <w:rsid w:val="251E12F6"/>
    <w:rsid w:val="25287FCF"/>
    <w:rsid w:val="25324D96"/>
    <w:rsid w:val="253560CB"/>
    <w:rsid w:val="253C29B0"/>
    <w:rsid w:val="253D7229"/>
    <w:rsid w:val="253E32EB"/>
    <w:rsid w:val="25462536"/>
    <w:rsid w:val="254853AA"/>
    <w:rsid w:val="254D2D63"/>
    <w:rsid w:val="25853E29"/>
    <w:rsid w:val="258B3B11"/>
    <w:rsid w:val="25960D94"/>
    <w:rsid w:val="25AC5018"/>
    <w:rsid w:val="25BD35B1"/>
    <w:rsid w:val="25C9230A"/>
    <w:rsid w:val="25D47780"/>
    <w:rsid w:val="25DB1A26"/>
    <w:rsid w:val="25DB4159"/>
    <w:rsid w:val="25F72810"/>
    <w:rsid w:val="25FC5CEE"/>
    <w:rsid w:val="260615C8"/>
    <w:rsid w:val="26106371"/>
    <w:rsid w:val="2615577E"/>
    <w:rsid w:val="261813BF"/>
    <w:rsid w:val="261B3516"/>
    <w:rsid w:val="262125F2"/>
    <w:rsid w:val="26421D5E"/>
    <w:rsid w:val="264F62DF"/>
    <w:rsid w:val="26565E9D"/>
    <w:rsid w:val="266E597C"/>
    <w:rsid w:val="26766F44"/>
    <w:rsid w:val="267C308F"/>
    <w:rsid w:val="26853B37"/>
    <w:rsid w:val="268B46B0"/>
    <w:rsid w:val="268D58AE"/>
    <w:rsid w:val="269F0133"/>
    <w:rsid w:val="26BD0BD1"/>
    <w:rsid w:val="26E25E7A"/>
    <w:rsid w:val="26EF18D6"/>
    <w:rsid w:val="272C4213"/>
    <w:rsid w:val="275212A8"/>
    <w:rsid w:val="275A1CFD"/>
    <w:rsid w:val="276B4DFA"/>
    <w:rsid w:val="27726056"/>
    <w:rsid w:val="27AF30D0"/>
    <w:rsid w:val="27B13922"/>
    <w:rsid w:val="27B93DD0"/>
    <w:rsid w:val="27C74DA6"/>
    <w:rsid w:val="27F911DD"/>
    <w:rsid w:val="280D4F18"/>
    <w:rsid w:val="2846309D"/>
    <w:rsid w:val="2867106F"/>
    <w:rsid w:val="289160E7"/>
    <w:rsid w:val="28997352"/>
    <w:rsid w:val="28E4119D"/>
    <w:rsid w:val="28EB44E7"/>
    <w:rsid w:val="28F37F18"/>
    <w:rsid w:val="28FC5815"/>
    <w:rsid w:val="291D1099"/>
    <w:rsid w:val="292A10AB"/>
    <w:rsid w:val="293F358A"/>
    <w:rsid w:val="29447EE0"/>
    <w:rsid w:val="294E0A1A"/>
    <w:rsid w:val="294F71ED"/>
    <w:rsid w:val="29560570"/>
    <w:rsid w:val="298415B5"/>
    <w:rsid w:val="298809BC"/>
    <w:rsid w:val="29A3274D"/>
    <w:rsid w:val="29BC2344"/>
    <w:rsid w:val="29D43346"/>
    <w:rsid w:val="29D832B6"/>
    <w:rsid w:val="29FE7EAF"/>
    <w:rsid w:val="2A2404C3"/>
    <w:rsid w:val="2A2D0AA2"/>
    <w:rsid w:val="2A404EF4"/>
    <w:rsid w:val="2A466008"/>
    <w:rsid w:val="2A607F8B"/>
    <w:rsid w:val="2A8F6433"/>
    <w:rsid w:val="2A927D58"/>
    <w:rsid w:val="2A930649"/>
    <w:rsid w:val="2B0F5E70"/>
    <w:rsid w:val="2B257A03"/>
    <w:rsid w:val="2B301631"/>
    <w:rsid w:val="2B3C19F8"/>
    <w:rsid w:val="2B424E7F"/>
    <w:rsid w:val="2B52044E"/>
    <w:rsid w:val="2B580DE8"/>
    <w:rsid w:val="2B607951"/>
    <w:rsid w:val="2B6574A1"/>
    <w:rsid w:val="2B662DAD"/>
    <w:rsid w:val="2B822422"/>
    <w:rsid w:val="2B8A09D8"/>
    <w:rsid w:val="2BA85AA5"/>
    <w:rsid w:val="2BC26E93"/>
    <w:rsid w:val="2BC76BF6"/>
    <w:rsid w:val="2BD23BF6"/>
    <w:rsid w:val="2BF8553C"/>
    <w:rsid w:val="2C1C5275"/>
    <w:rsid w:val="2C1C7259"/>
    <w:rsid w:val="2C2960C5"/>
    <w:rsid w:val="2C3C558D"/>
    <w:rsid w:val="2C5441ED"/>
    <w:rsid w:val="2C5D0285"/>
    <w:rsid w:val="2C5F16A7"/>
    <w:rsid w:val="2C922099"/>
    <w:rsid w:val="2CA153AC"/>
    <w:rsid w:val="2CC44711"/>
    <w:rsid w:val="2CC7555C"/>
    <w:rsid w:val="2CCF6583"/>
    <w:rsid w:val="2D145A9D"/>
    <w:rsid w:val="2D163800"/>
    <w:rsid w:val="2D1D3CB7"/>
    <w:rsid w:val="2D2D0655"/>
    <w:rsid w:val="2D3A73C8"/>
    <w:rsid w:val="2D3D0FE2"/>
    <w:rsid w:val="2D4332AF"/>
    <w:rsid w:val="2D455D02"/>
    <w:rsid w:val="2D555F08"/>
    <w:rsid w:val="2D632581"/>
    <w:rsid w:val="2D6E210F"/>
    <w:rsid w:val="2D994A7D"/>
    <w:rsid w:val="2DA96F01"/>
    <w:rsid w:val="2DAC0422"/>
    <w:rsid w:val="2DC37A8B"/>
    <w:rsid w:val="2DE339FE"/>
    <w:rsid w:val="2DE47F8D"/>
    <w:rsid w:val="2DF1357C"/>
    <w:rsid w:val="2E332A0A"/>
    <w:rsid w:val="2E60571A"/>
    <w:rsid w:val="2E734BF0"/>
    <w:rsid w:val="2EA41ACA"/>
    <w:rsid w:val="2EAC750A"/>
    <w:rsid w:val="2EE73D7C"/>
    <w:rsid w:val="2EE74D72"/>
    <w:rsid w:val="2F1F03E9"/>
    <w:rsid w:val="2F567FA8"/>
    <w:rsid w:val="2F676859"/>
    <w:rsid w:val="2F8E6F80"/>
    <w:rsid w:val="2FA11E85"/>
    <w:rsid w:val="2FBA4BF5"/>
    <w:rsid w:val="2FBF16E2"/>
    <w:rsid w:val="2FEA1DC3"/>
    <w:rsid w:val="2FFB6D2D"/>
    <w:rsid w:val="3037165E"/>
    <w:rsid w:val="307F57E4"/>
    <w:rsid w:val="309631C7"/>
    <w:rsid w:val="309823E3"/>
    <w:rsid w:val="309D6B9A"/>
    <w:rsid w:val="30F33F49"/>
    <w:rsid w:val="31064768"/>
    <w:rsid w:val="3145425A"/>
    <w:rsid w:val="315B658C"/>
    <w:rsid w:val="31974A10"/>
    <w:rsid w:val="31A11D20"/>
    <w:rsid w:val="31A65D19"/>
    <w:rsid w:val="31B10216"/>
    <w:rsid w:val="31B535B0"/>
    <w:rsid w:val="31BA27B8"/>
    <w:rsid w:val="31DF7D18"/>
    <w:rsid w:val="31F765E2"/>
    <w:rsid w:val="32073B59"/>
    <w:rsid w:val="320E0346"/>
    <w:rsid w:val="32421B71"/>
    <w:rsid w:val="32557696"/>
    <w:rsid w:val="32662180"/>
    <w:rsid w:val="32801ADD"/>
    <w:rsid w:val="32812DD1"/>
    <w:rsid w:val="32A97C49"/>
    <w:rsid w:val="32FD107C"/>
    <w:rsid w:val="33130614"/>
    <w:rsid w:val="3324721A"/>
    <w:rsid w:val="334633A9"/>
    <w:rsid w:val="33605B7F"/>
    <w:rsid w:val="336433B7"/>
    <w:rsid w:val="3374435A"/>
    <w:rsid w:val="338F6C6A"/>
    <w:rsid w:val="33982210"/>
    <w:rsid w:val="33AD1F64"/>
    <w:rsid w:val="33B00377"/>
    <w:rsid w:val="33BE154E"/>
    <w:rsid w:val="33BF08F8"/>
    <w:rsid w:val="33DC5F70"/>
    <w:rsid w:val="33E03CA5"/>
    <w:rsid w:val="33EA00AD"/>
    <w:rsid w:val="33F03840"/>
    <w:rsid w:val="34295251"/>
    <w:rsid w:val="34367B6C"/>
    <w:rsid w:val="343C6741"/>
    <w:rsid w:val="343F4859"/>
    <w:rsid w:val="34481C31"/>
    <w:rsid w:val="34817934"/>
    <w:rsid w:val="34891440"/>
    <w:rsid w:val="348D6ABE"/>
    <w:rsid w:val="349D2509"/>
    <w:rsid w:val="34BF5025"/>
    <w:rsid w:val="34C960C8"/>
    <w:rsid w:val="34ED4EEE"/>
    <w:rsid w:val="35137185"/>
    <w:rsid w:val="35176767"/>
    <w:rsid w:val="35375315"/>
    <w:rsid w:val="353F4713"/>
    <w:rsid w:val="35581B2E"/>
    <w:rsid w:val="357E3C96"/>
    <w:rsid w:val="357E7E59"/>
    <w:rsid w:val="357F2FCD"/>
    <w:rsid w:val="35833C6F"/>
    <w:rsid w:val="35A5637D"/>
    <w:rsid w:val="35A965B1"/>
    <w:rsid w:val="35C32352"/>
    <w:rsid w:val="35C8367A"/>
    <w:rsid w:val="35CA1E5C"/>
    <w:rsid w:val="35D209A0"/>
    <w:rsid w:val="35E33142"/>
    <w:rsid w:val="35F0683D"/>
    <w:rsid w:val="35F91869"/>
    <w:rsid w:val="36317B21"/>
    <w:rsid w:val="363C6255"/>
    <w:rsid w:val="36407C33"/>
    <w:rsid w:val="36477960"/>
    <w:rsid w:val="36661BE1"/>
    <w:rsid w:val="36725B62"/>
    <w:rsid w:val="3689038F"/>
    <w:rsid w:val="36AE4A47"/>
    <w:rsid w:val="36AF2462"/>
    <w:rsid w:val="36B97C83"/>
    <w:rsid w:val="36CD3F9E"/>
    <w:rsid w:val="36D95373"/>
    <w:rsid w:val="36E20985"/>
    <w:rsid w:val="37127DFB"/>
    <w:rsid w:val="37416B9B"/>
    <w:rsid w:val="374A7CC5"/>
    <w:rsid w:val="37710481"/>
    <w:rsid w:val="37831FE7"/>
    <w:rsid w:val="37A47099"/>
    <w:rsid w:val="37B95B94"/>
    <w:rsid w:val="37BC34D1"/>
    <w:rsid w:val="37DA780D"/>
    <w:rsid w:val="37E42290"/>
    <w:rsid w:val="37E86667"/>
    <w:rsid w:val="380703AC"/>
    <w:rsid w:val="38173D9F"/>
    <w:rsid w:val="382F4762"/>
    <w:rsid w:val="38307C96"/>
    <w:rsid w:val="38450A80"/>
    <w:rsid w:val="38641732"/>
    <w:rsid w:val="38982191"/>
    <w:rsid w:val="38E924EF"/>
    <w:rsid w:val="39011D37"/>
    <w:rsid w:val="39162FC5"/>
    <w:rsid w:val="39202E96"/>
    <w:rsid w:val="39424FDE"/>
    <w:rsid w:val="394B7CCD"/>
    <w:rsid w:val="395534D3"/>
    <w:rsid w:val="39B9415E"/>
    <w:rsid w:val="39C41067"/>
    <w:rsid w:val="39DD01FB"/>
    <w:rsid w:val="39FA2DCF"/>
    <w:rsid w:val="3A0A5985"/>
    <w:rsid w:val="3A0B4188"/>
    <w:rsid w:val="3A1208BD"/>
    <w:rsid w:val="3A17709C"/>
    <w:rsid w:val="3A293D45"/>
    <w:rsid w:val="3A3011B3"/>
    <w:rsid w:val="3A3376AE"/>
    <w:rsid w:val="3A454ADF"/>
    <w:rsid w:val="3A712E3C"/>
    <w:rsid w:val="3A827920"/>
    <w:rsid w:val="3A944D35"/>
    <w:rsid w:val="3AB00ECE"/>
    <w:rsid w:val="3AB44EAC"/>
    <w:rsid w:val="3AC8551E"/>
    <w:rsid w:val="3AC86BA7"/>
    <w:rsid w:val="3AC92E52"/>
    <w:rsid w:val="3ADA737A"/>
    <w:rsid w:val="3ADB2AB9"/>
    <w:rsid w:val="3ADE35DB"/>
    <w:rsid w:val="3AE54FEC"/>
    <w:rsid w:val="3AF43C6D"/>
    <w:rsid w:val="3AFC4F90"/>
    <w:rsid w:val="3AFF0FB3"/>
    <w:rsid w:val="3B112061"/>
    <w:rsid w:val="3B276B31"/>
    <w:rsid w:val="3B2A50EE"/>
    <w:rsid w:val="3B513E54"/>
    <w:rsid w:val="3B5819DE"/>
    <w:rsid w:val="3B7E0E37"/>
    <w:rsid w:val="3B862B5D"/>
    <w:rsid w:val="3B9D1885"/>
    <w:rsid w:val="3BAE3FCC"/>
    <w:rsid w:val="3BAF3015"/>
    <w:rsid w:val="3BE75F05"/>
    <w:rsid w:val="3BE966E5"/>
    <w:rsid w:val="3BEC505C"/>
    <w:rsid w:val="3C1C56AA"/>
    <w:rsid w:val="3C1E1093"/>
    <w:rsid w:val="3C2D068D"/>
    <w:rsid w:val="3C5A4312"/>
    <w:rsid w:val="3C627779"/>
    <w:rsid w:val="3C89152A"/>
    <w:rsid w:val="3C96431C"/>
    <w:rsid w:val="3CB24246"/>
    <w:rsid w:val="3CBC7F46"/>
    <w:rsid w:val="3CC900F4"/>
    <w:rsid w:val="3CD808F6"/>
    <w:rsid w:val="3CEC4ADB"/>
    <w:rsid w:val="3CF32308"/>
    <w:rsid w:val="3CFB49AC"/>
    <w:rsid w:val="3D075980"/>
    <w:rsid w:val="3D0E4345"/>
    <w:rsid w:val="3D217E86"/>
    <w:rsid w:val="3D371C29"/>
    <w:rsid w:val="3D6257C3"/>
    <w:rsid w:val="3D8F72B5"/>
    <w:rsid w:val="3DAB595A"/>
    <w:rsid w:val="3DBA29A1"/>
    <w:rsid w:val="3DBC1B07"/>
    <w:rsid w:val="3DC37AA7"/>
    <w:rsid w:val="3DC52F14"/>
    <w:rsid w:val="3E1C7977"/>
    <w:rsid w:val="3E1F621E"/>
    <w:rsid w:val="3E284935"/>
    <w:rsid w:val="3E2C6981"/>
    <w:rsid w:val="3E3A3F64"/>
    <w:rsid w:val="3E5311EB"/>
    <w:rsid w:val="3E673C6C"/>
    <w:rsid w:val="3E692CA6"/>
    <w:rsid w:val="3E6E523D"/>
    <w:rsid w:val="3E8813DF"/>
    <w:rsid w:val="3E9057DD"/>
    <w:rsid w:val="3E943A1D"/>
    <w:rsid w:val="3EC91392"/>
    <w:rsid w:val="3ECD149A"/>
    <w:rsid w:val="3ED04CA9"/>
    <w:rsid w:val="3EE96011"/>
    <w:rsid w:val="3EFD4AE4"/>
    <w:rsid w:val="3F154FDD"/>
    <w:rsid w:val="3F2520FC"/>
    <w:rsid w:val="3F2C01F5"/>
    <w:rsid w:val="3F594738"/>
    <w:rsid w:val="3FAE2867"/>
    <w:rsid w:val="3FBA2ADB"/>
    <w:rsid w:val="3FD12F0C"/>
    <w:rsid w:val="3FE55211"/>
    <w:rsid w:val="3FF16388"/>
    <w:rsid w:val="40254F7E"/>
    <w:rsid w:val="405817CC"/>
    <w:rsid w:val="406675AF"/>
    <w:rsid w:val="409B5351"/>
    <w:rsid w:val="40A05443"/>
    <w:rsid w:val="40A444C7"/>
    <w:rsid w:val="40B5781D"/>
    <w:rsid w:val="40EE1B6B"/>
    <w:rsid w:val="40EF1669"/>
    <w:rsid w:val="40F67D1D"/>
    <w:rsid w:val="40FD30E8"/>
    <w:rsid w:val="41445CC9"/>
    <w:rsid w:val="417C7D8B"/>
    <w:rsid w:val="4195118D"/>
    <w:rsid w:val="41B3509F"/>
    <w:rsid w:val="41C322A5"/>
    <w:rsid w:val="41D02AB7"/>
    <w:rsid w:val="41E13C4F"/>
    <w:rsid w:val="41E503FE"/>
    <w:rsid w:val="41FC1C10"/>
    <w:rsid w:val="42000728"/>
    <w:rsid w:val="42463851"/>
    <w:rsid w:val="424D48CA"/>
    <w:rsid w:val="426052B1"/>
    <w:rsid w:val="426F2CAE"/>
    <w:rsid w:val="42737874"/>
    <w:rsid w:val="428D41ED"/>
    <w:rsid w:val="429F2F81"/>
    <w:rsid w:val="42AF5450"/>
    <w:rsid w:val="42BE5590"/>
    <w:rsid w:val="42C450B1"/>
    <w:rsid w:val="430B3149"/>
    <w:rsid w:val="43110EE3"/>
    <w:rsid w:val="43333C8B"/>
    <w:rsid w:val="435F0027"/>
    <w:rsid w:val="43634B77"/>
    <w:rsid w:val="438363C0"/>
    <w:rsid w:val="4387229E"/>
    <w:rsid w:val="43A61DCF"/>
    <w:rsid w:val="43C227FB"/>
    <w:rsid w:val="43DD305D"/>
    <w:rsid w:val="43E4615E"/>
    <w:rsid w:val="43EE0597"/>
    <w:rsid w:val="440256A7"/>
    <w:rsid w:val="44291836"/>
    <w:rsid w:val="442E2C9F"/>
    <w:rsid w:val="444852CE"/>
    <w:rsid w:val="44A47466"/>
    <w:rsid w:val="44B4237E"/>
    <w:rsid w:val="44B73B3A"/>
    <w:rsid w:val="44D202CC"/>
    <w:rsid w:val="4502612A"/>
    <w:rsid w:val="454112FF"/>
    <w:rsid w:val="455132CD"/>
    <w:rsid w:val="457279F9"/>
    <w:rsid w:val="45962DBF"/>
    <w:rsid w:val="45AB2FB8"/>
    <w:rsid w:val="45B5037B"/>
    <w:rsid w:val="45C55F54"/>
    <w:rsid w:val="45D67C8E"/>
    <w:rsid w:val="45E30416"/>
    <w:rsid w:val="46127FEF"/>
    <w:rsid w:val="462611A3"/>
    <w:rsid w:val="463210EF"/>
    <w:rsid w:val="46323E43"/>
    <w:rsid w:val="46363993"/>
    <w:rsid w:val="46510878"/>
    <w:rsid w:val="46535BF6"/>
    <w:rsid w:val="466F70CB"/>
    <w:rsid w:val="467D0101"/>
    <w:rsid w:val="46BD0F24"/>
    <w:rsid w:val="46D14E32"/>
    <w:rsid w:val="472B3E3A"/>
    <w:rsid w:val="47336B7F"/>
    <w:rsid w:val="47551A0B"/>
    <w:rsid w:val="476F4C87"/>
    <w:rsid w:val="479C11BC"/>
    <w:rsid w:val="479E27B9"/>
    <w:rsid w:val="47BC13A3"/>
    <w:rsid w:val="47C0250D"/>
    <w:rsid w:val="47DE1B09"/>
    <w:rsid w:val="47E66BB4"/>
    <w:rsid w:val="47F85640"/>
    <w:rsid w:val="47FE5638"/>
    <w:rsid w:val="48026D8E"/>
    <w:rsid w:val="48107316"/>
    <w:rsid w:val="4828217C"/>
    <w:rsid w:val="482E6B3B"/>
    <w:rsid w:val="483E40AB"/>
    <w:rsid w:val="485000A8"/>
    <w:rsid w:val="48714726"/>
    <w:rsid w:val="48846014"/>
    <w:rsid w:val="488C5C89"/>
    <w:rsid w:val="48983F3B"/>
    <w:rsid w:val="48E37C4F"/>
    <w:rsid w:val="48EC702F"/>
    <w:rsid w:val="49092587"/>
    <w:rsid w:val="490E7D35"/>
    <w:rsid w:val="49177530"/>
    <w:rsid w:val="492641AC"/>
    <w:rsid w:val="493749E6"/>
    <w:rsid w:val="493B51C8"/>
    <w:rsid w:val="49581BE5"/>
    <w:rsid w:val="49652D1A"/>
    <w:rsid w:val="497978CA"/>
    <w:rsid w:val="49862E59"/>
    <w:rsid w:val="4992650E"/>
    <w:rsid w:val="499C0C8A"/>
    <w:rsid w:val="49A9476B"/>
    <w:rsid w:val="49BE4A0B"/>
    <w:rsid w:val="49D23F16"/>
    <w:rsid w:val="49EC447F"/>
    <w:rsid w:val="4A035AE7"/>
    <w:rsid w:val="4A0416F9"/>
    <w:rsid w:val="4A0B2C87"/>
    <w:rsid w:val="4A31770B"/>
    <w:rsid w:val="4A567CC0"/>
    <w:rsid w:val="4A605C71"/>
    <w:rsid w:val="4A885824"/>
    <w:rsid w:val="4AD93B14"/>
    <w:rsid w:val="4AEB6A0F"/>
    <w:rsid w:val="4B0B7BD0"/>
    <w:rsid w:val="4B2B0FC4"/>
    <w:rsid w:val="4B4C262B"/>
    <w:rsid w:val="4B544F24"/>
    <w:rsid w:val="4B560A9C"/>
    <w:rsid w:val="4B673FC4"/>
    <w:rsid w:val="4B7F70C8"/>
    <w:rsid w:val="4B8565AE"/>
    <w:rsid w:val="4BF91DC6"/>
    <w:rsid w:val="4C1C4219"/>
    <w:rsid w:val="4C3E12A3"/>
    <w:rsid w:val="4C776098"/>
    <w:rsid w:val="4C857B87"/>
    <w:rsid w:val="4C857F4A"/>
    <w:rsid w:val="4C8C2973"/>
    <w:rsid w:val="4C9B3F23"/>
    <w:rsid w:val="4C9E1CC9"/>
    <w:rsid w:val="4CAB1AA4"/>
    <w:rsid w:val="4CBD58CC"/>
    <w:rsid w:val="4CC70EB4"/>
    <w:rsid w:val="4CFA6C01"/>
    <w:rsid w:val="4CFB3772"/>
    <w:rsid w:val="4CFD2704"/>
    <w:rsid w:val="4CFF26A5"/>
    <w:rsid w:val="4D033617"/>
    <w:rsid w:val="4D11022B"/>
    <w:rsid w:val="4D1D27CF"/>
    <w:rsid w:val="4D5B289E"/>
    <w:rsid w:val="4D5B6065"/>
    <w:rsid w:val="4D691A10"/>
    <w:rsid w:val="4D7D2975"/>
    <w:rsid w:val="4D841B91"/>
    <w:rsid w:val="4D8D0902"/>
    <w:rsid w:val="4DA83979"/>
    <w:rsid w:val="4DB96926"/>
    <w:rsid w:val="4DC776B4"/>
    <w:rsid w:val="4DEC3BB7"/>
    <w:rsid w:val="4E02453B"/>
    <w:rsid w:val="4E127615"/>
    <w:rsid w:val="4E132C00"/>
    <w:rsid w:val="4E224885"/>
    <w:rsid w:val="4E756FF5"/>
    <w:rsid w:val="4E804EAB"/>
    <w:rsid w:val="4EA32A1A"/>
    <w:rsid w:val="4EBE5F06"/>
    <w:rsid w:val="4EF03D3F"/>
    <w:rsid w:val="4F01202D"/>
    <w:rsid w:val="4F017525"/>
    <w:rsid w:val="4F0965D8"/>
    <w:rsid w:val="4F164908"/>
    <w:rsid w:val="4F1B06CE"/>
    <w:rsid w:val="4F4F4728"/>
    <w:rsid w:val="4F573C78"/>
    <w:rsid w:val="4F6A1FD7"/>
    <w:rsid w:val="4F7C7BEF"/>
    <w:rsid w:val="4F7F774E"/>
    <w:rsid w:val="4F891227"/>
    <w:rsid w:val="4F9B1EE6"/>
    <w:rsid w:val="4F9E3D33"/>
    <w:rsid w:val="4FB2428A"/>
    <w:rsid w:val="4FCA79FD"/>
    <w:rsid w:val="4FE72A21"/>
    <w:rsid w:val="4FF33829"/>
    <w:rsid w:val="4FF47804"/>
    <w:rsid w:val="4FF75E2C"/>
    <w:rsid w:val="4FFF1E3B"/>
    <w:rsid w:val="500C7BC5"/>
    <w:rsid w:val="503E0CF9"/>
    <w:rsid w:val="504D79C8"/>
    <w:rsid w:val="50AB6F4F"/>
    <w:rsid w:val="50AC1935"/>
    <w:rsid w:val="50C34A96"/>
    <w:rsid w:val="50CB24F5"/>
    <w:rsid w:val="50D4729E"/>
    <w:rsid w:val="50EE53AC"/>
    <w:rsid w:val="511064B6"/>
    <w:rsid w:val="511D030A"/>
    <w:rsid w:val="511E4C20"/>
    <w:rsid w:val="5122055F"/>
    <w:rsid w:val="513528EF"/>
    <w:rsid w:val="51354E90"/>
    <w:rsid w:val="51625046"/>
    <w:rsid w:val="516B3E53"/>
    <w:rsid w:val="518C2BDA"/>
    <w:rsid w:val="519C2028"/>
    <w:rsid w:val="51C41D7D"/>
    <w:rsid w:val="51EA4E6A"/>
    <w:rsid w:val="51F64F59"/>
    <w:rsid w:val="5201172B"/>
    <w:rsid w:val="520730F2"/>
    <w:rsid w:val="523C3263"/>
    <w:rsid w:val="5251319A"/>
    <w:rsid w:val="526B5C51"/>
    <w:rsid w:val="52CF4B73"/>
    <w:rsid w:val="52D8767D"/>
    <w:rsid w:val="52E511F6"/>
    <w:rsid w:val="52F01227"/>
    <w:rsid w:val="52FA07F6"/>
    <w:rsid w:val="530B10EB"/>
    <w:rsid w:val="5313699B"/>
    <w:rsid w:val="53377223"/>
    <w:rsid w:val="533F6A7D"/>
    <w:rsid w:val="5350159F"/>
    <w:rsid w:val="536E544B"/>
    <w:rsid w:val="5391227B"/>
    <w:rsid w:val="53997E2B"/>
    <w:rsid w:val="53AB5F2F"/>
    <w:rsid w:val="53D01303"/>
    <w:rsid w:val="53D95E63"/>
    <w:rsid w:val="53E90E34"/>
    <w:rsid w:val="54015159"/>
    <w:rsid w:val="541A1F90"/>
    <w:rsid w:val="5429085A"/>
    <w:rsid w:val="543568D8"/>
    <w:rsid w:val="54431C9C"/>
    <w:rsid w:val="54777372"/>
    <w:rsid w:val="547A1A19"/>
    <w:rsid w:val="547C4353"/>
    <w:rsid w:val="548F4914"/>
    <w:rsid w:val="54932434"/>
    <w:rsid w:val="54AD58C1"/>
    <w:rsid w:val="54C6232E"/>
    <w:rsid w:val="54CC1DAA"/>
    <w:rsid w:val="54E84487"/>
    <w:rsid w:val="54F00709"/>
    <w:rsid w:val="54FA4190"/>
    <w:rsid w:val="5502046F"/>
    <w:rsid w:val="550D7F2D"/>
    <w:rsid w:val="55182CE8"/>
    <w:rsid w:val="551F5E2C"/>
    <w:rsid w:val="55313842"/>
    <w:rsid w:val="55444F35"/>
    <w:rsid w:val="55453640"/>
    <w:rsid w:val="55737444"/>
    <w:rsid w:val="55842A12"/>
    <w:rsid w:val="55850288"/>
    <w:rsid w:val="55953D2D"/>
    <w:rsid w:val="559C21A3"/>
    <w:rsid w:val="559E6477"/>
    <w:rsid w:val="55A11B63"/>
    <w:rsid w:val="55E13D41"/>
    <w:rsid w:val="55E45BD8"/>
    <w:rsid w:val="5602066B"/>
    <w:rsid w:val="560D4600"/>
    <w:rsid w:val="5610536C"/>
    <w:rsid w:val="5612113C"/>
    <w:rsid w:val="564879D9"/>
    <w:rsid w:val="56497DAF"/>
    <w:rsid w:val="564E764C"/>
    <w:rsid w:val="564F5765"/>
    <w:rsid w:val="566A45ED"/>
    <w:rsid w:val="56747356"/>
    <w:rsid w:val="56974909"/>
    <w:rsid w:val="569F1855"/>
    <w:rsid w:val="56AE09E2"/>
    <w:rsid w:val="56B73AE4"/>
    <w:rsid w:val="56E86970"/>
    <w:rsid w:val="57222E6C"/>
    <w:rsid w:val="574940B9"/>
    <w:rsid w:val="574978F6"/>
    <w:rsid w:val="57540B17"/>
    <w:rsid w:val="576D472F"/>
    <w:rsid w:val="576F74D6"/>
    <w:rsid w:val="57876465"/>
    <w:rsid w:val="579B387D"/>
    <w:rsid w:val="57AC7BBC"/>
    <w:rsid w:val="57D4410C"/>
    <w:rsid w:val="57D45428"/>
    <w:rsid w:val="57D64769"/>
    <w:rsid w:val="57E753A9"/>
    <w:rsid w:val="57E918B0"/>
    <w:rsid w:val="57F63DC7"/>
    <w:rsid w:val="58167BE3"/>
    <w:rsid w:val="581841FE"/>
    <w:rsid w:val="587722A3"/>
    <w:rsid w:val="58855290"/>
    <w:rsid w:val="589D3D83"/>
    <w:rsid w:val="58E70E3E"/>
    <w:rsid w:val="58F44C0A"/>
    <w:rsid w:val="58FA6878"/>
    <w:rsid w:val="59002BFE"/>
    <w:rsid w:val="592A2902"/>
    <w:rsid w:val="593979E0"/>
    <w:rsid w:val="593A4350"/>
    <w:rsid w:val="593D1B1E"/>
    <w:rsid w:val="59677CB1"/>
    <w:rsid w:val="59703324"/>
    <w:rsid w:val="598676D3"/>
    <w:rsid w:val="5990730E"/>
    <w:rsid w:val="59970E37"/>
    <w:rsid w:val="59B05F85"/>
    <w:rsid w:val="59C11E5E"/>
    <w:rsid w:val="5A1A42EC"/>
    <w:rsid w:val="5A2042CD"/>
    <w:rsid w:val="5A2A6E20"/>
    <w:rsid w:val="5A470300"/>
    <w:rsid w:val="5A71424D"/>
    <w:rsid w:val="5A842CFA"/>
    <w:rsid w:val="5AB57614"/>
    <w:rsid w:val="5AC00BE2"/>
    <w:rsid w:val="5AF77617"/>
    <w:rsid w:val="5AF96D82"/>
    <w:rsid w:val="5AFE4D56"/>
    <w:rsid w:val="5B04061E"/>
    <w:rsid w:val="5B1E2D48"/>
    <w:rsid w:val="5B4533C6"/>
    <w:rsid w:val="5B4D2EF9"/>
    <w:rsid w:val="5B875E22"/>
    <w:rsid w:val="5BB74ECD"/>
    <w:rsid w:val="5BBF21F0"/>
    <w:rsid w:val="5BCE1C45"/>
    <w:rsid w:val="5BDC2962"/>
    <w:rsid w:val="5BDD0129"/>
    <w:rsid w:val="5BE314FF"/>
    <w:rsid w:val="5BE42E5E"/>
    <w:rsid w:val="5C0966F7"/>
    <w:rsid w:val="5C1B1487"/>
    <w:rsid w:val="5C295ABC"/>
    <w:rsid w:val="5C4154FC"/>
    <w:rsid w:val="5C547EDC"/>
    <w:rsid w:val="5C69327D"/>
    <w:rsid w:val="5C694CF5"/>
    <w:rsid w:val="5C704AFE"/>
    <w:rsid w:val="5C8C6F51"/>
    <w:rsid w:val="5C917C76"/>
    <w:rsid w:val="5C9F2B79"/>
    <w:rsid w:val="5CA57366"/>
    <w:rsid w:val="5CB84269"/>
    <w:rsid w:val="5CBF0CB1"/>
    <w:rsid w:val="5CCB729F"/>
    <w:rsid w:val="5CF2579F"/>
    <w:rsid w:val="5CFF35FA"/>
    <w:rsid w:val="5D164397"/>
    <w:rsid w:val="5D342EB7"/>
    <w:rsid w:val="5D383678"/>
    <w:rsid w:val="5D3B40BB"/>
    <w:rsid w:val="5D455009"/>
    <w:rsid w:val="5D475A19"/>
    <w:rsid w:val="5D595627"/>
    <w:rsid w:val="5D694CFF"/>
    <w:rsid w:val="5D83313F"/>
    <w:rsid w:val="5D8B3114"/>
    <w:rsid w:val="5DA233BD"/>
    <w:rsid w:val="5DC0229B"/>
    <w:rsid w:val="5DCA2B3D"/>
    <w:rsid w:val="5DD80ACA"/>
    <w:rsid w:val="5E434E76"/>
    <w:rsid w:val="5E895A3F"/>
    <w:rsid w:val="5E9E7C4C"/>
    <w:rsid w:val="5EB5783C"/>
    <w:rsid w:val="5ED51A30"/>
    <w:rsid w:val="5ED60FDA"/>
    <w:rsid w:val="5EE92577"/>
    <w:rsid w:val="5EE96E04"/>
    <w:rsid w:val="5EF40FC4"/>
    <w:rsid w:val="5EFB0C8C"/>
    <w:rsid w:val="5F1408C9"/>
    <w:rsid w:val="5F1D002F"/>
    <w:rsid w:val="5F3A05D2"/>
    <w:rsid w:val="5F6B0C80"/>
    <w:rsid w:val="5F6F40B9"/>
    <w:rsid w:val="5F865F39"/>
    <w:rsid w:val="5F9F5D9B"/>
    <w:rsid w:val="5FC33613"/>
    <w:rsid w:val="5FC42FF7"/>
    <w:rsid w:val="5FC96D6B"/>
    <w:rsid w:val="5FDB3F59"/>
    <w:rsid w:val="5FED551A"/>
    <w:rsid w:val="5FFC618F"/>
    <w:rsid w:val="600D489E"/>
    <w:rsid w:val="60104C5C"/>
    <w:rsid w:val="6025014A"/>
    <w:rsid w:val="60256619"/>
    <w:rsid w:val="602A4219"/>
    <w:rsid w:val="602E04E8"/>
    <w:rsid w:val="603E35D6"/>
    <w:rsid w:val="608A08F6"/>
    <w:rsid w:val="6093562F"/>
    <w:rsid w:val="609929C8"/>
    <w:rsid w:val="60B50AA0"/>
    <w:rsid w:val="60BF3629"/>
    <w:rsid w:val="60E25144"/>
    <w:rsid w:val="60E93485"/>
    <w:rsid w:val="611A7012"/>
    <w:rsid w:val="611C04FD"/>
    <w:rsid w:val="61332D11"/>
    <w:rsid w:val="613A4DB3"/>
    <w:rsid w:val="615110BC"/>
    <w:rsid w:val="61654BB9"/>
    <w:rsid w:val="617159DB"/>
    <w:rsid w:val="61AB2C06"/>
    <w:rsid w:val="61AB46D3"/>
    <w:rsid w:val="61AC318F"/>
    <w:rsid w:val="61B53BCB"/>
    <w:rsid w:val="61D879FE"/>
    <w:rsid w:val="62164805"/>
    <w:rsid w:val="62222C11"/>
    <w:rsid w:val="622F1DDD"/>
    <w:rsid w:val="624E4B42"/>
    <w:rsid w:val="62653510"/>
    <w:rsid w:val="62A27FCF"/>
    <w:rsid w:val="62A95F57"/>
    <w:rsid w:val="62B90CE2"/>
    <w:rsid w:val="62CC4A51"/>
    <w:rsid w:val="62D57E41"/>
    <w:rsid w:val="62DB7FEB"/>
    <w:rsid w:val="62F9576C"/>
    <w:rsid w:val="63114B9F"/>
    <w:rsid w:val="634D7F2A"/>
    <w:rsid w:val="635818E5"/>
    <w:rsid w:val="635E1163"/>
    <w:rsid w:val="636469FD"/>
    <w:rsid w:val="638A7625"/>
    <w:rsid w:val="63956ED2"/>
    <w:rsid w:val="639C6B33"/>
    <w:rsid w:val="63A378E8"/>
    <w:rsid w:val="63AD40D3"/>
    <w:rsid w:val="63C23D68"/>
    <w:rsid w:val="63CC542C"/>
    <w:rsid w:val="63CF7946"/>
    <w:rsid w:val="63E64201"/>
    <w:rsid w:val="63EC4966"/>
    <w:rsid w:val="64110924"/>
    <w:rsid w:val="64334EEA"/>
    <w:rsid w:val="645A7261"/>
    <w:rsid w:val="64776207"/>
    <w:rsid w:val="6479461B"/>
    <w:rsid w:val="648E5829"/>
    <w:rsid w:val="64A3164C"/>
    <w:rsid w:val="64B162A7"/>
    <w:rsid w:val="64C8065F"/>
    <w:rsid w:val="64CE3D59"/>
    <w:rsid w:val="64D514AE"/>
    <w:rsid w:val="64DA0A1B"/>
    <w:rsid w:val="64F60879"/>
    <w:rsid w:val="65037FF2"/>
    <w:rsid w:val="65083A10"/>
    <w:rsid w:val="6509278F"/>
    <w:rsid w:val="651152E3"/>
    <w:rsid w:val="65136AD1"/>
    <w:rsid w:val="65361200"/>
    <w:rsid w:val="653D634F"/>
    <w:rsid w:val="657042E8"/>
    <w:rsid w:val="65713692"/>
    <w:rsid w:val="65761DE0"/>
    <w:rsid w:val="65AE52BE"/>
    <w:rsid w:val="65B45139"/>
    <w:rsid w:val="65C76C09"/>
    <w:rsid w:val="65DD5FFE"/>
    <w:rsid w:val="66027002"/>
    <w:rsid w:val="660A4978"/>
    <w:rsid w:val="660F5451"/>
    <w:rsid w:val="662A6E7E"/>
    <w:rsid w:val="66366E60"/>
    <w:rsid w:val="663A0239"/>
    <w:rsid w:val="665861BA"/>
    <w:rsid w:val="66674E9E"/>
    <w:rsid w:val="666A1109"/>
    <w:rsid w:val="66846210"/>
    <w:rsid w:val="668C511A"/>
    <w:rsid w:val="66A37C5D"/>
    <w:rsid w:val="66B35F2C"/>
    <w:rsid w:val="66BD0CB6"/>
    <w:rsid w:val="66D40CA5"/>
    <w:rsid w:val="66EC3ED5"/>
    <w:rsid w:val="66F40EED"/>
    <w:rsid w:val="66F56ABC"/>
    <w:rsid w:val="670A627A"/>
    <w:rsid w:val="67152B2D"/>
    <w:rsid w:val="67397A10"/>
    <w:rsid w:val="67864E58"/>
    <w:rsid w:val="678D438A"/>
    <w:rsid w:val="6792013D"/>
    <w:rsid w:val="67935634"/>
    <w:rsid w:val="67940E1A"/>
    <w:rsid w:val="67A23337"/>
    <w:rsid w:val="67C2731E"/>
    <w:rsid w:val="67CC7131"/>
    <w:rsid w:val="67CD467D"/>
    <w:rsid w:val="67F44FB7"/>
    <w:rsid w:val="680B54C6"/>
    <w:rsid w:val="682374AC"/>
    <w:rsid w:val="682C3FB9"/>
    <w:rsid w:val="682D761C"/>
    <w:rsid w:val="683A432D"/>
    <w:rsid w:val="684B6E60"/>
    <w:rsid w:val="68731124"/>
    <w:rsid w:val="68AC5753"/>
    <w:rsid w:val="68D1424E"/>
    <w:rsid w:val="68E72ED8"/>
    <w:rsid w:val="68F423A3"/>
    <w:rsid w:val="69160AA4"/>
    <w:rsid w:val="69173DF7"/>
    <w:rsid w:val="69181948"/>
    <w:rsid w:val="692B16E0"/>
    <w:rsid w:val="693D4431"/>
    <w:rsid w:val="693E661B"/>
    <w:rsid w:val="696C06CD"/>
    <w:rsid w:val="69705C90"/>
    <w:rsid w:val="69713EC8"/>
    <w:rsid w:val="69734AF7"/>
    <w:rsid w:val="698E7DA1"/>
    <w:rsid w:val="69965BB9"/>
    <w:rsid w:val="6999075E"/>
    <w:rsid w:val="69AC4942"/>
    <w:rsid w:val="69B502B8"/>
    <w:rsid w:val="69CC65C5"/>
    <w:rsid w:val="69FA6AFB"/>
    <w:rsid w:val="69FB6ED6"/>
    <w:rsid w:val="6A0519DB"/>
    <w:rsid w:val="6A2C3137"/>
    <w:rsid w:val="6A2F6F4F"/>
    <w:rsid w:val="6A3B3625"/>
    <w:rsid w:val="6A551D38"/>
    <w:rsid w:val="6A621E53"/>
    <w:rsid w:val="6A6D5CD0"/>
    <w:rsid w:val="6A835CFC"/>
    <w:rsid w:val="6A8A65A0"/>
    <w:rsid w:val="6A960B9D"/>
    <w:rsid w:val="6AFF0F36"/>
    <w:rsid w:val="6B0413F5"/>
    <w:rsid w:val="6B2C7A3B"/>
    <w:rsid w:val="6B406DA8"/>
    <w:rsid w:val="6B604B10"/>
    <w:rsid w:val="6B8C3D68"/>
    <w:rsid w:val="6B9933ED"/>
    <w:rsid w:val="6BBB61D1"/>
    <w:rsid w:val="6BD92C1A"/>
    <w:rsid w:val="6BDD6DDF"/>
    <w:rsid w:val="6BEC02CC"/>
    <w:rsid w:val="6BEF3B76"/>
    <w:rsid w:val="6BEF3BF2"/>
    <w:rsid w:val="6BF624C3"/>
    <w:rsid w:val="6C13054F"/>
    <w:rsid w:val="6C270A0B"/>
    <w:rsid w:val="6C3E074F"/>
    <w:rsid w:val="6C7576C5"/>
    <w:rsid w:val="6C94630B"/>
    <w:rsid w:val="6CB0280D"/>
    <w:rsid w:val="6CB71E74"/>
    <w:rsid w:val="6CE00562"/>
    <w:rsid w:val="6CF15E91"/>
    <w:rsid w:val="6CF34B3A"/>
    <w:rsid w:val="6D0E7C94"/>
    <w:rsid w:val="6D240DFD"/>
    <w:rsid w:val="6D256B2E"/>
    <w:rsid w:val="6D2B7971"/>
    <w:rsid w:val="6D315D7B"/>
    <w:rsid w:val="6D6B36F5"/>
    <w:rsid w:val="6D8479AB"/>
    <w:rsid w:val="6D875588"/>
    <w:rsid w:val="6DA6031F"/>
    <w:rsid w:val="6DC9610B"/>
    <w:rsid w:val="6DDB2498"/>
    <w:rsid w:val="6DDF4E28"/>
    <w:rsid w:val="6DE877D6"/>
    <w:rsid w:val="6DF2190B"/>
    <w:rsid w:val="6DF445CC"/>
    <w:rsid w:val="6E3B69B3"/>
    <w:rsid w:val="6E55101F"/>
    <w:rsid w:val="6E7B771A"/>
    <w:rsid w:val="6E8142FE"/>
    <w:rsid w:val="6E82132E"/>
    <w:rsid w:val="6E8E490C"/>
    <w:rsid w:val="6E8F08A2"/>
    <w:rsid w:val="6ECF29B8"/>
    <w:rsid w:val="6EDC083F"/>
    <w:rsid w:val="6F3F42BB"/>
    <w:rsid w:val="6F5C05E4"/>
    <w:rsid w:val="6F6455E8"/>
    <w:rsid w:val="6F6F6CFB"/>
    <w:rsid w:val="6F736062"/>
    <w:rsid w:val="6FB32A54"/>
    <w:rsid w:val="6FF57DE7"/>
    <w:rsid w:val="70294412"/>
    <w:rsid w:val="703552BF"/>
    <w:rsid w:val="703D3758"/>
    <w:rsid w:val="705A52F4"/>
    <w:rsid w:val="70915C1A"/>
    <w:rsid w:val="70B56D0C"/>
    <w:rsid w:val="70B82841"/>
    <w:rsid w:val="70D6370A"/>
    <w:rsid w:val="70ED4D18"/>
    <w:rsid w:val="70EE3B87"/>
    <w:rsid w:val="70FD71FA"/>
    <w:rsid w:val="711E343B"/>
    <w:rsid w:val="71233B86"/>
    <w:rsid w:val="7131229B"/>
    <w:rsid w:val="713E6AE6"/>
    <w:rsid w:val="71444200"/>
    <w:rsid w:val="714D1510"/>
    <w:rsid w:val="715D1F37"/>
    <w:rsid w:val="7173138C"/>
    <w:rsid w:val="71912C2B"/>
    <w:rsid w:val="71986BEF"/>
    <w:rsid w:val="719C2949"/>
    <w:rsid w:val="71BE4C71"/>
    <w:rsid w:val="72010E2B"/>
    <w:rsid w:val="72362A73"/>
    <w:rsid w:val="72487080"/>
    <w:rsid w:val="724E4AB5"/>
    <w:rsid w:val="72637619"/>
    <w:rsid w:val="72697B8B"/>
    <w:rsid w:val="72821063"/>
    <w:rsid w:val="72A3705C"/>
    <w:rsid w:val="72B612D0"/>
    <w:rsid w:val="72B82B60"/>
    <w:rsid w:val="72BE300A"/>
    <w:rsid w:val="72C23C14"/>
    <w:rsid w:val="72D94C9F"/>
    <w:rsid w:val="72E36E8E"/>
    <w:rsid w:val="72ED5D72"/>
    <w:rsid w:val="72FC4945"/>
    <w:rsid w:val="73127F59"/>
    <w:rsid w:val="731A62B6"/>
    <w:rsid w:val="73333EFB"/>
    <w:rsid w:val="73421473"/>
    <w:rsid w:val="7374022F"/>
    <w:rsid w:val="73743A40"/>
    <w:rsid w:val="73932C3A"/>
    <w:rsid w:val="739B7DE0"/>
    <w:rsid w:val="73C96BE2"/>
    <w:rsid w:val="74113A0D"/>
    <w:rsid w:val="744F7D51"/>
    <w:rsid w:val="74585397"/>
    <w:rsid w:val="747F32D7"/>
    <w:rsid w:val="74AE6757"/>
    <w:rsid w:val="74D95F08"/>
    <w:rsid w:val="74E62028"/>
    <w:rsid w:val="74F36902"/>
    <w:rsid w:val="74F462CD"/>
    <w:rsid w:val="74F47E18"/>
    <w:rsid w:val="75023605"/>
    <w:rsid w:val="75067443"/>
    <w:rsid w:val="75147C91"/>
    <w:rsid w:val="75543797"/>
    <w:rsid w:val="755D33FC"/>
    <w:rsid w:val="75652415"/>
    <w:rsid w:val="758304EB"/>
    <w:rsid w:val="75933690"/>
    <w:rsid w:val="75B44453"/>
    <w:rsid w:val="75CC10FD"/>
    <w:rsid w:val="75D30D12"/>
    <w:rsid w:val="75E76BE6"/>
    <w:rsid w:val="75EB4891"/>
    <w:rsid w:val="760D2701"/>
    <w:rsid w:val="761C2940"/>
    <w:rsid w:val="765F25CB"/>
    <w:rsid w:val="767A2C16"/>
    <w:rsid w:val="76853F20"/>
    <w:rsid w:val="76AE2E3C"/>
    <w:rsid w:val="76B5767F"/>
    <w:rsid w:val="76BB392B"/>
    <w:rsid w:val="76BE2428"/>
    <w:rsid w:val="76D91980"/>
    <w:rsid w:val="775C0E4B"/>
    <w:rsid w:val="77602956"/>
    <w:rsid w:val="777D46BF"/>
    <w:rsid w:val="77860DDF"/>
    <w:rsid w:val="77C43463"/>
    <w:rsid w:val="77D90D2B"/>
    <w:rsid w:val="781C611A"/>
    <w:rsid w:val="78243851"/>
    <w:rsid w:val="78305970"/>
    <w:rsid w:val="7844690E"/>
    <w:rsid w:val="784D5673"/>
    <w:rsid w:val="784F6C49"/>
    <w:rsid w:val="787469A6"/>
    <w:rsid w:val="78905BF5"/>
    <w:rsid w:val="789856F1"/>
    <w:rsid w:val="78A84096"/>
    <w:rsid w:val="78E96A7E"/>
    <w:rsid w:val="78EF40C5"/>
    <w:rsid w:val="78F857C6"/>
    <w:rsid w:val="794327BA"/>
    <w:rsid w:val="79432C75"/>
    <w:rsid w:val="7996241D"/>
    <w:rsid w:val="799E5BBA"/>
    <w:rsid w:val="799F112E"/>
    <w:rsid w:val="79A7429F"/>
    <w:rsid w:val="79D93115"/>
    <w:rsid w:val="7A0D41C9"/>
    <w:rsid w:val="7A130201"/>
    <w:rsid w:val="7A1A6DBB"/>
    <w:rsid w:val="7A412AB0"/>
    <w:rsid w:val="7A453319"/>
    <w:rsid w:val="7A6014BD"/>
    <w:rsid w:val="7A6679FB"/>
    <w:rsid w:val="7A680ECB"/>
    <w:rsid w:val="7A71265F"/>
    <w:rsid w:val="7A9B12FB"/>
    <w:rsid w:val="7A9B7366"/>
    <w:rsid w:val="7AC735B7"/>
    <w:rsid w:val="7AD86FDE"/>
    <w:rsid w:val="7AD9048D"/>
    <w:rsid w:val="7AF25E30"/>
    <w:rsid w:val="7B0F7157"/>
    <w:rsid w:val="7B232406"/>
    <w:rsid w:val="7B3F2C68"/>
    <w:rsid w:val="7B41748E"/>
    <w:rsid w:val="7B560FDD"/>
    <w:rsid w:val="7B617FE3"/>
    <w:rsid w:val="7B622AB3"/>
    <w:rsid w:val="7BB10610"/>
    <w:rsid w:val="7BC62735"/>
    <w:rsid w:val="7BCF6D7D"/>
    <w:rsid w:val="7BF3260F"/>
    <w:rsid w:val="7C165705"/>
    <w:rsid w:val="7C2E5970"/>
    <w:rsid w:val="7C392EFA"/>
    <w:rsid w:val="7C4345C5"/>
    <w:rsid w:val="7C4C6703"/>
    <w:rsid w:val="7C6933A6"/>
    <w:rsid w:val="7C6D3F0B"/>
    <w:rsid w:val="7C8761E9"/>
    <w:rsid w:val="7C8B7131"/>
    <w:rsid w:val="7CB144FB"/>
    <w:rsid w:val="7CBA157D"/>
    <w:rsid w:val="7CCC64BC"/>
    <w:rsid w:val="7CD85759"/>
    <w:rsid w:val="7D0E7E69"/>
    <w:rsid w:val="7D11161F"/>
    <w:rsid w:val="7D296DB7"/>
    <w:rsid w:val="7D2D46E9"/>
    <w:rsid w:val="7D5E5F7B"/>
    <w:rsid w:val="7D740E70"/>
    <w:rsid w:val="7D7B4F09"/>
    <w:rsid w:val="7D880310"/>
    <w:rsid w:val="7D905790"/>
    <w:rsid w:val="7DA91208"/>
    <w:rsid w:val="7DAF470C"/>
    <w:rsid w:val="7DC53EDE"/>
    <w:rsid w:val="7DD765D5"/>
    <w:rsid w:val="7DF63B6B"/>
    <w:rsid w:val="7E065A89"/>
    <w:rsid w:val="7E205142"/>
    <w:rsid w:val="7E243836"/>
    <w:rsid w:val="7E4D1B30"/>
    <w:rsid w:val="7E523F4A"/>
    <w:rsid w:val="7E61748B"/>
    <w:rsid w:val="7E6A5183"/>
    <w:rsid w:val="7E6C2BAF"/>
    <w:rsid w:val="7E6D5F95"/>
    <w:rsid w:val="7ECE0D52"/>
    <w:rsid w:val="7EDC609A"/>
    <w:rsid w:val="7EFC08F5"/>
    <w:rsid w:val="7F037C26"/>
    <w:rsid w:val="7F0576FD"/>
    <w:rsid w:val="7F1503C3"/>
    <w:rsid w:val="7F265A3A"/>
    <w:rsid w:val="7F373CE9"/>
    <w:rsid w:val="7F4967EF"/>
    <w:rsid w:val="7F537580"/>
    <w:rsid w:val="7F6571F9"/>
    <w:rsid w:val="7F7E4992"/>
    <w:rsid w:val="7F811BF1"/>
    <w:rsid w:val="7F986596"/>
    <w:rsid w:val="7F9A687C"/>
    <w:rsid w:val="7FA3447E"/>
    <w:rsid w:val="7FD25B51"/>
    <w:rsid w:val="7FF61A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黑体" w:cs="Times New Roman"/>
      <w:b/>
      <w:color w:val="000000"/>
      <w:sz w:val="2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Title"/>
    <w:uiPriority w:val="0"/>
    <w:rPr>
      <w:rFonts w:ascii="Times New Roman" w:hAnsi="Times New Roman" w:eastAsia="黑体" w:cs="Times New Roman"/>
      <w:color w:val="000000"/>
      <w:sz w:val="24"/>
    </w:rPr>
  </w:style>
  <w:style w:type="paragraph" w:customStyle="1" w:styleId="7">
    <w:name w:val="heading 1"/>
    <w:uiPriority w:val="0"/>
    <w:rPr>
      <w:rFonts w:ascii="Times New Roman" w:hAnsi="Times New Roman" w:eastAsia="黑体" w:cs="Times New Roman"/>
      <w:color w:val="000000"/>
      <w:sz w:val="24"/>
    </w:rPr>
  </w:style>
  <w:style w:type="paragraph" w:customStyle="1" w:styleId="8">
    <w:name w:val="heading 2"/>
    <w:qFormat/>
    <w:uiPriority w:val="0"/>
    <w:rPr>
      <w:rFonts w:ascii="Times New Roman" w:hAnsi="Times New Roman" w:eastAsia="黑体"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6149</Words>
  <Characters>6757</Characters>
  <Lines>0</Lines>
  <Paragraphs>0</Paragraphs>
  <TotalTime>2</TotalTime>
  <ScaleCrop>false</ScaleCrop>
  <LinksUpToDate>false</LinksUpToDate>
  <CharactersWithSpaces>6884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2026-09-11T07:54:00Z</dcterms:created>
  <dc:creator>李建伟</dc:creator>
  <cp:lastModifiedBy>李建伟</cp:lastModifiedBy>
  <dcterms:modified xsi:type="dcterms:W3CDTF">2026-09-15T02:18:06Z</dcterms:modified>
  <dc:subject>分批质控工作量、问题实例与出差会议总结</dc:subject>
  <dc:title>李建伟三普工作报告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DA587FEA9A2145BC8F68260C9022A89F_11</vt:lpwstr>
  </property>
  <property fmtid="{D5CDD505-2E9C-101B-9397-08002B2CF9AE}" pid="4" name="KSOTemplateDocerSaveRecord">
    <vt:lpwstr>eyJoZGlkIjoiMGEyY2QzYmI2M2E5Nzg4YTZjMjhmM2QyY2FlNjk5OWYiLCJ1c2VySWQiOiIxNzY4NTQxNzQ4In0=</vt:lpwstr>
  </property>
</Properties>
</file>