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C7D52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土壤属性图质控问题反馈—沧州市青县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1CF8D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1、环境变量按行政区划切分需保证覆盖行政区划全域。</w:t>
      </w:r>
    </w:p>
    <w:p w14:paraId="4241F3D9">
      <w:pPr>
        <w:jc w:val="both"/>
      </w:pPr>
      <w:r>
        <w:drawing>
          <wp:inline distT="0" distB="0" distL="114300" distR="114300">
            <wp:extent cx="5268595" cy="225044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6B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2、基础数据中缺少元数据。</w:t>
      </w:r>
    </w:p>
    <w:p w14:paraId="02231416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308600" cy="756285"/>
            <wp:effectExtent l="0" t="0" r="1016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0A3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086CB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4C2B5A5C">
      <w:pPr>
        <w:jc w:val="both"/>
      </w:pPr>
      <w:r>
        <w:drawing>
          <wp:inline distT="0" distB="0" distL="114300" distR="114300">
            <wp:extent cx="1940560" cy="3208655"/>
            <wp:effectExtent l="0" t="0" r="1016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3FBA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39613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  <w:lang w:val="en-US" w:eastAsia="zh-CN"/>
        </w:rPr>
        <w:t xml:space="preserve"> 缺少环境变量制备年限和数据格式说明。</w:t>
      </w:r>
    </w:p>
    <w:p w14:paraId="2F3FDA4D">
      <w:pPr>
        <w:jc w:val="both"/>
      </w:pPr>
      <w:r>
        <w:drawing>
          <wp:inline distT="0" distB="0" distL="114300" distR="114300">
            <wp:extent cx="3636645" cy="363664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气候变量一般要求20年以上均值；</w:t>
      </w:r>
    </w:p>
    <w:p w14:paraId="747F1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植被变量一般要求5-10年的均值。</w:t>
      </w:r>
    </w:p>
    <w:p w14:paraId="59AB1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2、缺少调查样点空间分布图。</w:t>
      </w:r>
    </w:p>
    <w:p w14:paraId="21759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2257B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C546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E09E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485DB01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79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2026-09-08T03:33:58Z</dcterms:created>
  <dc:creator>30551</dc:creator>
  <cp:lastModifiedBy>Mi Manchi</cp:lastModifiedBy>
  <dcterms:modified xsi:type="dcterms:W3CDTF">2026-09-08T04:15:37Z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13E20A90532A43BEB38D8BF9A2A5048B_12</vt:lpwstr>
  </property>
</Properties>
</file>