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石家庄师兄弟土地环境技术服务有限公司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bookmarkStart w:id="0" w:name="_GoBack"/>
            <w:r>
              <w:rPr>
                <w:rFonts w:hint="eastAsia"/>
                <w:lang w:val="en-US" w:eastAsia="zh-CN"/>
              </w:rPr>
              <w:t>130434魏县</w:t>
            </w:r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  <w:r>
              <w:drawing>
                <wp:inline distT="0" distB="0" distL="114300" distR="114300">
                  <wp:extent cx="2387600" cy="38735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0" cy="387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  <w:r>
              <w:rPr>
                <w:rFonts w:hint="eastAsia"/>
              </w:rPr>
              <w:t>缺少基础数据、土壤属性专题数据集</w:t>
            </w:r>
          </w:p>
        </w:tc>
      </w:tr>
      <w:tr w14:paraId="0669DA5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465D6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0046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69A73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请按照规定组织数据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  <w:r>
              <w:drawing>
                <wp:inline distT="0" distB="0" distL="114300" distR="114300">
                  <wp:extent cx="3730625" cy="452755"/>
                  <wp:effectExtent l="0" t="0" r="3175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45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</w:pPr>
            <w:r>
              <w:rPr>
                <w:rFonts w:hint="eastAsia"/>
              </w:rPr>
              <w:t>缺少年份、采样深度、检测方法、空间范围等关键信息。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33165" cy="1304290"/>
                  <wp:effectExtent l="0" t="0" r="635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304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</w:pPr>
            <w:r>
              <w:rPr>
                <w:rFonts w:hint="eastAsia"/>
              </w:rPr>
              <w:t>13项土壤属性中仅pH、有机质、全氮、有效磷、速效钾5项有历史变化分析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  <w:r>
              <w:drawing>
                <wp:inline distT="0" distB="0" distL="114300" distR="114300">
                  <wp:extent cx="3730625" cy="887730"/>
                  <wp:effectExtent l="0" t="0" r="3175" b="127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未提交训练集与验证集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未提交环境变量数据</w:t>
            </w:r>
          </w:p>
        </w:tc>
      </w:tr>
      <w:tr w14:paraId="4BE50E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EB9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9273">
            <w:pPr>
              <w:keepNext/>
              <w:spacing w:after="0"/>
            </w:pPr>
            <w:r>
              <w:drawing>
                <wp:inline distT="0" distB="0" distL="114300" distR="114300">
                  <wp:extent cx="3730625" cy="2834640"/>
                  <wp:effectExtent l="0" t="0" r="3175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DB1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缺少分辨率说明，未提供各环境变量的原始数据年份和处理流程详细记录</w:t>
            </w:r>
          </w:p>
        </w:tc>
      </w:tr>
      <w:tr w14:paraId="1369FE1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84D2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456C1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BD80F">
            <w:pPr>
              <w:spacing w:after="0"/>
            </w:pPr>
            <w:r>
              <w:rPr>
                <w:rFonts w:hint="eastAsia"/>
              </w:rPr>
              <w:t>未提供各属性最终入模环境变量清单，未说明共线性处理方法（VIF具体数值）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因数据不齐无法审核</w:t>
            </w: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因数据不齐无法</w:t>
            </w:r>
            <w:r>
              <w:rPr>
                <w:rFonts w:hint="eastAsia"/>
                <w:lang w:val="en-US" w:eastAsia="zh-CN"/>
              </w:rPr>
              <w:t>审核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729355" cy="1031240"/>
                  <wp:effectExtent l="0" t="0" r="4445" b="1016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图名居中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1473200" cy="24384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压盖</w:t>
            </w:r>
          </w:p>
        </w:tc>
      </w:tr>
      <w:tr w14:paraId="0645254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633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2C82">
            <w:pPr>
              <w:spacing w:after="0"/>
            </w:pPr>
            <w:r>
              <w:drawing>
                <wp:inline distT="0" distB="0" distL="114300" distR="114300">
                  <wp:extent cx="2463800" cy="19304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93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5236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图例缺少晕线图例</w:t>
            </w:r>
          </w:p>
        </w:tc>
      </w:tr>
      <w:tr w14:paraId="027186A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D0A3D">
            <w:pPr>
              <w:spacing w:after="0"/>
              <w:jc w:val="center"/>
              <w:rPr>
                <w:rFonts w:ascii="Calibri" w:hAnsi="Calibri" w:eastAsia="宋体"/>
                <w:sz w:val="18"/>
              </w:rPr>
            </w:pP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60DE4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CE3CD">
            <w:p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图件成果需要分级图和含量图的JPG图片</w:t>
            </w:r>
          </w:p>
        </w:tc>
      </w:tr>
    </w:tbl>
    <w:p w14:paraId="291F6429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历史分析部分已在上述问题提出</w:t>
            </w:r>
          </w:p>
        </w:tc>
      </w:tr>
      <w:tr w14:paraId="397CD8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477F0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45AE0">
            <w:pPr>
              <w:keepNext/>
              <w:spacing w:after="0"/>
            </w:pPr>
            <w:r>
              <w:rPr>
                <w:rFonts w:hint="eastAsia"/>
              </w:rPr>
              <w:t>报告、统计表、属性含量栅格、分级栅格、数字化图件和数据库中的属性名称、单位、分级阈值、面积及结论应一致。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88F92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因缺少数据无法审核</w:t>
            </w:r>
          </w:p>
        </w:tc>
      </w:tr>
      <w:tr w14:paraId="2B18B74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F3A7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DAB41">
            <w:pPr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8B40">
            <w:pPr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77373B"/>
    <w:rsid w:val="3E2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5427</Words>
  <Characters>5927</Characters>
  <Lines>0</Lines>
  <Paragraphs>0</Paragraphs>
  <TotalTime>72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2026-09-09T09:53:21Z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eyJoZGlkIjoiYTQ4N2RlMDg0YzZlNjVkMDA4ZDM0MTc0NTMwNGUwYjIiLCJ1c2VySWQiOiI4ODEwNTYwNjYifQ==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1CA3CAA129EE44519C60597F5DAFCA9C_13</vt:lpwstr>
  </property>
</Properties>
</file>