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198C601C">
      <w:pPr>
        <w:widowControl w:val="1"/>
        <w:ind w:firstLine="480"/>
        <w:jc w:val="center"/>
        <w:rPr>
          <w:rFonts w:hint="eastAsia" w:ascii="宋体" w:hAnsi="宋体"/>
          <w:b w:val="1"/>
          <w:bCs w:val="1"/>
          <w:sz w:val="44"/>
          <w:szCs w:val="44"/>
        </w:rPr>
      </w:pPr>
      <w:r>
        <w:rPr>
          <w:noProof w:val="1"/>
        </w:rPr>
        <w:drawing>
          <wp:anchor distT="0" distB="0" distL="114300" distR="114300" simplePos="0" relativeHeight="251659264" behindDoc="0" locked="0" layoutInCell="1" allowOverlap="1">
            <wp:simplePos x="0" y="0"/>
            <wp:positionH relativeFrom="margin">
              <wp:align>left</wp:align>
            </wp:positionH>
            <wp:positionV relativeFrom="paragraph">
              <wp:posOffset>151130</wp:posOffset>
            </wp:positionV>
            <wp:extent cx="1104900" cy="1097915"/>
            <wp:effectExtent l="0" t="0" r="0" b="6985"/>
            <wp:wrapNone/>
            <wp:docPr id="2" name="图片 1" descr="图片1"/>
            <wp:cNvGraphicFramePr>
              <a:graphicFrameLocks noChangeAspect="1"/>
            </wp:cNvGraphicFramePr>
            <a:graphic>
              <a:graphicData uri="http://schemas.openxmlformats.org/drawingml/2006/picture">
                <pic:pic>
                  <pic:nvPicPr>
                    <pic:cNvPr id="3" name="图片 1" descr="图片1"/>
                    <pic:cNvPicPr>
                      <a:picLocks noChangeAspect="1" noChangeArrowheads="1"/>
                    </pic:cNvPicPr>
                  </pic:nvPicPr>
                  <pic:blipFill>
                    <a:blip r:embed="rId16">
                      <a:extLst>
                        <a:ext uri="{28A0092B-C50C-407E-A947-70E740481C1C}"/>
                      </a:extLst>
                    </a:blip>
                    <a:srcRect/>
                    <a:stretch>
                      <a:fillRect/>
                    </a:stretch>
                  </pic:blipFill>
                  <pic:spPr>
                    <a:xfrm>
                      <a:off x="0" y="0"/>
                      <a:ext cx="1105200" cy="1098000"/>
                    </a:xfrm>
                    <a:prstGeom prst="rect">
                      <a:avLst/>
                    </a:prstGeom>
                    <a:noFill/>
                    <a:ln>
                      <a:noFill/>
                    </a:ln>
                  </pic:spPr>
                </pic:pic>
              </a:graphicData>
            </a:graphic>
          </wp:anchor>
        </w:drawing>
      </w:r>
      <w:r>
        <w:rPr>
          <w:rFonts w:hint="eastAsia" w:ascii="宋体" w:hAnsi="宋体"/>
          <w:b w:val="1"/>
          <w:bCs w:val="1"/>
          <w:sz w:val="44"/>
          <w:szCs w:val="44"/>
        </w:rPr>
        <w:t xml:space="preserve">  </w:t>
      </w:r>
    </w:p>
    <w:p w14:paraId="394FC87F">
      <w:pPr>
        <w:widowControl w:val="1"/>
        <w:ind w:firstLine="883"/>
        <w:jc w:val="center"/>
        <w:rPr>
          <w:rFonts w:hint="eastAsia" w:ascii="宋体" w:hAnsi="宋体"/>
          <w:b w:val="1"/>
          <w:bCs w:val="1"/>
          <w:sz w:val="44"/>
          <w:szCs w:val="44"/>
        </w:rPr>
      </w:pPr>
    </w:p>
    <w:p w14:paraId="44CB7E10">
      <w:pPr>
        <w:widowControl w:val="1"/>
        <w:ind w:firstLine="883"/>
        <w:jc w:val="center"/>
        <w:rPr>
          <w:rFonts w:hint="eastAsia" w:ascii="宋体" w:hAnsi="宋体"/>
          <w:b w:val="1"/>
          <w:bCs w:val="1"/>
          <w:sz w:val="44"/>
          <w:szCs w:val="44"/>
        </w:rPr>
      </w:pPr>
    </w:p>
    <w:p w14:paraId="4DB0020E">
      <w:pPr>
        <w:widowControl w:val="1"/>
        <w:ind w:firstLine="883"/>
        <w:jc w:val="center"/>
        <w:rPr>
          <w:rFonts w:hint="eastAsia" w:ascii="宋体" w:hAnsi="宋体"/>
          <w:b w:val="1"/>
          <w:bCs w:val="1"/>
          <w:sz w:val="44"/>
          <w:szCs w:val="44"/>
        </w:rPr>
      </w:pPr>
    </w:p>
    <w:p w14:paraId="207643DA">
      <w:pPr>
        <w:widowControl w:val="1"/>
        <w:ind w:firstLine="883"/>
        <w:jc w:val="center"/>
        <w:rPr>
          <w:rFonts w:hint="eastAsia" w:ascii="宋体" w:hAnsi="宋体"/>
          <w:b w:val="1"/>
          <w:bCs w:val="1"/>
          <w:sz w:val="44"/>
          <w:szCs w:val="44"/>
        </w:rPr>
      </w:pPr>
    </w:p>
    <w:p w14:paraId="744BAF8B">
      <w:pPr>
        <w:widowControl w:val="1"/>
        <w:ind w:firstLine="883"/>
        <w:jc w:val="center"/>
        <w:rPr>
          <w:rFonts w:hint="eastAsia" w:ascii="宋体" w:hAnsi="宋体"/>
          <w:b w:val="1"/>
          <w:bCs w:val="1"/>
          <w:sz w:val="44"/>
          <w:szCs w:val="44"/>
        </w:rPr>
      </w:pPr>
    </w:p>
    <w:p w14:paraId="169A6D3F">
      <w:pPr>
        <w:widowControl w:val="1"/>
        <w:ind w:firstLine="880"/>
        <w:jc w:val="center"/>
        <w:rPr>
          <w:rFonts w:hint="eastAsia" w:ascii="黑体" w:hAnsi="黑体" w:eastAsia="黑体"/>
          <w:sz w:val="44"/>
          <w:szCs w:val="44"/>
        </w:rPr>
      </w:pPr>
      <w:commentRangeStart w:id="0"/>
      <w:r>
        <w:rPr>
          <w:rFonts w:hint="eastAsia" w:ascii="黑体" w:hAnsi="黑体" w:eastAsia="黑体"/>
          <w:sz w:val="44"/>
          <w:szCs w:val="44"/>
        </w:rPr>
        <w:t>黄骅市第三次土壤普查工作报告</w:t>
      </w:r>
      <w:commentRangeEnd w:id="0"/>
      <w:r>
        <w:commentReference w:id="0"/>
      </w:r>
    </w:p>
    <w:p w14:paraId="3D5DC634">
      <w:pPr>
        <w:widowControl w:val="1"/>
        <w:ind w:firstLine="883"/>
        <w:jc w:val="center"/>
        <w:rPr>
          <w:rFonts w:hint="eastAsia" w:ascii="宋体" w:hAnsi="宋体"/>
          <w:b w:val="1"/>
          <w:bCs w:val="1"/>
          <w:sz w:val="44"/>
          <w:szCs w:val="44"/>
        </w:rPr>
      </w:pPr>
    </w:p>
    <w:p w14:paraId="51899B32">
      <w:pPr>
        <w:widowControl w:val="1"/>
        <w:ind w:firstLine="883"/>
        <w:jc w:val="center"/>
        <w:rPr>
          <w:rFonts w:hint="eastAsia" w:ascii="宋体" w:hAnsi="宋体"/>
          <w:b w:val="1"/>
          <w:bCs w:val="1"/>
          <w:sz w:val="44"/>
          <w:szCs w:val="44"/>
        </w:rPr>
      </w:pPr>
    </w:p>
    <w:p w14:paraId="2713B2FE">
      <w:pPr>
        <w:widowControl w:val="1"/>
        <w:ind w:firstLine="883"/>
        <w:jc w:val="center"/>
        <w:rPr>
          <w:rFonts w:hint="eastAsia" w:ascii="宋体" w:hAnsi="宋体"/>
          <w:b w:val="1"/>
          <w:bCs w:val="1"/>
          <w:sz w:val="44"/>
          <w:szCs w:val="44"/>
        </w:rPr>
      </w:pPr>
    </w:p>
    <w:p w14:paraId="39C68E58">
      <w:pPr>
        <w:widowControl w:val="1"/>
        <w:ind w:firstLine="883"/>
        <w:jc w:val="center"/>
        <w:rPr>
          <w:rFonts w:hint="eastAsia" w:ascii="宋体" w:hAnsi="宋体"/>
          <w:b w:val="1"/>
          <w:bCs w:val="1"/>
          <w:sz w:val="44"/>
          <w:szCs w:val="44"/>
        </w:rPr>
      </w:pPr>
    </w:p>
    <w:p w14:paraId="114F982B">
      <w:pPr>
        <w:widowControl w:val="1"/>
        <w:ind w:firstLine="883"/>
        <w:jc w:val="center"/>
        <w:rPr>
          <w:rFonts w:hint="eastAsia" w:ascii="宋体" w:hAnsi="宋体"/>
          <w:b w:val="1"/>
          <w:bCs w:val="1"/>
          <w:sz w:val="44"/>
          <w:szCs w:val="44"/>
        </w:rPr>
      </w:pPr>
    </w:p>
    <w:p w14:paraId="358D6710">
      <w:pPr>
        <w:widowControl w:val="1"/>
        <w:ind w:firstLine="883"/>
        <w:jc w:val="center"/>
        <w:rPr>
          <w:rFonts w:hint="eastAsia" w:ascii="宋体" w:hAnsi="宋体"/>
          <w:b w:val="1"/>
          <w:bCs w:val="1"/>
          <w:sz w:val="44"/>
          <w:szCs w:val="44"/>
        </w:rPr>
      </w:pPr>
    </w:p>
    <w:p w14:paraId="0CB7A88F">
      <w:pPr>
        <w:widowControl w:val="1"/>
        <w:ind w:firstLine="883"/>
        <w:jc w:val="center"/>
        <w:rPr>
          <w:rFonts w:hint="eastAsia" w:ascii="宋体" w:hAnsi="宋体"/>
          <w:b w:val="1"/>
          <w:bCs w:val="1"/>
          <w:sz w:val="44"/>
          <w:szCs w:val="44"/>
        </w:rPr>
      </w:pPr>
    </w:p>
    <w:p w14:paraId="7CCA1DF5">
      <w:pPr>
        <w:widowControl w:val="1"/>
        <w:ind w:firstLine="883"/>
        <w:jc w:val="center"/>
        <w:rPr>
          <w:rFonts w:hint="eastAsia" w:ascii="宋体" w:hAnsi="宋体"/>
          <w:b w:val="1"/>
          <w:bCs w:val="1"/>
          <w:sz w:val="44"/>
          <w:szCs w:val="44"/>
        </w:rPr>
      </w:pPr>
    </w:p>
    <w:p w14:paraId="70EC400E">
      <w:pPr>
        <w:widowControl w:val="1"/>
        <w:ind w:firstLine="883"/>
        <w:jc w:val="center"/>
        <w:rPr>
          <w:rFonts w:hint="eastAsia" w:ascii="宋体" w:hAnsi="宋体"/>
          <w:b w:val="1"/>
          <w:bCs w:val="1"/>
          <w:sz w:val="44"/>
          <w:szCs w:val="44"/>
        </w:rPr>
      </w:pPr>
    </w:p>
    <w:p w14:paraId="32624343">
      <w:pPr>
        <w:widowControl w:val="1"/>
        <w:ind w:firstLine="883"/>
        <w:jc w:val="center"/>
        <w:rPr>
          <w:rFonts w:hint="eastAsia" w:ascii="宋体" w:hAnsi="宋体"/>
          <w:b w:val="1"/>
          <w:bCs w:val="1"/>
          <w:sz w:val="44"/>
          <w:szCs w:val="44"/>
        </w:rPr>
      </w:pPr>
    </w:p>
    <w:p w14:paraId="7EBB23A6">
      <w:pPr>
        <w:widowControl w:val="1"/>
        <w:ind w:firstLine="883"/>
        <w:jc w:val="center"/>
        <w:rPr>
          <w:rFonts w:hint="eastAsia" w:ascii="宋体" w:hAnsi="宋体"/>
          <w:b w:val="1"/>
          <w:bCs w:val="1"/>
          <w:sz w:val="44"/>
          <w:szCs w:val="44"/>
        </w:rPr>
      </w:pPr>
    </w:p>
    <w:p w14:paraId="6C538DFD">
      <w:pPr>
        <w:ind w:firstLine="640"/>
        <w:jc w:val="center"/>
        <w:rPr>
          <w:rFonts w:eastAsia="黑体" w:cs="Times New Roman"/>
          <w:sz w:val="32"/>
          <w:szCs w:val="32"/>
        </w:rPr>
      </w:pPr>
      <w:r>
        <w:rPr>
          <w:rFonts w:hint="eastAsia" w:eastAsia="黑体" w:cs="Times New Roman"/>
          <w:sz w:val="32"/>
          <w:szCs w:val="32"/>
        </w:rPr>
        <w:t>黄骅市第三次土壤普查领导小组办公室</w:t>
      </w:r>
    </w:p>
    <w:p w14:paraId="5C7B1852">
      <w:pPr>
        <w:ind w:firstLine="640"/>
        <w:jc w:val="center"/>
        <w:rPr>
          <w:rFonts w:eastAsia="黑体" w:cs="Times New Roman"/>
          <w:sz w:val="32"/>
          <w:szCs w:val="32"/>
        </w:rPr>
      </w:pPr>
      <w:r>
        <w:rPr>
          <w:rFonts w:hint="eastAsia" w:eastAsia="黑体" w:cs="Times New Roman"/>
          <w:sz w:val="32"/>
          <w:szCs w:val="32"/>
        </w:rPr>
        <w:t>河北玛恩农业科技有限公司</w:t>
      </w:r>
    </w:p>
    <w:p w14:paraId="7960F3E7">
      <w:pPr>
        <w:widowControl w:val="1"/>
        <w:ind w:firstLine="640"/>
        <w:jc w:val="center"/>
        <w:rPr>
          <w:rFonts w:eastAsia="黑体" w:cs="Times New Roman"/>
          <w:sz w:val="32"/>
          <w:szCs w:val="32"/>
        </w:rPr>
      </w:pPr>
      <w:r>
        <w:rPr>
          <w:rFonts w:hint="eastAsia" w:eastAsia="黑体" w:cs="Times New Roman"/>
          <w:sz w:val="32"/>
          <w:szCs w:val="32"/>
        </w:rPr>
        <w:t>二〇二六</w:t>
      </w:r>
      <w:r>
        <w:rPr>
          <w:rFonts w:hint="eastAsia" w:eastAsia="黑体" w:cs="Times New Roman"/>
          <w:sz w:val="32"/>
          <w:szCs w:val="32"/>
        </w:rPr>
        <w:t>年</w:t>
      </w:r>
      <w:r>
        <w:rPr>
          <w:rFonts w:hint="eastAsia" w:eastAsia="黑体" w:cs="Times New Roman"/>
          <w:sz w:val="32"/>
          <w:szCs w:val="32"/>
        </w:rPr>
        <w:t>八</w:t>
      </w:r>
      <w:r>
        <w:rPr>
          <w:rFonts w:hint="eastAsia" w:eastAsia="黑体" w:cs="Times New Roman"/>
          <w:sz w:val="32"/>
          <w:szCs w:val="32"/>
        </w:rPr>
        <w:t>月</w:t>
      </w:r>
    </w:p>
    <w:p w14:paraId="1779D743">
      <w:pPr>
        <w:widowControl w:val="1"/>
        <w:ind w:firstLine="480"/>
        <w:jc w:val="left"/>
      </w:pPr>
      <w:r>
        <w:rPr>
          <w:rFonts w:hint="eastAsia"/>
        </w:rPr>
        <w:br w:type="page"/>
      </w:r>
    </w:p>
    <w:p w14:paraId="3843E002">
      <w:pPr>
        <w:widowControl w:val="1"/>
        <w:ind w:firstLine="0" w:firstLineChars="0"/>
        <w:jc w:val="center"/>
        <w:rPr>
          <w:rFonts w:hint="eastAsia" w:ascii="黑体" w:hAnsi="黑体" w:eastAsia="黑体"/>
          <w:sz w:val="44"/>
          <w:szCs w:val="44"/>
        </w:rPr>
      </w:pPr>
      <w:r>
        <w:rPr>
          <w:rFonts w:hint="eastAsia" w:ascii="黑体" w:hAnsi="黑体" w:eastAsia="黑体"/>
          <w:sz w:val="44"/>
          <w:szCs w:val="44"/>
        </w:rPr>
        <w:t>前 言</w:t>
      </w:r>
    </w:p>
    <w:p w14:paraId="1EF58F2F">
      <w:pPr>
        <w:ind w:firstLine="480"/>
        <w:rPr>
          <w:rFonts w:cs="Times New Roman"/>
        </w:rPr>
      </w:pPr>
      <w:r>
        <w:rPr>
          <w:rFonts w:hint="eastAsia" w:cs="Times New Roman"/>
        </w:rPr>
        <w:t>第三次全国土壤普查是国务院部署的一项重大国情国力调查，是在实施乡村振兴战略、保障国家粮食安全、推进农业绿色发展的时代背景下开展的一项基础性、战略性工程。自1979年第二次全国土壤普查启动至今，已时隔四十余年。这四十多年间，我国粮食产量翻了一番，但土地长期处于高强度利用状态，黑土地退化、南方红黄壤酸化、北方盐碱地演变等问题日益凸显。在此背景下，开展一次系统性的土壤全面体检，摸清土壤资源家底，已成为保障国家粮食安全和推进农业高质量发展的迫切需求。</w:t>
      </w:r>
    </w:p>
    <w:p w14:paraId="4D82CB7A">
      <w:pPr>
        <w:ind w:firstLine="480"/>
        <w:rPr>
          <w:rFonts w:cs="Times New Roman"/>
        </w:rPr>
      </w:pPr>
      <w:r>
        <w:rPr>
          <w:rFonts w:hint="eastAsia" w:cs="Times New Roman"/>
        </w:rPr>
        <w:t>黄骅市地处河北省东南部，东临渤海，是典型的滨海盐碱地区域。古黄河冲积母质形成的盐成土、潜育土、雏形土在此广泛分布。作为沧州市耕地面积最大的市之一，黄骅市耕地资源丰富，旱地、水浇地、草地、湿地及盐碱荒地等多种地类并存，构成了复杂而典型的土壤资源格局。同时，黄骅旱碱麦种植已有2600余年历史，被列入全国土特产推介名录，盐碱地综合利用既是历史课题，也是时代使命。</w:t>
      </w:r>
    </w:p>
    <w:p w14:paraId="2DC4D326">
      <w:pPr>
        <w:ind w:firstLine="480"/>
        <w:rPr>
          <w:rFonts w:cs="Times New Roman"/>
        </w:rPr>
      </w:pPr>
      <w:r>
        <w:rPr>
          <w:rFonts w:hint="eastAsia" w:cs="Times New Roman"/>
        </w:rPr>
        <w:t>2022年，黄骅市被确定为河北省盐碱地调查试点县，率先在全省启动三普外业调查采样工作。从2022年10月15日采样正式启动，到2025年底成果汇总汇交高质量收官，历时三年多，经历了试点启动、全面铺开、收尾验收三个阶段。</w:t>
      </w:r>
      <w:commentRangeStart w:id="1"/>
      <w:r>
        <w:rPr>
          <w:rFonts w:hint="eastAsia" w:cs="Times New Roman"/>
        </w:rPr>
        <w:t>全市共计布设野外调查样点860个</w:t>
      </w:r>
      <w:commentRangeEnd w:id="1"/>
      <w:r>
        <w:rPr>
          <w:rFonts w:cs="Times New Roman"/>
        </w:rPr>
        <w:commentReference w:id="1"/>
      </w:r>
      <w:r>
        <w:rPr>
          <w:rFonts w:hint="eastAsia" w:cs="Times New Roman"/>
        </w:rPr>
        <w:t>，全面覆盖盐碱耕地、盐碱荒地、特色农产品种植区等关键区域。普查工作严格遵循国家技术规范，科学制作工作底图，采用网格法与差异化密度相结合的方法完成样点预布设，并通过人工校核确保样点的代表性、可达性和可操作性。</w:t>
      </w:r>
    </w:p>
    <w:p w14:paraId="72E52BBF">
      <w:pPr>
        <w:ind w:firstLine="480"/>
        <w:rPr>
          <w:rFonts w:cs="Times New Roman"/>
        </w:rPr>
      </w:pPr>
      <w:r>
        <w:rPr>
          <w:rFonts w:hint="eastAsia" w:cs="Times New Roman"/>
        </w:rPr>
        <w:t>在组织保障方面，黄骅市成立了</w:t>
      </w:r>
      <w:commentRangeStart w:id="2"/>
      <w:r>
        <w:rPr>
          <w:rFonts w:hint="eastAsia" w:cs="Times New Roman"/>
        </w:rPr>
        <w:t>由区政府分管负责同志任组长的第三次土壤普查领导小组</w:t>
      </w:r>
      <w:commentRangeEnd w:id="2"/>
      <w:r>
        <w:rPr>
          <w:rFonts w:cs="Times New Roman"/>
        </w:rPr>
        <w:commentReference w:id="2"/>
      </w:r>
      <w:r>
        <w:rPr>
          <w:rFonts w:hint="eastAsia" w:cs="Times New Roman"/>
        </w:rPr>
        <w:t>，建立了</w:t>
      </w:r>
      <w:r>
        <w:rPr>
          <w:rFonts w:hint="eastAsia" w:cs="Times New Roman"/>
        </w:rPr>
        <w:t>“</w:t>
      </w:r>
      <w:r>
        <w:rPr>
          <w:rFonts w:hint="eastAsia" w:cs="Times New Roman"/>
        </w:rPr>
        <w:t>党政同责、政府主导、部门协同、分级负责、各方参与</w:t>
      </w:r>
      <w:r>
        <w:rPr>
          <w:rFonts w:hint="eastAsia" w:cs="Times New Roman"/>
        </w:rPr>
        <w:t>”</w:t>
      </w:r>
      <w:r>
        <w:rPr>
          <w:rFonts w:hint="eastAsia" w:cs="Times New Roman"/>
        </w:rPr>
        <w:t>的工作机制。经费保障上，严格落实中央和省级财政专项资金，规范经费申请与使用流程，确保专款专用、高效运行。安全保密方面，构建了从保密责任制落实、国产化软硬件应用、数据加密传输与权限管理到资料归档保管的全方位数据安全体系。质量控制上，依托河北农业大学等高校科研院所的专家团队，建立了</w:t>
      </w:r>
      <w:r>
        <w:rPr>
          <w:rFonts w:hint="eastAsia" w:cs="Times New Roman"/>
        </w:rPr>
        <w:t>“</w:t>
      </w:r>
      <w:r>
        <w:rPr>
          <w:rFonts w:hint="eastAsia" w:cs="Times New Roman"/>
        </w:rPr>
        <w:t>省级督导+市级指导+县级自验</w:t>
      </w:r>
      <w:r>
        <w:rPr>
          <w:rFonts w:hint="eastAsia" w:cs="Times New Roman"/>
        </w:rPr>
        <w:t>”</w:t>
      </w:r>
      <w:r>
        <w:rPr>
          <w:rFonts w:hint="eastAsia" w:cs="Times New Roman"/>
        </w:rPr>
        <w:t>的多级质控网络，确保普查数据真实可靠。</w:t>
      </w:r>
    </w:p>
    <w:p w14:paraId="5CCC4183">
      <w:pPr>
        <w:ind w:firstLine="480"/>
        <w:rPr>
          <w:rFonts w:cs="Times New Roman"/>
        </w:rPr>
      </w:pPr>
      <w:commentRangeStart w:id="3"/>
      <w:r>
        <w:rPr>
          <w:rFonts w:hint="eastAsia" w:cs="Times New Roman"/>
        </w:rPr>
        <w:t>当前，黄骅市第三次土壤普查工作已顺利转入成果编制与验收收尾阶段</w:t>
      </w:r>
      <w:commentRangeEnd w:id="3"/>
      <w:r>
        <w:rPr>
          <w:rFonts w:cs="Times New Roman"/>
        </w:rPr>
        <w:commentReference w:id="3"/>
      </w:r>
      <w:r>
        <w:rPr>
          <w:rFonts w:hint="eastAsia" w:cs="Times New Roman"/>
        </w:rPr>
        <w:t>。普查成果将为黄骅市盐碱地综合利用规划、旱碱麦特色产业发展、耕地质量保护与提升提供科学依据，为筑牢国家粮食安全根基、推动农业农村现代化贡献</w:t>
      </w:r>
      <w:r>
        <w:rPr>
          <w:rFonts w:hint="eastAsia" w:cs="Times New Roman"/>
        </w:rPr>
        <w:t>“</w:t>
      </w:r>
      <w:r>
        <w:rPr>
          <w:rFonts w:hint="eastAsia" w:cs="Times New Roman"/>
        </w:rPr>
        <w:t>黄骅力量</w:t>
      </w:r>
      <w:r>
        <w:rPr>
          <w:rFonts w:hint="eastAsia" w:cs="Times New Roman"/>
        </w:rPr>
        <w:t>”</w:t>
      </w:r>
      <w:r>
        <w:rPr>
          <w:rFonts w:hint="eastAsia" w:cs="Times New Roman"/>
        </w:rPr>
        <w:t>。</w:t>
      </w:r>
    </w:p>
    <w:p w14:paraId="22FA13A3">
      <w:pPr>
        <w:ind w:firstLine="480"/>
        <w:jc w:val="center"/>
        <w:rPr>
          <w:rFonts w:cs="Times New Roman"/>
          <w:szCs w:val="24"/>
        </w:rPr>
      </w:pPr>
    </w:p>
    <w:p w14:paraId="6ED00DE8">
      <w:pPr>
        <w:ind w:firstLine="880"/>
        <w:jc w:val="center"/>
        <w:rPr>
          <w:rFonts w:hint="eastAsia" w:ascii="黑体" w:hAnsi="黑体" w:eastAsia="黑体"/>
          <w:sz w:val="44"/>
          <w:szCs w:val="44"/>
        </w:rPr>
      </w:pPr>
    </w:p>
    <w:p w14:paraId="3EB2783D">
      <w:pPr>
        <w:ind w:firstLine="880"/>
        <w:jc w:val="center"/>
        <w:rPr>
          <w:rFonts w:hint="eastAsia" w:ascii="黑体" w:hAnsi="黑体" w:eastAsia="黑体"/>
          <w:sz w:val="44"/>
          <w:szCs w:val="44"/>
        </w:rPr>
      </w:pPr>
    </w:p>
    <w:p w14:paraId="5FBB98D8">
      <w:pPr>
        <w:ind w:firstLine="880"/>
        <w:jc w:val="center"/>
        <w:rPr>
          <w:rFonts w:hint="eastAsia" w:ascii="黑体" w:hAnsi="黑体" w:eastAsia="黑体"/>
          <w:sz w:val="44"/>
          <w:szCs w:val="44"/>
        </w:rPr>
      </w:pPr>
    </w:p>
    <w:p w14:paraId="3AE38AC2">
      <w:pPr>
        <w:ind w:firstLine="880"/>
        <w:jc w:val="center"/>
        <w:rPr>
          <w:rFonts w:hint="eastAsia" w:ascii="黑体" w:hAnsi="黑体" w:eastAsia="黑体"/>
          <w:sz w:val="44"/>
          <w:szCs w:val="44"/>
        </w:rPr>
      </w:pPr>
    </w:p>
    <w:p w14:paraId="464F0AB8">
      <w:pPr>
        <w:ind w:firstLine="880"/>
        <w:jc w:val="center"/>
        <w:rPr>
          <w:rFonts w:hint="eastAsia" w:ascii="黑体" w:hAnsi="黑体" w:eastAsia="黑体"/>
          <w:sz w:val="44"/>
          <w:szCs w:val="44"/>
        </w:rPr>
      </w:pPr>
    </w:p>
    <w:p w14:paraId="615B114E">
      <w:pPr>
        <w:ind w:firstLine="880"/>
        <w:jc w:val="center"/>
        <w:rPr>
          <w:rFonts w:hint="eastAsia" w:ascii="黑体" w:hAnsi="黑体" w:eastAsia="黑体"/>
          <w:sz w:val="44"/>
          <w:szCs w:val="44"/>
        </w:rPr>
      </w:pPr>
      <w:commentRangeStart w:id="4"/>
      <w:r>
        <w:rPr>
          <w:rFonts w:hint="eastAsia" w:ascii="黑体" w:hAnsi="黑体" w:eastAsia="黑体"/>
          <w:sz w:val="44"/>
          <w:szCs w:val="44"/>
        </w:rPr>
        <w:t>目 录</w:t>
      </w:r>
      <w:commentRangeEnd w:id="4"/>
      <w:r>
        <w:commentReference w:id="4"/>
      </w:r>
    </w:p>
    <w:p w14:paraId="7DB3BCB7">
      <w:pPr>
        <w:pStyle w:val="00002c"/>
        <w:tabs>
          <w:tab w:val="right" w:leader="dot" w:pos="8296"/>
        </w:tabs>
        <w:spacing w:line="360" w:lineRule="exact"/>
        <w:rPr>
          <w:rFonts w:cs="Times New Roman" w:eastAsiaTheme="minorEastAsia"/>
          <w:sz w:val="22"/>
          <w:szCs w:val="24"/>
        </w:rPr>
      </w:pPr>
      <w:r>
        <w:rPr>
          <w:rFonts w:hint="eastAsia" w:ascii="黑体" w:hAnsi="黑体"/>
          <w:sz w:val="44"/>
          <w:szCs w:val="44"/>
        </w:rPr>
        <w:fldChar w:fldCharType="begin"/>
      </w:r>
      <w:r>
        <w:rPr>
          <w:rFonts w:hint="eastAsia" w:ascii="黑体" w:hAnsi="黑体"/>
          <w:sz w:val="44"/>
          <w:szCs w:val="44"/>
        </w:rPr>
        <w:instrText xml:space="preserve"> TOC \o "1-3" \h \z \u </w:instrText>
      </w:r>
      <w:r>
        <w:rPr>
          <w:rFonts w:hint="eastAsia" w:ascii="黑体" w:hAnsi="黑体"/>
          <w:sz w:val="44"/>
          <w:szCs w:val="44"/>
        </w:rPr>
        <w:fldChar w:fldCharType="separate"/>
      </w:r>
      <w:r>
        <w:fldChar w:fldCharType="begin" w:fldLock="0" w:dirty="0"/>
      </w:r>
      <w:r>
        <w:instrText>HYPERLINK \l "_Toc211164715"</w:instrText>
      </w:r>
      <w:r>
        <w:fldChar w:fldCharType="separate" w:fldLock="0" w:dirty="0"/>
      </w:r>
      <w:r>
        <w:rPr>
          <w:rStyle w:val="000035"/>
          <w:rFonts w:hint="eastAsia" w:cs="Times New Roman"/>
          <w:color w:val="auto"/>
        </w:rPr>
        <w:t>一、土壤三普梗概</w:t>
      </w:r>
      <w:r>
        <w:rPr>
          <w:rFonts w:cs="Times New Roman"/>
        </w:rPr>
        <w:tab/>
      </w:r>
      <w:r>
        <w:rPr>
          <w:rFonts w:cs="Times New Roman"/>
        </w:rPr>
        <w:fldChar w:fldCharType="begin"/>
      </w:r>
      <w:r>
        <w:rPr>
          <w:rFonts w:cs="Times New Roman"/>
        </w:rPr>
        <w:instrText xml:space="preserve"> PAGEREF _Toc211164715 \h </w:instrText>
      </w:r>
      <w:r>
        <w:rPr>
          <w:rFonts w:cs="Times New Roman"/>
        </w:rPr>
        <w:fldChar w:fldCharType="separate"/>
      </w:r>
      <w:r>
        <w:rPr>
          <w:rFonts w:cs="Times New Roman"/>
        </w:rPr>
        <w:t>1</w:t>
      </w:r>
      <w:r>
        <w:rPr>
          <w:rFonts w:cs="Times New Roman"/>
        </w:rPr>
        <w:fldChar w:fldCharType="end"/>
      </w:r>
      <w:r>
        <w:fldChar w:fldCharType="end" w:fldLock="0" w:dirty="0"/>
      </w:r>
    </w:p>
    <w:p w14:paraId="735BC172">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"_Toc211164716"</w:instrText>
      </w:r>
      <w:r>
        <w:fldChar w:fldCharType="separate" w:fldLock="0" w:dirty="0"/>
      </w:r>
      <w:r>
        <w:rPr>
          <w:rStyle w:val="000035"/>
          <w:rFonts w:hint="eastAsia" w:cs="Times New Roman"/>
          <w:color w:val="auto"/>
        </w:rPr>
        <w:t>（一）土壤普查工作背景</w:t>
      </w:r>
      <w:r>
        <w:rPr>
          <w:rFonts w:cs="Times New Roman"/>
        </w:rPr>
        <w:tab/>
      </w:r>
      <w:r>
        <w:rPr>
          <w:rFonts w:cs="Times New Roman"/>
        </w:rPr>
        <w:fldChar w:fldCharType="begin"/>
      </w:r>
      <w:r>
        <w:rPr>
          <w:rFonts w:cs="Times New Roman"/>
        </w:rPr>
        <w:instrText xml:space="preserve"> PAGEREF _Toc211164716 \h </w:instrText>
      </w:r>
      <w:r>
        <w:rPr>
          <w:rFonts w:cs="Times New Roman"/>
        </w:rPr>
        <w:fldChar w:fldCharType="separate"/>
      </w:r>
      <w:r>
        <w:rPr>
          <w:rFonts w:cs="Times New Roman"/>
        </w:rPr>
        <w:t>1</w:t>
      </w:r>
      <w:r>
        <w:rPr>
          <w:rFonts w:cs="Times New Roman"/>
        </w:rPr>
        <w:fldChar w:fldCharType="end"/>
      </w:r>
      <w:r>
        <w:fldChar w:fldCharType="end" w:fldLock="0" w:dirty="0"/>
      </w:r>
    </w:p>
    <w:p w14:paraId="2219341E">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"_Toc211164717"</w:instrText>
      </w:r>
      <w:r>
        <w:fldChar w:fldCharType="separate" w:fldLock="0" w:dirty="0"/>
      </w:r>
      <w:r>
        <w:rPr>
          <w:rStyle w:val="000035"/>
          <w:rFonts w:hint="eastAsia" w:cs="Times New Roman"/>
          <w:color w:val="auto"/>
        </w:rPr>
        <w:t>（二）土壤普查工作目的</w:t>
      </w:r>
      <w:r>
        <w:rPr>
          <w:rFonts w:cs="Times New Roman"/>
        </w:rPr>
        <w:tab/>
      </w:r>
      <w:r>
        <w:rPr>
          <w:rFonts w:cs="Times New Roman"/>
        </w:rPr>
        <w:fldChar w:fldCharType="begin"/>
      </w:r>
      <w:r>
        <w:rPr>
          <w:rFonts w:cs="Times New Roman"/>
        </w:rPr>
        <w:instrText xml:space="preserve"> PAGEREF _Toc211164717 \h </w:instrText>
      </w:r>
      <w:r>
        <w:rPr>
          <w:rFonts w:cs="Times New Roman"/>
        </w:rPr>
        <w:fldChar w:fldCharType="separate"/>
      </w:r>
      <w:r>
        <w:rPr>
          <w:rFonts w:cs="Times New Roman"/>
        </w:rPr>
        <w:t>1</w:t>
      </w:r>
      <w:r>
        <w:rPr>
          <w:rFonts w:cs="Times New Roman"/>
        </w:rPr>
        <w:fldChar w:fldCharType="end"/>
      </w:r>
      <w:r>
        <w:fldChar w:fldCharType="end" w:fldLock="0" w:dirty="0"/>
      </w:r>
    </w:p>
    <w:p w14:paraId="3BF1268F">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"_Toc211164718"</w:instrText>
      </w:r>
      <w:r>
        <w:fldChar w:fldCharType="separate" w:fldLock="0" w:dirty="0"/>
      </w:r>
      <w:r>
        <w:rPr>
          <w:rStyle w:val="000035"/>
          <w:rFonts w:hint="eastAsia" w:cs="Times New Roman"/>
          <w:color w:val="auto"/>
        </w:rPr>
        <w:t>（三）土壤普查工作意义</w:t>
      </w:r>
      <w:r>
        <w:rPr>
          <w:rFonts w:cs="Times New Roman"/>
        </w:rPr>
        <w:tab/>
      </w:r>
      <w:r>
        <w:rPr>
          <w:rFonts w:cs="Times New Roman"/>
        </w:rPr>
        <w:fldChar w:fldCharType="begin"/>
      </w:r>
      <w:r>
        <w:rPr>
          <w:rFonts w:cs="Times New Roman"/>
        </w:rPr>
        <w:instrText xml:space="preserve"> PAGEREF _Toc211164718 \h </w:instrText>
      </w:r>
      <w:r>
        <w:rPr>
          <w:rFonts w:cs="Times New Roman"/>
        </w:rPr>
        <w:fldChar w:fldCharType="separate"/>
      </w:r>
      <w:r>
        <w:rPr>
          <w:rFonts w:cs="Times New Roman"/>
        </w:rPr>
        <w:t>1</w:t>
      </w:r>
      <w:r>
        <w:rPr>
          <w:rFonts w:cs="Times New Roman"/>
        </w:rPr>
        <w:fldChar w:fldCharType="end"/>
      </w:r>
      <w:r>
        <w:fldChar w:fldCharType="end" w:fldLock="0" w:dirty="0"/>
      </w:r>
    </w:p>
    <w:p w14:paraId="2D61169D">
      <w:pPr>
        <w:pStyle w:val="00002c"/>
        <w:tabs>
          <w:tab w:val="right" w:leader="dot" w:pos="8296"/>
        </w:tabs>
        <w:spacing w:line="360" w:lineRule="exact"/>
        <w:rPr>
          <w:rFonts w:cs="Times New Roman" w:eastAsiaTheme="minorEastAsia"/>
          <w:sz w:val="22"/>
          <w:szCs w:val="24"/>
        </w:rPr>
      </w:pPr>
      <w:r>
        <w:fldChar w:fldCharType="begin" w:fldLock="0" w:dirty="0"/>
      </w:r>
      <w:r>
        <w:instrText>HYPERLINK \l "_Toc211164719"</w:instrText>
      </w:r>
      <w:r>
        <w:fldChar w:fldCharType="separate" w:fldLock="0" w:dirty="0"/>
      </w:r>
      <w:r>
        <w:rPr>
          <w:rStyle w:val="000035"/>
          <w:rFonts w:hint="eastAsia" w:cs="Times New Roman"/>
          <w:color w:val="auto"/>
        </w:rPr>
        <w:t>二、土壤普查工作组织情况</w:t>
      </w:r>
      <w:r>
        <w:rPr>
          <w:rFonts w:cs="Times New Roman"/>
        </w:rPr>
        <w:tab/>
      </w:r>
      <w:r>
        <w:rPr>
          <w:rFonts w:cs="Times New Roman"/>
        </w:rPr>
        <w:fldChar w:fldCharType="begin"/>
      </w:r>
      <w:r>
        <w:rPr>
          <w:rFonts w:cs="Times New Roman"/>
        </w:rPr>
        <w:instrText xml:space="preserve"> PAGEREF _Toc211164719 \h </w:instrText>
      </w:r>
      <w:r>
        <w:rPr>
          <w:rFonts w:cs="Times New Roman"/>
        </w:rPr>
        <w:fldChar w:fldCharType="separate"/>
      </w:r>
      <w:r>
        <w:rPr>
          <w:rFonts w:cs="Times New Roman"/>
        </w:rPr>
        <w:t>2</w:t>
      </w:r>
      <w:r>
        <w:rPr>
          <w:rFonts w:cs="Times New Roman"/>
        </w:rPr>
        <w:fldChar w:fldCharType="end"/>
      </w:r>
      <w:r>
        <w:fldChar w:fldCharType="end" w:fldLock="0" w:dirty="0"/>
      </w:r>
    </w:p>
    <w:p w14:paraId="00AD56A3">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"_Toc211164720"</w:instrText>
      </w:r>
      <w:r>
        <w:fldChar w:fldCharType="separate" w:fldLock="0" w:dirty="0"/>
      </w:r>
      <w:r>
        <w:rPr>
          <w:rStyle w:val="000035"/>
          <w:rFonts w:hint="eastAsia" w:cs="Times New Roman"/>
          <w:color w:val="auto"/>
        </w:rPr>
        <w:t>（一）工作组织</w:t>
      </w:r>
      <w:r>
        <w:rPr>
          <w:rFonts w:cs="Times New Roman"/>
        </w:rPr>
        <w:tab/>
      </w:r>
      <w:r>
        <w:rPr>
          <w:rFonts w:cs="Times New Roman"/>
        </w:rPr>
        <w:fldChar w:fldCharType="begin"/>
      </w:r>
      <w:r>
        <w:rPr>
          <w:rFonts w:cs="Times New Roman"/>
        </w:rPr>
        <w:instrText xml:space="preserve"> PAGEREF _Toc211164720 \h </w:instrText>
      </w:r>
      <w:r>
        <w:rPr>
          <w:rFonts w:cs="Times New Roman"/>
        </w:rPr>
        <w:fldChar w:fldCharType="separate"/>
      </w:r>
      <w:r>
        <w:rPr>
          <w:rFonts w:cs="Times New Roman"/>
        </w:rPr>
        <w:t>2</w:t>
      </w:r>
      <w:r>
        <w:rPr>
          <w:rFonts w:cs="Times New Roman"/>
        </w:rPr>
        <w:fldChar w:fldCharType="end"/>
      </w:r>
      <w:r>
        <w:fldChar w:fldCharType="end" w:fldLock="0" w:dirty="0"/>
      </w:r>
    </w:p>
    <w:p w14:paraId="14E15747">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"_Toc211164721"</w:instrText>
      </w:r>
      <w:r>
        <w:fldChar w:fldCharType="separate" w:fldLock="0" w:dirty="0"/>
      </w:r>
      <w:r>
        <w:rPr>
          <w:rStyle w:val="000035"/>
          <w:rFonts w:hint="eastAsia" w:cs="Times New Roman"/>
          <w:color w:val="auto"/>
        </w:rPr>
        <w:t>1.成立第三次土壤普查工作领导小组</w:t>
      </w:r>
      <w:r>
        <w:rPr>
          <w:rFonts w:cs="Times New Roman"/>
        </w:rPr>
        <w:tab/>
      </w:r>
      <w:r>
        <w:rPr>
          <w:rFonts w:cs="Times New Roman"/>
        </w:rPr>
        <w:fldChar w:fldCharType="begin"/>
      </w:r>
      <w:r>
        <w:rPr>
          <w:rFonts w:cs="Times New Roman"/>
        </w:rPr>
        <w:instrText xml:space="preserve"> PAGEREF _Toc211164721 \h </w:instrText>
      </w:r>
      <w:r>
        <w:rPr>
          <w:rFonts w:cs="Times New Roman"/>
        </w:rPr>
        <w:fldChar w:fldCharType="separate"/>
      </w:r>
      <w:r>
        <w:rPr>
          <w:rFonts w:cs="Times New Roman"/>
        </w:rPr>
        <w:t>2</w:t>
      </w:r>
      <w:r>
        <w:rPr>
          <w:rFonts w:cs="Times New Roman"/>
        </w:rPr>
        <w:fldChar w:fldCharType="end"/>
      </w:r>
      <w:r>
        <w:fldChar w:fldCharType="end" w:fldLock="0" w:dirty="0"/>
      </w:r>
    </w:p>
    <w:p w14:paraId="23DDEAC7">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"_Toc211164722"</w:instrText>
      </w:r>
      <w:r>
        <w:fldChar w:fldCharType="separate" w:fldLock="0" w:dirty="0"/>
      </w:r>
      <w:r>
        <w:rPr>
          <w:rStyle w:val="000035"/>
          <w:rFonts w:hint="eastAsia" w:cs="Times New Roman"/>
          <w:color w:val="auto"/>
        </w:rPr>
        <w:t>2.土壤三普办运行管理</w:t>
      </w:r>
      <w:r>
        <w:rPr>
          <w:rFonts w:cs="Times New Roman"/>
        </w:rPr>
        <w:tab/>
      </w:r>
      <w:r>
        <w:rPr>
          <w:rFonts w:cs="Times New Roman"/>
        </w:rPr>
        <w:fldChar w:fldCharType="begin"/>
      </w:r>
      <w:r>
        <w:rPr>
          <w:rFonts w:cs="Times New Roman"/>
        </w:rPr>
        <w:instrText xml:space="preserve"> PAGEREF _Toc211164722 \h </w:instrText>
      </w:r>
      <w:r>
        <w:rPr>
          <w:rFonts w:cs="Times New Roman"/>
        </w:rPr>
        <w:fldChar w:fldCharType="separate"/>
      </w:r>
      <w:r>
        <w:rPr>
          <w:rFonts w:cs="Times New Roman"/>
        </w:rPr>
        <w:t>2</w:t>
      </w:r>
      <w:r>
        <w:rPr>
          <w:rFonts w:cs="Times New Roman"/>
        </w:rPr>
        <w:fldChar w:fldCharType="end"/>
      </w:r>
      <w:r>
        <w:fldChar w:fldCharType="end" w:fldLock="0" w:dirty="0"/>
      </w:r>
    </w:p>
    <w:p w14:paraId="1384AB2D">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"_Toc211164723"</w:instrText>
      </w:r>
      <w:r>
        <w:fldChar w:fldCharType="separate" w:fldLock="0" w:dirty="0"/>
      </w:r>
      <w:r>
        <w:rPr>
          <w:rStyle w:val="000035"/>
          <w:rFonts w:hint="eastAsia" w:cs="Times New Roman"/>
          <w:color w:val="auto"/>
        </w:rPr>
        <w:t>3.三普工作实施路线</w:t>
      </w:r>
      <w:r>
        <w:rPr>
          <w:rFonts w:cs="Times New Roman"/>
        </w:rPr>
        <w:tab/>
      </w:r>
      <w:r>
        <w:rPr>
          <w:rFonts w:cs="Times New Roman"/>
        </w:rPr>
        <w:fldChar w:fldCharType="begin"/>
      </w:r>
      <w:r>
        <w:rPr>
          <w:rFonts w:cs="Times New Roman"/>
        </w:rPr>
        <w:instrText xml:space="preserve"> PAGEREF _Toc211164723 \h </w:instrText>
      </w:r>
      <w:r>
        <w:rPr>
          <w:rFonts w:cs="Times New Roman"/>
        </w:rPr>
        <w:fldChar w:fldCharType="separate"/>
      </w:r>
      <w:r>
        <w:rPr>
          <w:rFonts w:cs="Times New Roman"/>
        </w:rPr>
        <w:t>3</w:t>
      </w:r>
      <w:r>
        <w:rPr>
          <w:rFonts w:cs="Times New Roman"/>
        </w:rPr>
        <w:fldChar w:fldCharType="end"/>
      </w:r>
      <w:r>
        <w:fldChar w:fldCharType="end" w:fldLock="0" w:dirty="0"/>
      </w:r>
    </w:p>
    <w:p w14:paraId="63A79521">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"_Toc211164724"</w:instrText>
      </w:r>
      <w:r>
        <w:fldChar w:fldCharType="separate" w:fldLock="0" w:dirty="0"/>
      </w:r>
      <w:r>
        <w:rPr>
          <w:rStyle w:val="000035"/>
          <w:rFonts w:hint="eastAsia" w:cs="Times New Roman"/>
          <w:color w:val="auto"/>
        </w:rPr>
        <w:t>（二）方案编制</w:t>
      </w:r>
      <w:r>
        <w:rPr>
          <w:rFonts w:cs="Times New Roman"/>
        </w:rPr>
        <w:tab/>
      </w:r>
      <w:r>
        <w:rPr>
          <w:rFonts w:cs="Times New Roman"/>
        </w:rPr>
        <w:fldChar w:fldCharType="begin"/>
      </w:r>
      <w:r>
        <w:rPr>
          <w:rFonts w:cs="Times New Roman"/>
        </w:rPr>
        <w:instrText xml:space="preserve"> PAGEREF _Toc211164724 \h </w:instrText>
      </w:r>
      <w:r>
        <w:rPr>
          <w:rFonts w:cs="Times New Roman"/>
        </w:rPr>
        <w:fldChar w:fldCharType="separate"/>
      </w:r>
      <w:r>
        <w:rPr>
          <w:rFonts w:cs="Times New Roman"/>
        </w:rPr>
        <w:t>4</w:t>
      </w:r>
      <w:r>
        <w:rPr>
          <w:rFonts w:cs="Times New Roman"/>
        </w:rPr>
        <w:fldChar w:fldCharType="end"/>
      </w:r>
      <w:r>
        <w:fldChar w:fldCharType="end" w:fldLock="0" w:dirty="0"/>
      </w:r>
    </w:p>
    <w:p w14:paraId="2F1108E4">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"_Toc211164725"</w:instrText>
      </w:r>
      <w:r>
        <w:fldChar w:fldCharType="separate" w:fldLock="0" w:dirty="0"/>
      </w:r>
      <w:r>
        <w:rPr>
          <w:rStyle w:val="000035"/>
          <w:rFonts w:hint="eastAsia" w:cs="Times New Roman"/>
          <w:color w:val="auto"/>
        </w:rPr>
        <w:t>1.明晰总体要求</w:t>
      </w:r>
      <w:r>
        <w:rPr>
          <w:rFonts w:cs="Times New Roman"/>
        </w:rPr>
        <w:tab/>
      </w:r>
      <w:r>
        <w:rPr>
          <w:rFonts w:cs="Times New Roman"/>
        </w:rPr>
        <w:fldChar w:fldCharType="begin"/>
      </w:r>
      <w:r>
        <w:rPr>
          <w:rFonts w:cs="Times New Roman"/>
        </w:rPr>
        <w:instrText xml:space="preserve"> PAGEREF _Toc211164725 \h </w:instrText>
      </w:r>
      <w:r>
        <w:rPr>
          <w:rFonts w:cs="Times New Roman"/>
        </w:rPr>
        <w:fldChar w:fldCharType="separate"/>
      </w:r>
      <w:r>
        <w:rPr>
          <w:rFonts w:cs="Times New Roman"/>
        </w:rPr>
        <w:t>4</w:t>
      </w:r>
      <w:r>
        <w:rPr>
          <w:rFonts w:cs="Times New Roman"/>
        </w:rPr>
        <w:fldChar w:fldCharType="end"/>
      </w:r>
      <w:r>
        <w:fldChar w:fldCharType="end" w:fldLock="0" w:dirty="0"/>
      </w:r>
    </w:p>
    <w:p w14:paraId="3B8ED238">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"_Toc211164726"</w:instrText>
      </w:r>
      <w:r>
        <w:fldChar w:fldCharType="separate" w:fldLock="0" w:dirty="0"/>
      </w:r>
      <w:r>
        <w:rPr>
          <w:rStyle w:val="000035"/>
          <w:rFonts w:hint="eastAsia" w:cs="Times New Roman"/>
          <w:color w:val="auto"/>
        </w:rPr>
        <w:t>2.确定目标任务</w:t>
      </w:r>
      <w:r>
        <w:rPr>
          <w:rFonts w:cs="Times New Roman"/>
        </w:rPr>
        <w:tab/>
      </w:r>
      <w:r>
        <w:rPr>
          <w:rFonts w:cs="Times New Roman"/>
        </w:rPr>
        <w:fldChar w:fldCharType="begin"/>
      </w:r>
      <w:r>
        <w:rPr>
          <w:rFonts w:cs="Times New Roman"/>
        </w:rPr>
        <w:instrText xml:space="preserve"> PAGEREF _Toc211164726 \h </w:instrText>
      </w:r>
      <w:r>
        <w:rPr>
          <w:rFonts w:cs="Times New Roman"/>
        </w:rPr>
        <w:fldChar w:fldCharType="separate"/>
      </w:r>
      <w:r>
        <w:rPr>
          <w:rFonts w:cs="Times New Roman"/>
        </w:rPr>
        <w:t>4</w:t>
      </w:r>
      <w:r>
        <w:rPr>
          <w:rFonts w:cs="Times New Roman"/>
        </w:rPr>
        <w:fldChar w:fldCharType="end"/>
      </w:r>
      <w:r>
        <w:fldChar w:fldCharType="end" w:fldLock="0" w:dirty="0"/>
      </w:r>
    </w:p>
    <w:p w14:paraId="71237B71">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"_Toc211164727"</w:instrText>
      </w:r>
      <w:r>
        <w:fldChar w:fldCharType="separate" w:fldLock="0" w:dirty="0"/>
      </w:r>
      <w:r>
        <w:rPr>
          <w:rStyle w:val="000035"/>
          <w:rFonts w:hint="eastAsia" w:cs="Times New Roman"/>
          <w:color w:val="auto"/>
        </w:rPr>
        <w:t>3.明确普查对象内容</w:t>
      </w:r>
      <w:r>
        <w:rPr>
          <w:rFonts w:cs="Times New Roman"/>
        </w:rPr>
        <w:tab/>
      </w:r>
      <w:r>
        <w:rPr>
          <w:rFonts w:cs="Times New Roman"/>
        </w:rPr>
        <w:fldChar w:fldCharType="begin"/>
      </w:r>
      <w:r>
        <w:rPr>
          <w:rFonts w:cs="Times New Roman"/>
        </w:rPr>
        <w:instrText xml:space="preserve"> PAGEREF _Toc211164727 \h </w:instrText>
      </w:r>
      <w:r>
        <w:rPr>
          <w:rFonts w:cs="Times New Roman"/>
        </w:rPr>
        <w:fldChar w:fldCharType="separate"/>
      </w:r>
      <w:r>
        <w:rPr>
          <w:rFonts w:cs="Times New Roman"/>
        </w:rPr>
        <w:t>5</w:t>
      </w:r>
      <w:r>
        <w:rPr>
          <w:rFonts w:cs="Times New Roman"/>
        </w:rPr>
        <w:fldChar w:fldCharType="end"/>
      </w:r>
      <w:r>
        <w:fldChar w:fldCharType="end" w:fldLock="0" w:dirty="0"/>
      </w:r>
    </w:p>
    <w:p w14:paraId="79439ABA">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"_Toc211164728"</w:instrText>
      </w:r>
      <w:r>
        <w:fldChar w:fldCharType="separate" w:fldLock="0" w:dirty="0"/>
      </w:r>
      <w:r>
        <w:rPr>
          <w:rStyle w:val="000035"/>
          <w:rFonts w:hint="eastAsia" w:cs="Times New Roman"/>
          <w:color w:val="auto"/>
        </w:rPr>
        <w:t>4.梳理重要工作</w:t>
      </w:r>
      <w:r>
        <w:rPr>
          <w:rFonts w:cs="Times New Roman"/>
        </w:rPr>
        <w:tab/>
      </w:r>
      <w:r>
        <w:rPr>
          <w:rFonts w:cs="Times New Roman"/>
        </w:rPr>
        <w:fldChar w:fldCharType="begin"/>
      </w:r>
      <w:r>
        <w:rPr>
          <w:rFonts w:cs="Times New Roman"/>
        </w:rPr>
        <w:instrText xml:space="preserve"> PAGEREF _Toc211164728 \h </w:instrText>
      </w:r>
      <w:r>
        <w:rPr>
          <w:rFonts w:cs="Times New Roman"/>
        </w:rPr>
        <w:fldChar w:fldCharType="separate"/>
      </w:r>
      <w:r>
        <w:rPr>
          <w:rFonts w:cs="Times New Roman"/>
        </w:rPr>
        <w:t>6</w:t>
      </w:r>
      <w:r>
        <w:rPr>
          <w:rFonts w:cs="Times New Roman"/>
        </w:rPr>
        <w:fldChar w:fldCharType="end"/>
      </w:r>
      <w:r>
        <w:fldChar w:fldCharType="end" w:fldLock="0" w:dirty="0"/>
      </w:r>
    </w:p>
    <w:p w14:paraId="3193DB5D">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"_Toc211164729"</w:instrText>
      </w:r>
      <w:r>
        <w:fldChar w:fldCharType="separate" w:fldLock="0" w:dirty="0"/>
      </w:r>
      <w:r>
        <w:rPr>
          <w:rStyle w:val="000035"/>
          <w:rFonts w:hint="eastAsia" w:cs="Times New Roman"/>
          <w:color w:val="auto"/>
        </w:rPr>
        <w:t>5.制定进度清单和节点要求</w:t>
      </w:r>
      <w:r>
        <w:rPr>
          <w:rFonts w:cs="Times New Roman"/>
        </w:rPr>
        <w:tab/>
      </w:r>
      <w:r>
        <w:rPr>
          <w:rFonts w:cs="Times New Roman"/>
        </w:rPr>
        <w:fldChar w:fldCharType="begin"/>
      </w:r>
      <w:r>
        <w:rPr>
          <w:rFonts w:cs="Times New Roman"/>
        </w:rPr>
        <w:instrText xml:space="preserve"> PAGEREF _Toc211164729 \h </w:instrText>
      </w:r>
      <w:r>
        <w:rPr>
          <w:rFonts w:cs="Times New Roman"/>
        </w:rPr>
        <w:fldChar w:fldCharType="separate"/>
      </w:r>
      <w:r>
        <w:rPr>
          <w:rFonts w:cs="Times New Roman"/>
        </w:rPr>
        <w:t>6</w:t>
      </w:r>
      <w:r>
        <w:rPr>
          <w:rFonts w:cs="Times New Roman"/>
        </w:rPr>
        <w:fldChar w:fldCharType="end"/>
      </w:r>
      <w:r>
        <w:fldChar w:fldCharType="end" w:fldLock="0" w:dirty="0"/>
      </w:r>
    </w:p>
    <w:p w14:paraId="10535A20">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"_Toc211164730"</w:instrText>
      </w:r>
      <w:r>
        <w:fldChar w:fldCharType="separate" w:fldLock="0" w:dirty="0"/>
      </w:r>
      <w:r>
        <w:rPr>
          <w:rStyle w:val="000035"/>
          <w:rFonts w:hint="eastAsia" w:cs="Times New Roman"/>
          <w:color w:val="auto"/>
        </w:rPr>
        <w:t>6.明确责任</w:t>
      </w:r>
      <w:r>
        <w:rPr>
          <w:rFonts w:cs="Times New Roman"/>
        </w:rPr>
        <w:tab/>
      </w:r>
      <w:r>
        <w:rPr>
          <w:rFonts w:cs="Times New Roman"/>
        </w:rPr>
        <w:fldChar w:fldCharType="begin"/>
      </w:r>
      <w:r>
        <w:rPr>
          <w:rFonts w:cs="Times New Roman"/>
        </w:rPr>
        <w:instrText xml:space="preserve"> PAGEREF _Toc211164730 \h </w:instrText>
      </w:r>
      <w:r>
        <w:rPr>
          <w:rFonts w:cs="Times New Roman"/>
        </w:rPr>
        <w:fldChar w:fldCharType="separate"/>
      </w:r>
      <w:r>
        <w:rPr>
          <w:rFonts w:cs="Times New Roman"/>
        </w:rPr>
        <w:t>6</w:t>
      </w:r>
      <w:r>
        <w:rPr>
          <w:rFonts w:cs="Times New Roman"/>
        </w:rPr>
        <w:fldChar w:fldCharType="end"/>
      </w:r>
      <w:r>
        <w:fldChar w:fldCharType="end" w:fldLock="0" w:dirty="0"/>
      </w:r>
    </w:p>
    <w:p w14:paraId="68B54135">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"_Toc211164731"</w:instrText>
      </w:r>
      <w:r>
        <w:fldChar w:fldCharType="separate" w:fldLock="0" w:dirty="0"/>
      </w:r>
      <w:r>
        <w:rPr>
          <w:rStyle w:val="000035"/>
          <w:rFonts w:hint="eastAsia" w:cs="Times New Roman"/>
          <w:color w:val="auto"/>
        </w:rPr>
        <w:t>7.预算方案</w:t>
      </w:r>
      <w:r>
        <w:rPr>
          <w:rFonts w:cs="Times New Roman"/>
        </w:rPr>
        <w:tab/>
      </w:r>
      <w:r>
        <w:rPr>
          <w:rFonts w:cs="Times New Roman"/>
        </w:rPr>
        <w:fldChar w:fldCharType="begin"/>
      </w:r>
      <w:r>
        <w:rPr>
          <w:rFonts w:cs="Times New Roman"/>
        </w:rPr>
        <w:instrText xml:space="preserve"> PAGEREF _Toc211164731 \h </w:instrText>
      </w:r>
      <w:r>
        <w:rPr>
          <w:rFonts w:cs="Times New Roman"/>
        </w:rPr>
        <w:fldChar w:fldCharType="separate"/>
      </w:r>
      <w:r>
        <w:rPr>
          <w:rFonts w:cs="Times New Roman"/>
        </w:rPr>
        <w:t>6</w:t>
      </w:r>
      <w:r>
        <w:rPr>
          <w:rFonts w:cs="Times New Roman"/>
        </w:rPr>
        <w:fldChar w:fldCharType="end"/>
      </w:r>
      <w:r>
        <w:fldChar w:fldCharType="end" w:fldLock="0" w:dirty="0"/>
      </w:r>
    </w:p>
    <w:p w14:paraId="0C938851">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"_Toc211164732"</w:instrText>
      </w:r>
      <w:r>
        <w:fldChar w:fldCharType="separate" w:fldLock="0" w:dirty="0"/>
      </w:r>
      <w:r>
        <w:rPr>
          <w:rStyle w:val="000035"/>
          <w:rFonts w:hint="eastAsia" w:cs="Times New Roman"/>
          <w:color w:val="auto"/>
        </w:rPr>
        <w:t>8.质量控制方案</w:t>
      </w:r>
      <w:r>
        <w:rPr>
          <w:rFonts w:cs="Times New Roman"/>
        </w:rPr>
        <w:tab/>
      </w:r>
      <w:r>
        <w:rPr>
          <w:rFonts w:cs="Times New Roman"/>
        </w:rPr>
        <w:fldChar w:fldCharType="begin"/>
      </w:r>
      <w:r>
        <w:rPr>
          <w:rFonts w:cs="Times New Roman"/>
        </w:rPr>
        <w:instrText xml:space="preserve"> PAGEREF _Toc211164732 \h </w:instrText>
      </w:r>
      <w:r>
        <w:rPr>
          <w:rFonts w:cs="Times New Roman"/>
        </w:rPr>
        <w:fldChar w:fldCharType="separate"/>
      </w:r>
      <w:r>
        <w:rPr>
          <w:rFonts w:cs="Times New Roman"/>
        </w:rPr>
        <w:t>7</w:t>
      </w:r>
      <w:r>
        <w:rPr>
          <w:rFonts w:cs="Times New Roman"/>
        </w:rPr>
        <w:fldChar w:fldCharType="end"/>
      </w:r>
      <w:r>
        <w:fldChar w:fldCharType="end" w:fldLock="0" w:dirty="0"/>
      </w:r>
    </w:p>
    <w:p w14:paraId="12E13AC9">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"_Toc211164733"</w:instrText>
      </w:r>
      <w:r>
        <w:fldChar w:fldCharType="separate" w:fldLock="0" w:dirty="0"/>
      </w:r>
      <w:r>
        <w:rPr>
          <w:rStyle w:val="000035"/>
          <w:rFonts w:hint="eastAsia" w:cs="Times New Roman"/>
          <w:color w:val="auto"/>
        </w:rPr>
        <w:t>（三）队伍建设</w:t>
      </w:r>
      <w:r>
        <w:rPr>
          <w:rFonts w:cs="Times New Roman"/>
        </w:rPr>
        <w:tab/>
      </w:r>
      <w:r>
        <w:rPr>
          <w:rFonts w:cs="Times New Roman"/>
        </w:rPr>
        <w:fldChar w:fldCharType="begin"/>
      </w:r>
      <w:r>
        <w:rPr>
          <w:rFonts w:cs="Times New Roman"/>
        </w:rPr>
        <w:instrText xml:space="preserve"> PAGEREF _Toc211164733 \h </w:instrText>
      </w:r>
      <w:r>
        <w:rPr>
          <w:rFonts w:cs="Times New Roman"/>
        </w:rPr>
        <w:fldChar w:fldCharType="separate"/>
      </w:r>
      <w:r>
        <w:rPr>
          <w:rFonts w:cs="Times New Roman"/>
        </w:rPr>
        <w:t>7</w:t>
      </w:r>
      <w:r>
        <w:rPr>
          <w:rFonts w:cs="Times New Roman"/>
        </w:rPr>
        <w:fldChar w:fldCharType="end"/>
      </w:r>
      <w:r>
        <w:fldChar w:fldCharType="end" w:fldLock="0" w:dirty="0"/>
      </w:r>
    </w:p>
    <w:p w14:paraId="6598DCB3">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"_Toc211164734"</w:instrText>
      </w:r>
      <w:r>
        <w:fldChar w:fldCharType="separate" w:fldLock="0" w:dirty="0"/>
      </w:r>
      <w:r>
        <w:rPr>
          <w:rStyle w:val="000035"/>
          <w:rFonts w:hint="eastAsia" w:cs="Times New Roman"/>
          <w:color w:val="auto"/>
        </w:rPr>
        <w:t>1.外业调查采样队伍建设与运行</w:t>
      </w:r>
      <w:r>
        <w:rPr>
          <w:rFonts w:cs="Times New Roman"/>
        </w:rPr>
        <w:tab/>
      </w:r>
      <w:r>
        <w:rPr>
          <w:rFonts w:cs="Times New Roman"/>
        </w:rPr>
        <w:fldChar w:fldCharType="begin"/>
      </w:r>
      <w:r>
        <w:rPr>
          <w:rFonts w:cs="Times New Roman"/>
        </w:rPr>
        <w:instrText xml:space="preserve"> PAGEREF _Toc211164734 \h </w:instrText>
      </w:r>
      <w:r>
        <w:rPr>
          <w:rFonts w:cs="Times New Roman"/>
        </w:rPr>
        <w:fldChar w:fldCharType="separate"/>
      </w:r>
      <w:r>
        <w:rPr>
          <w:rFonts w:cs="Times New Roman"/>
        </w:rPr>
        <w:t>7</w:t>
      </w:r>
      <w:r>
        <w:rPr>
          <w:rFonts w:cs="Times New Roman"/>
        </w:rPr>
        <w:fldChar w:fldCharType="end"/>
      </w:r>
      <w:r>
        <w:fldChar w:fldCharType="end" w:fldLock="0" w:dirty="0"/>
      </w:r>
    </w:p>
    <w:p w14:paraId="3457BB42">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"_Toc211164735"</w:instrText>
      </w:r>
      <w:r>
        <w:fldChar w:fldCharType="separate" w:fldLock="0" w:dirty="0"/>
      </w:r>
      <w:r>
        <w:rPr>
          <w:rStyle w:val="000035"/>
          <w:rFonts w:hint="eastAsia" w:cs="Times New Roman"/>
          <w:color w:val="auto"/>
        </w:rPr>
        <w:t>2.内业调查化验队伍建设与运行</w:t>
      </w:r>
      <w:r>
        <w:rPr>
          <w:rFonts w:cs="Times New Roman"/>
        </w:rPr>
        <w:tab/>
      </w:r>
      <w:r>
        <w:rPr>
          <w:rFonts w:cs="Times New Roman"/>
        </w:rPr>
        <w:fldChar w:fldCharType="begin"/>
      </w:r>
      <w:r>
        <w:rPr>
          <w:rFonts w:cs="Times New Roman"/>
        </w:rPr>
        <w:instrText xml:space="preserve"> PAGEREF _Toc211164735 \h </w:instrText>
      </w:r>
      <w:r>
        <w:rPr>
          <w:rFonts w:cs="Times New Roman"/>
        </w:rPr>
        <w:fldChar w:fldCharType="separate"/>
      </w:r>
      <w:r>
        <w:rPr>
          <w:rFonts w:cs="Times New Roman"/>
        </w:rPr>
        <w:t>7</w:t>
      </w:r>
      <w:r>
        <w:rPr>
          <w:rFonts w:cs="Times New Roman"/>
        </w:rPr>
        <w:fldChar w:fldCharType="end"/>
      </w:r>
      <w:r>
        <w:fldChar w:fldCharType="end" w:fldLock="0" w:dirty="0"/>
      </w:r>
    </w:p>
    <w:p w14:paraId="24B7B2F6">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"_Toc211164736"</w:instrText>
      </w:r>
      <w:r>
        <w:fldChar w:fldCharType="separate" w:fldLock="0" w:dirty="0"/>
      </w:r>
      <w:r>
        <w:rPr>
          <w:rStyle w:val="000035"/>
          <w:rFonts w:hint="eastAsia" w:cs="Times New Roman"/>
          <w:color w:val="auto"/>
        </w:rPr>
        <w:t>3.专家技术指导队伍建设与运行</w:t>
      </w:r>
      <w:r>
        <w:rPr>
          <w:rFonts w:cs="Times New Roman"/>
        </w:rPr>
        <w:tab/>
      </w:r>
      <w:r>
        <w:rPr>
          <w:rFonts w:cs="Times New Roman"/>
        </w:rPr>
        <w:fldChar w:fldCharType="begin"/>
      </w:r>
      <w:r>
        <w:rPr>
          <w:rFonts w:cs="Times New Roman"/>
        </w:rPr>
        <w:instrText xml:space="preserve"> PAGEREF _Toc211164736 \h </w:instrText>
      </w:r>
      <w:r>
        <w:rPr>
          <w:rFonts w:cs="Times New Roman"/>
        </w:rPr>
        <w:fldChar w:fldCharType="separate"/>
      </w:r>
      <w:r>
        <w:rPr>
          <w:rFonts w:cs="Times New Roman"/>
        </w:rPr>
        <w:t>8</w:t>
      </w:r>
      <w:r>
        <w:rPr>
          <w:rFonts w:cs="Times New Roman"/>
        </w:rPr>
        <w:fldChar w:fldCharType="end"/>
      </w:r>
      <w:r>
        <w:fldChar w:fldCharType="end" w:fldLock="0" w:dirty="0"/>
      </w:r>
    </w:p>
    <w:p w14:paraId="365954FE">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"_Toc211164737"</w:instrText>
      </w:r>
      <w:r>
        <w:fldChar w:fldCharType="separate" w:fldLock="0" w:dirty="0"/>
      </w:r>
      <w:r>
        <w:rPr>
          <w:rStyle w:val="000035"/>
          <w:rFonts w:hint="eastAsia" w:cs="Times New Roman"/>
          <w:color w:val="auto"/>
        </w:rPr>
        <w:t>（四）技术指导</w:t>
      </w:r>
      <w:r>
        <w:rPr>
          <w:rFonts w:cs="Times New Roman"/>
        </w:rPr>
        <w:tab/>
      </w:r>
      <w:r>
        <w:rPr>
          <w:rFonts w:cs="Times New Roman"/>
        </w:rPr>
        <w:fldChar w:fldCharType="begin"/>
      </w:r>
      <w:r>
        <w:rPr>
          <w:rFonts w:cs="Times New Roman"/>
        </w:rPr>
        <w:instrText xml:space="preserve"> PAGEREF _Toc211164737 \h </w:instrText>
      </w:r>
      <w:r>
        <w:rPr>
          <w:rFonts w:cs="Times New Roman"/>
        </w:rPr>
        <w:fldChar w:fldCharType="separate"/>
      </w:r>
      <w:r>
        <w:rPr>
          <w:rFonts w:cs="Times New Roman"/>
        </w:rPr>
        <w:t>8</w:t>
      </w:r>
      <w:r>
        <w:rPr>
          <w:rFonts w:cs="Times New Roman"/>
        </w:rPr>
        <w:fldChar w:fldCharType="end"/>
      </w:r>
      <w:r>
        <w:fldChar w:fldCharType="end" w:fldLock="0" w:dirty="0"/>
      </w:r>
    </w:p>
    <w:p w14:paraId="1C1E7502">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"_Toc211164738"</w:instrText>
      </w:r>
      <w:r>
        <w:fldChar w:fldCharType="separate" w:fldLock="0" w:dirty="0"/>
      </w:r>
      <w:r>
        <w:rPr>
          <w:rStyle w:val="000035"/>
          <w:rFonts w:hint="eastAsia" w:cs="Times New Roman"/>
          <w:color w:val="auto"/>
        </w:rPr>
        <w:t>（五）人员培训</w:t>
      </w:r>
      <w:r>
        <w:rPr>
          <w:rFonts w:cs="Times New Roman"/>
        </w:rPr>
        <w:tab/>
      </w:r>
      <w:r>
        <w:rPr>
          <w:rFonts w:cs="Times New Roman"/>
        </w:rPr>
        <w:fldChar w:fldCharType="begin"/>
      </w:r>
      <w:r>
        <w:rPr>
          <w:rFonts w:cs="Times New Roman"/>
        </w:rPr>
        <w:instrText xml:space="preserve"> PAGEREF _Toc211164738 \h </w:instrText>
      </w:r>
      <w:r>
        <w:rPr>
          <w:rFonts w:cs="Times New Roman"/>
        </w:rPr>
        <w:fldChar w:fldCharType="separate"/>
      </w:r>
      <w:r>
        <w:rPr>
          <w:rFonts w:cs="Times New Roman"/>
        </w:rPr>
        <w:t>8</w:t>
      </w:r>
      <w:r>
        <w:rPr>
          <w:rFonts w:cs="Times New Roman"/>
        </w:rPr>
        <w:fldChar w:fldCharType="end"/>
      </w:r>
      <w:r>
        <w:fldChar w:fldCharType="end" w:fldLock="0" w:dirty="0"/>
      </w:r>
    </w:p>
    <w:p w14:paraId="577B944F">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"_Toc211164739"</w:instrText>
      </w:r>
      <w:r>
        <w:fldChar w:fldCharType="separate" w:fldLock="0" w:dirty="0"/>
      </w:r>
      <w:r>
        <w:rPr>
          <w:rStyle w:val="000035"/>
          <w:rFonts w:hint="eastAsia" w:cs="Times New Roman"/>
          <w:color w:val="auto"/>
        </w:rPr>
        <w:t>（六）宣传工作</w:t>
      </w:r>
      <w:r>
        <w:rPr>
          <w:rFonts w:cs="Times New Roman"/>
        </w:rPr>
        <w:tab/>
      </w:r>
      <w:r>
        <w:rPr>
          <w:rFonts w:cs="Times New Roman"/>
        </w:rPr>
        <w:fldChar w:fldCharType="begin"/>
      </w:r>
      <w:r>
        <w:rPr>
          <w:rFonts w:cs="Times New Roman"/>
        </w:rPr>
        <w:instrText xml:space="preserve"> PAGEREF _Toc211164739 \h </w:instrText>
      </w:r>
      <w:r>
        <w:rPr>
          <w:rFonts w:cs="Times New Roman"/>
        </w:rPr>
        <w:fldChar w:fldCharType="separate"/>
      </w:r>
      <w:r>
        <w:rPr>
          <w:rFonts w:cs="Times New Roman"/>
        </w:rPr>
        <w:t>8</w:t>
      </w:r>
      <w:r>
        <w:rPr>
          <w:rFonts w:cs="Times New Roman"/>
        </w:rPr>
        <w:fldChar w:fldCharType="end"/>
      </w:r>
      <w:r>
        <w:fldChar w:fldCharType="end" w:fldLock="0" w:dirty="0"/>
      </w:r>
    </w:p>
    <w:p w14:paraId="3AF57896">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"_Toc211164740"</w:instrText>
      </w:r>
      <w:r>
        <w:fldChar w:fldCharType="separate" w:fldLock="0" w:dirty="0"/>
      </w:r>
      <w:r>
        <w:rPr>
          <w:rStyle w:val="000035"/>
          <w:rFonts w:hint="eastAsia" w:cs="Times New Roman"/>
          <w:color w:val="auto"/>
        </w:rPr>
        <w:t>（七）保障情况</w:t>
      </w:r>
      <w:r>
        <w:rPr>
          <w:rFonts w:cs="Times New Roman"/>
        </w:rPr>
        <w:tab/>
      </w:r>
      <w:r>
        <w:rPr>
          <w:rFonts w:cs="Times New Roman"/>
        </w:rPr>
        <w:fldChar w:fldCharType="begin"/>
      </w:r>
      <w:r>
        <w:rPr>
          <w:rFonts w:cs="Times New Roman"/>
        </w:rPr>
        <w:instrText xml:space="preserve"> PAGEREF _Toc211164740 \h </w:instrText>
      </w:r>
      <w:r>
        <w:rPr>
          <w:rFonts w:cs="Times New Roman"/>
        </w:rPr>
        <w:fldChar w:fldCharType="separate"/>
      </w:r>
      <w:r>
        <w:rPr>
          <w:rFonts w:cs="Times New Roman"/>
        </w:rPr>
        <w:t>9</w:t>
      </w:r>
      <w:r>
        <w:rPr>
          <w:rFonts w:cs="Times New Roman"/>
        </w:rPr>
        <w:fldChar w:fldCharType="end"/>
      </w:r>
      <w:r>
        <w:fldChar w:fldCharType="end" w:fldLock="0" w:dirty="0"/>
      </w:r>
    </w:p>
    <w:p w14:paraId="761FDCD1">
      <w:pPr>
        <w:pStyle w:val="00002c"/>
        <w:tabs>
          <w:tab w:val="right" w:leader="dot" w:pos="8296"/>
        </w:tabs>
        <w:spacing w:line="360" w:lineRule="exact"/>
        <w:rPr>
          <w:rFonts w:cs="Times New Roman" w:eastAsiaTheme="minorEastAsia"/>
          <w:sz w:val="22"/>
          <w:szCs w:val="24"/>
        </w:rPr>
      </w:pPr>
      <w:r>
        <w:fldChar w:fldCharType="begin" w:fldLock="0" w:dirty="0"/>
      </w:r>
      <w:r>
        <w:instrText>HYPERLINK \l "_Toc211164741"</w:instrText>
      </w:r>
      <w:r>
        <w:fldChar w:fldCharType="separate" w:fldLock="0" w:dirty="0"/>
      </w:r>
      <w:r>
        <w:rPr>
          <w:rStyle w:val="000035"/>
          <w:rFonts w:hint="eastAsia" w:cs="Times New Roman"/>
          <w:color w:val="auto"/>
        </w:rPr>
        <w:t>三、普查任务实施</w:t>
      </w:r>
      <w:r>
        <w:rPr>
          <w:rFonts w:cs="Times New Roman"/>
        </w:rPr>
        <w:tab/>
      </w:r>
      <w:r>
        <w:rPr>
          <w:rFonts w:cs="Times New Roman"/>
        </w:rPr>
        <w:fldChar w:fldCharType="begin"/>
      </w:r>
      <w:r>
        <w:rPr>
          <w:rFonts w:cs="Times New Roman"/>
        </w:rPr>
        <w:instrText xml:space="preserve"> PAGEREF _Toc211164741 \h </w:instrText>
      </w:r>
      <w:r>
        <w:rPr>
          <w:rFonts w:cs="Times New Roman"/>
        </w:rPr>
        <w:fldChar w:fldCharType="separate"/>
      </w:r>
      <w:r>
        <w:rPr>
          <w:rFonts w:cs="Times New Roman"/>
        </w:rPr>
        <w:t>9</w:t>
      </w:r>
      <w:r>
        <w:rPr>
          <w:rFonts w:cs="Times New Roman"/>
        </w:rPr>
        <w:fldChar w:fldCharType="end"/>
      </w:r>
      <w:r>
        <w:fldChar w:fldCharType="end" w:fldLock="0" w:dirty="0"/>
      </w:r>
    </w:p>
    <w:p w14:paraId="3F674552">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"_Toc211164742"</w:instrText>
      </w:r>
      <w:r>
        <w:fldChar w:fldCharType="separate" w:fldLock="0" w:dirty="0"/>
      </w:r>
      <w:r>
        <w:rPr>
          <w:rStyle w:val="000035"/>
          <w:rFonts w:hint="eastAsia" w:cs="Times New Roman"/>
          <w:color w:val="auto"/>
        </w:rPr>
        <w:t>（一）普查范围</w:t>
      </w:r>
      <w:r>
        <w:rPr>
          <w:rFonts w:cs="Times New Roman"/>
        </w:rPr>
        <w:tab/>
      </w:r>
      <w:r>
        <w:rPr>
          <w:rFonts w:cs="Times New Roman"/>
        </w:rPr>
        <w:fldChar w:fldCharType="begin"/>
      </w:r>
      <w:r>
        <w:rPr>
          <w:rFonts w:cs="Times New Roman"/>
        </w:rPr>
        <w:instrText xml:space="preserve"> PAGEREF _Toc211164742 \h </w:instrText>
      </w:r>
      <w:r>
        <w:rPr>
          <w:rFonts w:cs="Times New Roman"/>
        </w:rPr>
        <w:fldChar w:fldCharType="separate"/>
      </w:r>
      <w:r>
        <w:rPr>
          <w:rFonts w:cs="Times New Roman"/>
        </w:rPr>
        <w:t>9</w:t>
      </w:r>
      <w:r>
        <w:rPr>
          <w:rFonts w:cs="Times New Roman"/>
        </w:rPr>
        <w:fldChar w:fldCharType="end"/>
      </w:r>
      <w:r>
        <w:fldChar w:fldCharType="end" w:fldLock="0" w:dirty="0"/>
      </w:r>
    </w:p>
    <w:p w14:paraId="77DB3D51">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"_Toc211164743"</w:instrText>
      </w:r>
      <w:r>
        <w:fldChar w:fldCharType="separate" w:fldLock="0" w:dirty="0"/>
      </w:r>
      <w:r>
        <w:rPr>
          <w:rStyle w:val="000035"/>
          <w:rFonts w:hint="eastAsia" w:cs="Times New Roman"/>
          <w:color w:val="auto"/>
        </w:rPr>
        <w:t>（二）工作底图</w:t>
      </w:r>
      <w:r>
        <w:rPr>
          <w:rFonts w:cs="Times New Roman"/>
        </w:rPr>
        <w:tab/>
      </w:r>
      <w:r>
        <w:rPr>
          <w:rFonts w:cs="Times New Roman"/>
        </w:rPr>
        <w:fldChar w:fldCharType="begin"/>
      </w:r>
      <w:r>
        <w:rPr>
          <w:rFonts w:cs="Times New Roman"/>
        </w:rPr>
        <w:instrText xml:space="preserve"> PAGEREF _Toc211164743 \h </w:instrText>
      </w:r>
      <w:r>
        <w:rPr>
          <w:rFonts w:cs="Times New Roman"/>
        </w:rPr>
        <w:fldChar w:fldCharType="separate"/>
      </w:r>
      <w:r>
        <w:rPr>
          <w:rFonts w:cs="Times New Roman"/>
        </w:rPr>
        <w:t>9</w:t>
      </w:r>
      <w:r>
        <w:rPr>
          <w:rFonts w:cs="Times New Roman"/>
        </w:rPr>
        <w:fldChar w:fldCharType="end"/>
      </w:r>
      <w:r>
        <w:fldChar w:fldCharType="end" w:fldLock="0" w:dirty="0"/>
      </w:r>
    </w:p>
    <w:p w14:paraId="30CC4729">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"_Toc211164744"</w:instrText>
      </w:r>
      <w:r>
        <w:fldChar w:fldCharType="separate" w:fldLock="0" w:dirty="0"/>
      </w:r>
      <w:r>
        <w:rPr>
          <w:rStyle w:val="000035"/>
          <w:rFonts w:hint="eastAsia" w:cs="Times New Roman"/>
          <w:color w:val="auto"/>
        </w:rPr>
        <w:t>（三）样点校核</w:t>
      </w:r>
      <w:r>
        <w:rPr>
          <w:rFonts w:cs="Times New Roman"/>
        </w:rPr>
        <w:tab/>
      </w:r>
      <w:r>
        <w:rPr>
          <w:rFonts w:cs="Times New Roman"/>
        </w:rPr>
        <w:fldChar w:fldCharType="begin"/>
      </w:r>
      <w:r>
        <w:rPr>
          <w:rFonts w:cs="Times New Roman"/>
        </w:rPr>
        <w:instrText xml:space="preserve"> PAGEREF _Toc211164744 \h </w:instrText>
      </w:r>
      <w:r>
        <w:rPr>
          <w:rFonts w:cs="Times New Roman"/>
        </w:rPr>
        <w:fldChar w:fldCharType="separate"/>
      </w:r>
      <w:r>
        <w:rPr>
          <w:rFonts w:cs="Times New Roman"/>
        </w:rPr>
        <w:t>9</w:t>
      </w:r>
      <w:r>
        <w:rPr>
          <w:rFonts w:cs="Times New Roman"/>
        </w:rPr>
        <w:fldChar w:fldCharType="end"/>
      </w:r>
      <w:r>
        <w:fldChar w:fldCharType="end" w:fldLock="0" w:dirty="0"/>
      </w:r>
    </w:p>
    <w:p w14:paraId="27D2B7C1">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"_Toc211164745"</w:instrText>
      </w:r>
      <w:r>
        <w:fldChar w:fldCharType="separate" w:fldLock="0" w:dirty="0"/>
      </w:r>
      <w:r>
        <w:rPr>
          <w:rStyle w:val="000035"/>
          <w:rFonts w:hint="eastAsia" w:cs="Times New Roman"/>
          <w:color w:val="auto"/>
        </w:rPr>
        <w:t>（四）外业调查采样</w:t>
      </w:r>
      <w:r>
        <w:rPr>
          <w:rFonts w:cs="Times New Roman"/>
        </w:rPr>
        <w:tab/>
      </w:r>
      <w:r>
        <w:rPr>
          <w:rFonts w:cs="Times New Roman"/>
        </w:rPr>
        <w:fldChar w:fldCharType="begin"/>
      </w:r>
      <w:r>
        <w:rPr>
          <w:rFonts w:cs="Times New Roman"/>
        </w:rPr>
        <w:instrText xml:space="preserve"> PAGEREF _Toc211164745 \h </w:instrText>
      </w:r>
      <w:r>
        <w:rPr>
          <w:rFonts w:cs="Times New Roman"/>
        </w:rPr>
        <w:fldChar w:fldCharType="separate"/>
      </w:r>
      <w:r>
        <w:rPr>
          <w:rFonts w:cs="Times New Roman"/>
        </w:rPr>
        <w:t>9</w:t>
      </w:r>
      <w:r>
        <w:rPr>
          <w:rFonts w:cs="Times New Roman"/>
        </w:rPr>
        <w:fldChar w:fldCharType="end"/>
      </w:r>
      <w:r>
        <w:fldChar w:fldCharType="end" w:fldLock="0" w:dirty="0"/>
      </w:r>
    </w:p>
    <w:p w14:paraId="59E02201">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"_Toc211164746"</w:instrText>
      </w:r>
      <w:r>
        <w:fldChar w:fldCharType="separate" w:fldLock="0" w:dirty="0"/>
      </w:r>
      <w:r>
        <w:rPr>
          <w:rStyle w:val="000035"/>
          <w:rFonts w:hint="eastAsia" w:cs="Times New Roman"/>
          <w:color w:val="auto"/>
        </w:rPr>
        <w:t>（五）内业测试化验</w:t>
      </w:r>
      <w:r>
        <w:rPr>
          <w:rFonts w:cs="Times New Roman"/>
        </w:rPr>
        <w:tab/>
      </w:r>
      <w:r>
        <w:rPr>
          <w:rFonts w:cs="Times New Roman"/>
        </w:rPr>
        <w:fldChar w:fldCharType="begin"/>
      </w:r>
      <w:r>
        <w:rPr>
          <w:rFonts w:cs="Times New Roman"/>
        </w:rPr>
        <w:instrText xml:space="preserve"> PAGEREF _Toc211164746 \h </w:instrText>
      </w:r>
      <w:r>
        <w:rPr>
          <w:rFonts w:cs="Times New Roman"/>
        </w:rPr>
        <w:fldChar w:fldCharType="separate"/>
      </w:r>
      <w:r>
        <w:rPr>
          <w:rFonts w:cs="Times New Roman"/>
        </w:rPr>
        <w:t>10</w:t>
      </w:r>
      <w:r>
        <w:rPr>
          <w:rFonts w:cs="Times New Roman"/>
        </w:rPr>
        <w:fldChar w:fldCharType="end"/>
      </w:r>
      <w:r>
        <w:fldChar w:fldCharType="end" w:fldLock="0" w:dirty="0"/>
      </w:r>
    </w:p>
    <w:p w14:paraId="068577BA">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"_Toc211164747"</w:instrText>
      </w:r>
      <w:r>
        <w:fldChar w:fldCharType="separate" w:fldLock="0" w:dirty="0"/>
      </w:r>
      <w:r>
        <w:rPr>
          <w:rStyle w:val="000035"/>
          <w:rFonts w:hint="eastAsia" w:cs="Times New Roman"/>
          <w:color w:val="auto"/>
        </w:rPr>
        <w:t>（六）质量控制</w:t>
      </w:r>
      <w:r>
        <w:rPr>
          <w:rFonts w:cs="Times New Roman"/>
        </w:rPr>
        <w:tab/>
      </w:r>
      <w:r>
        <w:rPr>
          <w:rFonts w:cs="Times New Roman"/>
        </w:rPr>
        <w:fldChar w:fldCharType="begin"/>
      </w:r>
      <w:r>
        <w:rPr>
          <w:rFonts w:cs="Times New Roman"/>
        </w:rPr>
        <w:instrText xml:space="preserve"> PAGEREF _Toc211164747 \h </w:instrText>
      </w:r>
      <w:r>
        <w:rPr>
          <w:rFonts w:cs="Times New Roman"/>
        </w:rPr>
        <w:fldChar w:fldCharType="separate"/>
      </w:r>
      <w:r>
        <w:rPr>
          <w:rFonts w:cs="Times New Roman"/>
        </w:rPr>
        <w:t>10</w:t>
      </w:r>
      <w:r>
        <w:rPr>
          <w:rFonts w:cs="Times New Roman"/>
        </w:rPr>
        <w:fldChar w:fldCharType="end"/>
      </w:r>
      <w:r>
        <w:fldChar w:fldCharType="end" w:fldLock="0" w:dirty="0"/>
      </w:r>
    </w:p>
    <w:p w14:paraId="494EDB9C">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"_Toc211164748"</w:instrText>
      </w:r>
      <w:r>
        <w:fldChar w:fldCharType="separate" w:fldLock="0" w:dirty="0"/>
      </w:r>
      <w:r>
        <w:rPr>
          <w:rStyle w:val="000035"/>
          <w:rFonts w:hint="eastAsia" w:cs="Times New Roman"/>
          <w:color w:val="auto"/>
        </w:rPr>
        <w:t>（七）成果形成</w:t>
      </w:r>
      <w:r>
        <w:rPr>
          <w:rFonts w:cs="Times New Roman"/>
        </w:rPr>
        <w:tab/>
      </w:r>
      <w:r>
        <w:rPr>
          <w:rFonts w:cs="Times New Roman"/>
        </w:rPr>
        <w:fldChar w:fldCharType="begin"/>
      </w:r>
      <w:r>
        <w:rPr>
          <w:rFonts w:cs="Times New Roman"/>
        </w:rPr>
        <w:instrText xml:space="preserve"> PAGEREF _Toc211164748 \h </w:instrText>
      </w:r>
      <w:r>
        <w:rPr>
          <w:rFonts w:cs="Times New Roman"/>
        </w:rPr>
        <w:fldChar w:fldCharType="separate"/>
      </w:r>
      <w:r>
        <w:rPr>
          <w:rFonts w:cs="Times New Roman"/>
        </w:rPr>
        <w:t>11</w:t>
      </w:r>
      <w:r>
        <w:rPr>
          <w:rFonts w:cs="Times New Roman"/>
        </w:rPr>
        <w:fldChar w:fldCharType="end"/>
      </w:r>
      <w:r>
        <w:fldChar w:fldCharType="end" w:fldLock="0" w:dirty="0"/>
      </w:r>
    </w:p>
    <w:p w14:paraId="714BBC9F">
      <w:pPr>
        <w:pStyle w:val="00002c"/>
        <w:tabs>
          <w:tab w:val="right" w:leader="dot" w:pos="8296"/>
        </w:tabs>
        <w:spacing w:line="360" w:lineRule="exact"/>
        <w:rPr>
          <w:rFonts w:cs="Times New Roman" w:eastAsiaTheme="minorEastAsia"/>
          <w:sz w:val="22"/>
          <w:szCs w:val="24"/>
        </w:rPr>
      </w:pPr>
      <w:r>
        <w:fldChar w:fldCharType="begin" w:fldLock="0" w:dirty="0"/>
      </w:r>
      <w:r>
        <w:instrText>HYPERLINK \l "_Toc211164749"</w:instrText>
      </w:r>
      <w:r>
        <w:fldChar w:fldCharType="separate" w:fldLock="0" w:dirty="0"/>
      </w:r>
      <w:r>
        <w:rPr>
          <w:rStyle w:val="000035"/>
          <w:rFonts w:hint="eastAsia" w:cs="Times New Roman"/>
          <w:color w:val="auto"/>
        </w:rPr>
        <w:t>四、土壤普查工作成效</w:t>
      </w:r>
      <w:r>
        <w:rPr>
          <w:rFonts w:cs="Times New Roman"/>
        </w:rPr>
        <w:tab/>
      </w:r>
      <w:r>
        <w:rPr>
          <w:rFonts w:cs="Times New Roman"/>
        </w:rPr>
        <w:fldChar w:fldCharType="begin"/>
      </w:r>
      <w:r>
        <w:rPr>
          <w:rFonts w:cs="Times New Roman"/>
        </w:rPr>
        <w:instrText xml:space="preserve"> PAGEREF _Toc211164749 \h </w:instrText>
      </w:r>
      <w:r>
        <w:rPr>
          <w:rFonts w:cs="Times New Roman"/>
        </w:rPr>
        <w:fldChar w:fldCharType="separate"/>
      </w:r>
      <w:r>
        <w:rPr>
          <w:rFonts w:cs="Times New Roman"/>
        </w:rPr>
        <w:t>11</w:t>
      </w:r>
      <w:r>
        <w:rPr>
          <w:rFonts w:cs="Times New Roman"/>
        </w:rPr>
        <w:fldChar w:fldCharType="end"/>
      </w:r>
      <w:r>
        <w:fldChar w:fldCharType="end" w:fldLock="0" w:dirty="0"/>
      </w:r>
    </w:p>
    <w:p w14:paraId="01900E83">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"_Toc211164750"</w:instrText>
      </w:r>
      <w:r>
        <w:fldChar w:fldCharType="separate" w:fldLock="0" w:dirty="0"/>
      </w:r>
      <w:r>
        <w:rPr>
          <w:rStyle w:val="000035"/>
          <w:rFonts w:hint="eastAsia" w:cs="Times New Roman"/>
          <w:color w:val="auto"/>
        </w:rPr>
        <w:t>（一）土壤资源现状与变化</w:t>
      </w:r>
      <w:r>
        <w:rPr>
          <w:rFonts w:cs="Times New Roman"/>
        </w:rPr>
        <w:tab/>
      </w:r>
      <w:r>
        <w:rPr>
          <w:rFonts w:cs="Times New Roman"/>
        </w:rPr>
        <w:fldChar w:fldCharType="begin"/>
      </w:r>
      <w:r>
        <w:rPr>
          <w:rFonts w:cs="Times New Roman"/>
        </w:rPr>
        <w:instrText xml:space="preserve"> PAGEREF _Toc211164750 \h </w:instrText>
      </w:r>
      <w:r>
        <w:rPr>
          <w:rFonts w:cs="Times New Roman"/>
        </w:rPr>
        <w:fldChar w:fldCharType="separate"/>
      </w:r>
      <w:r>
        <w:rPr>
          <w:rFonts w:cs="Times New Roman"/>
        </w:rPr>
        <w:t>11</w:t>
      </w:r>
      <w:r>
        <w:rPr>
          <w:rFonts w:cs="Times New Roman"/>
        </w:rPr>
        <w:fldChar w:fldCharType="end"/>
      </w:r>
      <w:r>
        <w:fldChar w:fldCharType="end" w:fldLock="0" w:dirty="0"/>
      </w:r>
    </w:p>
    <w:p w14:paraId="0E8956B0">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"_Toc211164751"</w:instrText>
      </w:r>
      <w:r>
        <w:fldChar w:fldCharType="separate" w:fldLock="0" w:dirty="0"/>
      </w:r>
      <w:r>
        <w:rPr>
          <w:rStyle w:val="000035"/>
          <w:rFonts w:hint="eastAsia" w:cs="Times New Roman"/>
          <w:color w:val="auto"/>
        </w:rPr>
        <w:t>1.土壤分布</w:t>
      </w:r>
      <w:r>
        <w:rPr>
          <w:rFonts w:cs="Times New Roman"/>
        </w:rPr>
        <w:tab/>
      </w:r>
      <w:r>
        <w:rPr>
          <w:rFonts w:cs="Times New Roman"/>
        </w:rPr>
        <w:fldChar w:fldCharType="begin"/>
      </w:r>
      <w:r>
        <w:rPr>
          <w:rFonts w:cs="Times New Roman"/>
        </w:rPr>
        <w:instrText xml:space="preserve"> PAGEREF _Toc211164751 \h </w:instrText>
      </w:r>
      <w:r>
        <w:rPr>
          <w:rFonts w:cs="Times New Roman"/>
        </w:rPr>
        <w:fldChar w:fldCharType="separate"/>
      </w:r>
      <w:r>
        <w:rPr>
          <w:rFonts w:cs="Times New Roman"/>
        </w:rPr>
        <w:t>11</w:t>
      </w:r>
      <w:r>
        <w:rPr>
          <w:rFonts w:cs="Times New Roman"/>
        </w:rPr>
        <w:fldChar w:fldCharType="end"/>
      </w:r>
      <w:r>
        <w:fldChar w:fldCharType="end" w:fldLock="0" w:dirty="0"/>
      </w:r>
    </w:p>
    <w:p w14:paraId="45CF6007">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"_Toc211164752"</w:instrText>
      </w:r>
      <w:r>
        <w:fldChar w:fldCharType="separate" w:fldLock="0" w:dirty="0"/>
      </w:r>
      <w:r>
        <w:rPr>
          <w:rStyle w:val="000035"/>
          <w:rFonts w:hint="eastAsia" w:cs="Times New Roman"/>
          <w:color w:val="auto"/>
        </w:rPr>
        <w:t>2.土壤类型</w:t>
      </w:r>
      <w:r>
        <w:rPr>
          <w:rFonts w:cs="Times New Roman"/>
        </w:rPr>
        <w:tab/>
      </w:r>
      <w:r>
        <w:rPr>
          <w:rFonts w:cs="Times New Roman"/>
        </w:rPr>
        <w:fldChar w:fldCharType="begin"/>
      </w:r>
      <w:r>
        <w:rPr>
          <w:rFonts w:cs="Times New Roman"/>
        </w:rPr>
        <w:instrText xml:space="preserve"> PAGEREF _Toc211164752 \h </w:instrText>
      </w:r>
      <w:r>
        <w:rPr>
          <w:rFonts w:cs="Times New Roman"/>
        </w:rPr>
        <w:fldChar w:fldCharType="separate"/>
      </w:r>
      <w:r>
        <w:rPr>
          <w:rFonts w:cs="Times New Roman"/>
        </w:rPr>
        <w:t>12</w:t>
      </w:r>
      <w:r>
        <w:rPr>
          <w:rFonts w:cs="Times New Roman"/>
        </w:rPr>
        <w:fldChar w:fldCharType="end"/>
      </w:r>
      <w:r>
        <w:fldChar w:fldCharType="end" w:fldLock="0" w:dirty="0"/>
      </w:r>
    </w:p>
    <w:p w14:paraId="3FA3B377">
      <w:pPr>
        <w:pStyle w:val="000029"/>
        <w:tabs>
          <w:tab w:val="right" w:leader="dot" w:pos="8296"/>
        </w:tabs>
        <w:spacing w:line="360" w:lineRule="exact"/>
        <w:ind w:left="480"/>
        <w:rPr>
          <w:rFonts w:cs="Times New Roman" w:eastAsiaTheme="minorEastAsia"/>
          <w:sz w:val="22"/>
          <w:szCs w:val="24"/>
        </w:rPr>
      </w:pPr>
      <w:r>
        <w:fldChar w:fldCharType="begin" w:fldLock="0" w:dirty="0"/>
      </w:r>
      <w:r>
        <w:instrText>HYPERLINK \l "_Toc211164753"</w:instrText>
      </w:r>
      <w:r>
        <w:fldChar w:fldCharType="separate" w:fldLock="0" w:dirty="0"/>
      </w:r>
      <w:r>
        <w:rPr>
          <w:rStyle w:val="000035"/>
          <w:rFonts w:hint="eastAsia" w:cs="Times New Roman"/>
          <w:color w:val="auto"/>
        </w:rPr>
        <w:t>3.土壤类型演变</w:t>
      </w:r>
      <w:r>
        <w:rPr>
          <w:rFonts w:cs="Times New Roman"/>
        </w:rPr>
        <w:tab/>
      </w:r>
      <w:r>
        <w:rPr>
          <w:rFonts w:cs="Times New Roman"/>
        </w:rPr>
        <w:fldChar w:fldCharType="begin"/>
      </w:r>
      <w:r>
        <w:rPr>
          <w:rFonts w:cs="Times New Roman"/>
        </w:rPr>
        <w:instrText xml:space="preserve"> PAGEREF _Toc211164753 \h </w:instrText>
      </w:r>
      <w:r>
        <w:rPr>
          <w:rFonts w:cs="Times New Roman"/>
        </w:rPr>
        <w:fldChar w:fldCharType="separate"/>
      </w:r>
      <w:r>
        <w:rPr>
          <w:rFonts w:cs="Times New Roman"/>
        </w:rPr>
        <w:t>12</w:t>
      </w:r>
      <w:r>
        <w:rPr>
          <w:rFonts w:cs="Times New Roman"/>
        </w:rPr>
        <w:fldChar w:fldCharType="end"/>
      </w:r>
      <w:r>
        <w:fldChar w:fldCharType="end" w:fldLock="0" w:dirty="0"/>
      </w:r>
    </w:p>
    <w:p w14:paraId="06289FF8">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"_Toc211164754"</w:instrText>
      </w:r>
      <w:r>
        <w:fldChar w:fldCharType="separate" w:fldLock="0" w:dirty="0"/>
      </w:r>
      <w:r>
        <w:rPr>
          <w:rStyle w:val="000035"/>
          <w:rFonts w:hint="eastAsia" w:cs="Times New Roman"/>
          <w:color w:val="auto"/>
        </w:rPr>
        <w:t>（二）土壤资源优化利用对策</w:t>
      </w:r>
      <w:r>
        <w:rPr>
          <w:rFonts w:cs="Times New Roman"/>
        </w:rPr>
        <w:tab/>
      </w:r>
      <w:r>
        <w:rPr>
          <w:rFonts w:cs="Times New Roman"/>
        </w:rPr>
        <w:fldChar w:fldCharType="begin"/>
      </w:r>
      <w:r>
        <w:rPr>
          <w:rFonts w:cs="Times New Roman"/>
        </w:rPr>
        <w:instrText xml:space="preserve"> PAGEREF _Toc211164754 \h </w:instrText>
      </w:r>
      <w:r>
        <w:rPr>
          <w:rFonts w:cs="Times New Roman"/>
        </w:rPr>
        <w:fldChar w:fldCharType="separate"/>
      </w:r>
      <w:r>
        <w:rPr>
          <w:rFonts w:cs="Times New Roman"/>
        </w:rPr>
        <w:t>12</w:t>
      </w:r>
      <w:r>
        <w:rPr>
          <w:rFonts w:cs="Times New Roman"/>
        </w:rPr>
        <w:fldChar w:fldCharType="end"/>
      </w:r>
      <w:r>
        <w:fldChar w:fldCharType="end" w:fldLock="0" w:dirty="0"/>
      </w:r>
    </w:p>
    <w:p w14:paraId="5F8DA85C">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"_Toc211164755"</w:instrText>
      </w:r>
      <w:r>
        <w:fldChar w:fldCharType="separate" w:fldLock="0" w:dirty="0"/>
      </w:r>
      <w:r>
        <w:rPr>
          <w:rStyle w:val="000035"/>
          <w:rFonts w:hint="eastAsia" w:cs="Times New Roman"/>
          <w:color w:val="auto"/>
        </w:rPr>
        <w:t>（三）提高队伍能力与公众意识</w:t>
      </w:r>
      <w:r>
        <w:rPr>
          <w:rFonts w:cs="Times New Roman"/>
        </w:rPr>
        <w:tab/>
      </w:r>
      <w:r>
        <w:rPr>
          <w:rFonts w:cs="Times New Roman"/>
        </w:rPr>
        <w:fldChar w:fldCharType="begin"/>
      </w:r>
      <w:r>
        <w:rPr>
          <w:rFonts w:cs="Times New Roman"/>
        </w:rPr>
        <w:instrText xml:space="preserve"> PAGEREF _Toc211164755 \h </w:instrText>
      </w:r>
      <w:r>
        <w:rPr>
          <w:rFonts w:cs="Times New Roman"/>
        </w:rPr>
        <w:fldChar w:fldCharType="separate"/>
      </w:r>
      <w:r>
        <w:rPr>
          <w:rFonts w:cs="Times New Roman"/>
        </w:rPr>
        <w:t>13</w:t>
      </w:r>
      <w:r>
        <w:rPr>
          <w:rFonts w:cs="Times New Roman"/>
        </w:rPr>
        <w:fldChar w:fldCharType="end"/>
      </w:r>
      <w:r>
        <w:fldChar w:fldCharType="end" w:fldLock="0" w:dirty="0"/>
      </w:r>
    </w:p>
    <w:p w14:paraId="5880C543">
      <w:pPr>
        <w:pStyle w:val="00002f"/>
        <w:tabs>
          <w:tab w:val="right" w:leader="dot" w:pos="8296"/>
        </w:tabs>
        <w:spacing w:line="360" w:lineRule="exact"/>
        <w:rPr>
          <w:rFonts w:cs="Times New Roman" w:eastAsiaTheme="minorEastAsia"/>
          <w:sz w:val="22"/>
          <w:szCs w:val="24"/>
        </w:rPr>
      </w:pPr>
      <w:r>
        <w:fldChar w:fldCharType="begin" w:fldLock="0" w:dirty="0"/>
      </w:r>
      <w:r>
        <w:instrText>HYPERLINK \l "_Toc211164756"</w:instrText>
      </w:r>
      <w:r>
        <w:fldChar w:fldCharType="separate" w:fldLock="0" w:dirty="0"/>
      </w:r>
      <w:r>
        <w:rPr>
          <w:rStyle w:val="000035"/>
          <w:rFonts w:hint="eastAsia" w:cs="Times New Roman"/>
          <w:color w:val="auto"/>
        </w:rPr>
        <w:t>（四）问题与建议</w:t>
      </w:r>
      <w:r>
        <w:rPr>
          <w:rFonts w:cs="Times New Roman"/>
        </w:rPr>
        <w:tab/>
      </w:r>
      <w:r>
        <w:rPr>
          <w:rFonts w:cs="Times New Roman"/>
        </w:rPr>
        <w:fldChar w:fldCharType="begin"/>
      </w:r>
      <w:r>
        <w:rPr>
          <w:rFonts w:cs="Times New Roman"/>
        </w:rPr>
        <w:instrText xml:space="preserve"> PAGEREF _Toc211164756 \h </w:instrText>
      </w:r>
      <w:r>
        <w:rPr>
          <w:rFonts w:cs="Times New Roman"/>
        </w:rPr>
        <w:fldChar w:fldCharType="separate"/>
      </w:r>
      <w:r>
        <w:rPr>
          <w:rFonts w:cs="Times New Roman"/>
        </w:rPr>
        <w:t>13</w:t>
      </w:r>
      <w:r>
        <w:rPr>
          <w:rFonts w:cs="Times New Roman"/>
        </w:rPr>
        <w:fldChar w:fldCharType="end"/>
      </w:r>
      <w:r>
        <w:fldChar w:fldCharType="end" w:fldLock="0" w:dirty="0"/>
      </w:r>
    </w:p>
    <w:p w14:paraId="5F1C6E22">
      <w:pPr>
        <w:pStyle w:val="00002c"/>
        <w:tabs>
          <w:tab w:val="right" w:leader="dot" w:pos="8296"/>
        </w:tabs>
        <w:spacing w:line="360" w:lineRule="exact"/>
        <w:rPr>
          <w:rFonts w:hint="eastAsia" w:asciiTheme="minorHAnsi" w:hAnsiTheme="minorHAnsi" w:eastAsiaTheme="minorEastAsia"/>
          <w:sz w:val="22"/>
          <w:szCs w:val="24"/>
        </w:rPr>
      </w:pPr>
      <w:r>
        <w:fldChar w:fldCharType="begin" w:fldLock="0" w:dirty="0"/>
      </w:r>
      <w:r>
        <w:instrText>HYPERLINK \l "_Toc211164757"</w:instrText>
      </w:r>
      <w:r>
        <w:fldChar w:fldCharType="separate" w:fldLock="0" w:dirty="0"/>
      </w:r>
      <w:r>
        <w:rPr>
          <w:rStyle w:val="000035"/>
          <w:rFonts w:hint="eastAsia" w:cs="Times New Roman"/>
          <w:color w:val="auto"/>
        </w:rPr>
        <w:t>附件</w:t>
      </w:r>
      <w:r>
        <w:rPr>
          <w:rFonts w:cs="Times New Roman"/>
        </w:rPr>
        <w:tab/>
      </w:r>
      <w:r>
        <w:rPr>
          <w:rFonts w:cs="Times New Roman"/>
        </w:rPr>
        <w:fldChar w:fldCharType="begin"/>
      </w:r>
      <w:r>
        <w:rPr>
          <w:rFonts w:cs="Times New Roman"/>
        </w:rPr>
        <w:instrText xml:space="preserve"> PAGEREF _Toc211164757 \h </w:instrText>
      </w:r>
      <w:r>
        <w:rPr>
          <w:rFonts w:cs="Times New Roman"/>
        </w:rPr>
        <w:fldChar w:fldCharType="separate"/>
      </w:r>
      <w:r>
        <w:rPr>
          <w:rFonts w:cs="Times New Roman"/>
        </w:rPr>
        <w:t>13</w:t>
      </w:r>
      <w:r>
        <w:rPr>
          <w:rFonts w:cs="Times New Roman"/>
        </w:rPr>
        <w:fldChar w:fldCharType="end"/>
      </w:r>
      <w:r>
        <w:fldChar w:fldCharType="end" w:fldLock="0" w:dirty="0"/>
      </w:r>
    </w:p>
    <w:p w14:paraId="60BA038A">
      <w:pPr>
        <w:spacing w:line="360" w:lineRule="exact"/>
        <w:ind w:firstLine="880"/>
        <w:rPr>
          <w:rFonts w:hint="eastAsia" w:ascii="黑体" w:hAnsi="黑体"/>
          <w:sz w:val="44"/>
          <w:szCs w:val="44"/>
        </w:rPr>
        <w:sectPr w:rsidRPr="00067104" w:rsidR="00A37183">
          <w:headerReference r:id="rId9" w:type="first"/>
          <w:headerReference r:id="rId10" w:type="default"/>
          <w:headerReference r:id="rId11" w:type="even"/>
          <w:footerReference r:id="rId13" w:type="first"/>
          <w:footerReference r:id="rId12" w:type="default"/>
          <w:footerReference r:id="rId14" w:type="even"/>
          <w:pgSz w:w="11906" w:h="16838"/>
          <w:pgMar w:top="1440" w:right="1800" w:bottom="1440" w:left="1800" w:header="851" w:footer="992" w:gutter="0"/>
          <w:pgNumType w:start="1"/>
          <w:cols w:space="425"/>
          <w:docGrid w:type="lines" w:linePitch="312"/>
        </w:sectPr>
      </w:pPr>
      <w:r>
        <w:rPr>
          <w:rFonts w:hint="eastAsia" w:ascii="黑体" w:hAnsi="黑体"/>
          <w:sz w:val="44"/>
          <w:szCs w:val="44"/>
        </w:rPr>
        <w:fldChar w:fldCharType="end"/>
      </w:r>
      <w:r>
        <w:rPr>
          <w:rFonts w:hint="eastAsia" w:ascii="黑体" w:hAnsi="黑体"/>
          <w:sz w:val="44"/>
          <w:szCs w:val="44"/>
        </w:rPr>
        <w:br w:type="page"/>
      </w:r>
    </w:p>
    <w:p w14:paraId="5B26A244">
      <w:pPr>
        <w:pStyle w:val="000014"/>
        <w:spacing w:before="156" w:after="156"/>
        <w:rPr>
          <w:rFonts w:eastAsia="宋体" w:cs="Times New Roman"/>
          <w:b w:val="1"/>
          <w:bCs w:val="1"/>
          <w:color w:val="auto"/>
        </w:rPr>
      </w:pPr>
      <w:commentRangeStart w:id="5"/>
      <w:bookmarkStart w:id="1" w:name="_Toc211164715"/>
      <w:r>
        <w:rPr>
          <w:rFonts w:hint="eastAsia" w:eastAsia="宋体" w:cs="Times New Roman"/>
          <w:b w:val="1"/>
          <w:bCs w:val="1"/>
          <w:color w:val="auto"/>
        </w:rPr>
        <w:t>一、</w:t>
      </w:r>
      <w:bookmarkEnd w:id="1"/>
      <w:r>
        <w:rPr>
          <w:rFonts w:hint="eastAsia" w:eastAsia="宋体" w:cs="Times New Roman"/>
          <w:b w:val="1"/>
          <w:bCs w:val="1"/>
          <w:color w:val="auto"/>
        </w:rPr>
        <w:t>土壤普查工作背景</w:t>
      </w:r>
      <w:commentRangeEnd w:id="5"/>
      <w:r>
        <w:commentReference w:id="5"/>
      </w:r>
    </w:p>
    <w:p w14:paraId="742C0270">
      <w:pPr>
        <w:pStyle w:val="000016"/>
        <w:spacing w:before="156" w:after="156"/>
        <w:ind w:firstLine="562"/>
        <w:rPr>
          <w:rFonts w:cs="Times New Roman"/>
          <w:color w:val="auto"/>
        </w:rPr>
      </w:pPr>
      <w:bookmarkStart w:id="2" w:name="_Toc211164716"/>
      <w:r>
        <w:rPr>
          <w:rFonts w:hint="eastAsia" w:cs="Times New Roman"/>
          <w:color w:val="auto"/>
        </w:rPr>
        <w:t>（一）土壤普查工作背景</w:t>
      </w:r>
      <w:bookmarkEnd w:id="2"/>
    </w:p>
    <w:p w14:paraId="57666691">
      <w:pPr>
        <w:pStyle w:val="000018"/>
        <w:spacing w:before="156" w:after="156"/>
        <w:ind w:firstLine="480"/>
        <w:rPr>
          <w:rFonts w:eastAsia="宋体" w:cs="Times New Roman"/>
          <w:color w:val="auto"/>
        </w:rPr>
      </w:pPr>
      <w:r>
        <w:rPr>
          <w:rFonts w:hint="eastAsia" w:eastAsia="宋体" w:cs="Times New Roman"/>
          <w:color w:val="auto"/>
        </w:rPr>
        <w:t>1.从二普到三普的历史转变：时隔40余年的土壤</w:t>
      </w:r>
      <w:r>
        <w:rPr>
          <w:rFonts w:hint="eastAsia" w:eastAsia="宋体" w:cs="Times New Roman"/>
          <w:color w:val="auto"/>
        </w:rPr>
        <w:t>“</w:t>
      </w:r>
      <w:r>
        <w:rPr>
          <w:rFonts w:hint="eastAsia" w:eastAsia="宋体" w:cs="Times New Roman"/>
          <w:color w:val="auto"/>
        </w:rPr>
        <w:t>全面体检</w:t>
      </w:r>
      <w:r>
        <w:rPr>
          <w:rFonts w:hint="eastAsia" w:eastAsia="宋体" w:cs="Times New Roman"/>
          <w:color w:val="auto"/>
        </w:rPr>
        <w:t>”</w:t>
      </w:r>
    </w:p>
    <w:p w14:paraId="0E79A777">
      <w:pPr>
        <w:pStyle w:val="000030"/>
        <w:widowControl w:val="1"/>
        <w:shd w:val="clear" w:color="auto" w:fill="FFFFFF"/>
        <w:ind w:firstLine="480"/>
        <w:rPr>
          <w:rFonts w:cs="Times New Roman"/>
        </w:rPr>
      </w:pPr>
      <w:r>
        <w:rPr>
          <w:rFonts w:hint="eastAsia" w:cs="Times New Roman"/>
        </w:rPr>
        <w:t>新中国成立以来，我国共进行过两次全国土壤普查。第二次全国土壤普查于1979年正式启动，到1984年底完成主体工作，历时约5年，全国动用科技人员20余万人次</w:t>
      </w:r>
      <w:r>
        <w:fldChar w:fldCharType="begin" w:fldLock="0" w:dirty="0"/>
      </w:r>
      <w:r>
        <w:instrText>HYPERLINK "http://nyj.yichang.gov.cn/content-63341-2100822-1.html" \t "https://chat.deepseek.com/a/chat/s/_blank"</w:instrText>
      </w:r>
      <w:r>
        <w:fldChar w:fldCharType="separate" w:fldLock="0" w:dirty="0"/>
      </w:r>
      <w:r>
        <w:fldChar w:fldCharType="end" w:fldLock="0" w:dirty="0"/>
      </w:r>
      <w:r>
        <w:rPr>
          <w:rFonts w:hint="eastAsia" w:cs="Times New Roman"/>
        </w:rPr>
        <w:t>。这次普查全面查清了我国土壤资源的类型、数量、分布、基本性状等，建立了我国土壤分类系统，摸清了中低产田的比例、分布以及主要障碍类型</w:t>
      </w:r>
      <w:r>
        <w:fldChar w:fldCharType="begin" w:fldLock="0" w:dirty="0"/>
      </w:r>
      <w:r>
        <w:instrText>HYPERLINK "http://nyj.yichang.gov.cn/content-63341-2100822-1.html" \t "https://chat.deepseek.com/a/chat/s/_blank"</w:instrText>
      </w:r>
      <w:r>
        <w:fldChar w:fldCharType="separate" w:fldLock="0" w:dirty="0"/>
      </w:r>
      <w:r>
        <w:fldChar w:fldCharType="end" w:fldLock="0" w:dirty="0"/>
      </w:r>
      <w:r>
        <w:rPr>
          <w:rFonts w:hint="eastAsia" w:cs="Times New Roman"/>
        </w:rPr>
        <w:t>。二普成果为实施农业综合开发、耕地开垦、中低产田改造、科学施肥、农业区划等提供了重要依据，有力支撑了我国近半个世纪的粮食持续增产。</w:t>
      </w:r>
    </w:p>
    <w:p w14:paraId="6C1A2B16">
      <w:pPr>
        <w:pStyle w:val="000030"/>
        <w:widowControl w:val="1"/>
        <w:shd w:val="clear" w:color="auto" w:fill="FFFFFF"/>
        <w:ind w:firstLine="480"/>
        <w:rPr>
          <w:rFonts w:cs="Times New Roman"/>
        </w:rPr>
      </w:pPr>
      <w:r>
        <w:rPr>
          <w:rFonts w:hint="eastAsia" w:cs="Times New Roman"/>
        </w:rPr>
        <w:t>在黄骅市，二普形成的土壤类型图、土种志和土壤志等成果，为当地盐碱地改良、农业区划和科学施肥提供了基础数据支撑。然而，受限于当时的技术条件，二普存在各地标准不统一、技术手段相对不足等问题。</w:t>
      </w:r>
    </w:p>
    <w:p w14:paraId="42F3E74C">
      <w:pPr>
        <w:pStyle w:val="000018"/>
        <w:spacing w:before="156" w:after="156"/>
        <w:ind w:firstLine="480"/>
        <w:rPr>
          <w:rFonts w:eastAsia="宋体" w:cs="Times New Roman"/>
          <w:color w:val="auto"/>
        </w:rPr>
      </w:pPr>
      <w:r>
        <w:rPr>
          <w:rFonts w:hint="eastAsia" w:eastAsia="宋体" w:cs="Times New Roman"/>
          <w:color w:val="auto"/>
        </w:rPr>
        <w:t>2.黄骅市自然概况与土壤资源特征</w:t>
      </w:r>
    </w:p>
    <w:p w14:paraId="21FD35A3">
      <w:pPr>
        <w:pStyle w:val="000030"/>
        <w:widowControl w:val="1"/>
        <w:shd w:val="clear" w:color="auto" w:fill="FFFFFF"/>
        <w:ind w:firstLine="480"/>
        <w:rPr>
          <w:rFonts w:cs="Times New Roman"/>
        </w:rPr>
      </w:pPr>
      <w:r>
        <w:rPr>
          <w:rFonts w:hint="eastAsia" w:cs="Times New Roman"/>
        </w:rPr>
        <w:t>黄骅市地处河北省东南部，东临渤海，北依京津，南望齐鲁，位于环京津、环渤海双环核心位置</w:t>
      </w:r>
      <w:r>
        <w:fldChar w:fldCharType="begin" w:fldLock="0" w:dirty="0"/>
      </w:r>
      <w:r>
        <w:instrText>HYPERLINK "http://huanghua.gov.cn/huanghua/add100212/202505/75fc0bf109144a548451d5b8e7e23276.shtml" \t "https://chat.deepseek.com/a/chat/s/_blank"</w:instrText>
      </w:r>
      <w:r>
        <w:fldChar w:fldCharType="separate" w:fldLock="0" w:dirty="0"/>
      </w:r>
      <w:r>
        <w:fldChar w:fldCharType="end" w:fldLock="0" w:dirty="0"/>
      </w:r>
      <w:r>
        <w:rPr>
          <w:rFonts w:hint="eastAsia" w:cs="Times New Roman"/>
        </w:rPr>
        <w:t>。</w:t>
      </w:r>
      <w:commentRangeStart w:id="6"/>
      <w:r>
        <w:rPr>
          <w:rFonts w:hint="eastAsia" w:cs="Times New Roman"/>
        </w:rPr>
        <w:t>全市陆域面积2212平方公里，海域面积889平方公里，海岸线长116公里</w:t>
      </w:r>
      <w:commentRangeEnd w:id="6"/>
      <w:r>
        <w:rPr>
          <w:rFonts w:cs="Times New Roman"/>
        </w:rPr>
        <w:commentReference w:id="6"/>
      </w:r>
      <w:r>
        <w:rPr>
          <w:rFonts w:hint="eastAsia" w:cs="Times New Roman"/>
        </w:rPr>
        <w:t>，辖5个功能园区、11个乡镇、331个行政村，常住人口63.8万。</w:t>
      </w:r>
    </w:p>
    <w:p w14:paraId="09FF7EB1">
      <w:pPr>
        <w:pStyle w:val="000030"/>
        <w:widowControl w:val="1"/>
        <w:shd w:val="clear" w:color="auto" w:fill="FFFFFF"/>
        <w:ind w:firstLine="480"/>
        <w:rPr>
          <w:rFonts w:cs="Times New Roman"/>
        </w:rPr>
      </w:pPr>
      <w:r>
        <w:rPr>
          <w:rFonts w:hint="eastAsia" w:cs="Times New Roman"/>
        </w:rPr>
        <w:t>从自然条件看，黄骅市属典型的滨海盐碱地区，历史上是古黄河入海口之一，土壤盐碱化问题突出。这种独特的自然禀赋，既形成了种植旱碱麦的农耕传统——黄骅旱碱麦种植已有2600余年历史，被列入全国</w:t>
      </w:r>
      <w:r>
        <w:rPr>
          <w:rFonts w:hint="eastAsia" w:cs="Times New Roman"/>
        </w:rPr>
        <w:t>“</w:t>
      </w:r>
      <w:r>
        <w:rPr>
          <w:rFonts w:hint="eastAsia" w:cs="Times New Roman"/>
        </w:rPr>
        <w:t>土特产</w:t>
      </w:r>
      <w:r>
        <w:rPr>
          <w:rFonts w:hint="eastAsia" w:cs="Times New Roman"/>
        </w:rPr>
        <w:t>”</w:t>
      </w:r>
      <w:r>
        <w:rPr>
          <w:rFonts w:hint="eastAsia" w:cs="Times New Roman"/>
        </w:rPr>
        <w:t>推介名录；也使黄骅成为盐碱地综合治理与农业绿色发展的重点区域</w:t>
      </w:r>
      <w:r>
        <w:fldChar w:fldCharType="begin" w:fldLock="0" w:dirty="0"/>
      </w:r>
      <w:r>
        <w:instrText>HYPERLINK "http://www.he.xinhua.org/20251128/19495475104649159b142e9c2a78df77/c.html" \t "https://chat.deepseek.com/a/chat/s/_blank"</w:instrText>
      </w:r>
      <w:r>
        <w:fldChar w:fldCharType="separate" w:fldLock="0" w:dirty="0"/>
      </w:r>
      <w:r>
        <w:fldChar w:fldCharType="end" w:fldLock="0" w:dirty="0"/>
      </w:r>
      <w:r>
        <w:rPr>
          <w:rFonts w:hint="eastAsia" w:cs="Times New Roman"/>
        </w:rPr>
        <w:t>。近年来，黄骅市积极争取专项资金2亿元用于治理2.596万亩盐碱耕地，投入3.2亿元增发国债资金推动高标准农田建设，</w:t>
      </w:r>
      <w:commentRangeStart w:id="7"/>
      <w:r>
        <w:rPr>
          <w:rFonts w:hint="eastAsia" w:cs="Times New Roman"/>
        </w:rPr>
        <w:t>改善13万亩灌溉耕地面积</w:t>
      </w:r>
      <w:commentRangeEnd w:id="7"/>
      <w:r>
        <w:rPr>
          <w:rFonts w:cs="Times New Roman"/>
        </w:rPr>
        <w:commentReference w:id="7"/>
      </w:r>
      <w:r>
        <w:rPr>
          <w:rFonts w:hint="eastAsia" w:cs="Times New Roman"/>
        </w:rPr>
        <w:t>。</w:t>
      </w:r>
    </w:p>
    <w:p w14:paraId="29AC02ED">
      <w:pPr>
        <w:pStyle w:val="000030"/>
        <w:widowControl w:val="1"/>
        <w:shd w:val="clear" w:color="auto" w:fill="FFFFFF"/>
        <w:ind w:firstLine="480"/>
        <w:rPr>
          <w:rFonts w:cs="Times New Roman"/>
        </w:rPr>
      </w:pPr>
      <w:r>
        <w:rPr>
          <w:rFonts w:hint="eastAsia" w:cs="Times New Roman"/>
        </w:rPr>
        <w:t>从经济社会发展看，黄骅市是省市重点打造的沿海经济增长带龙头和改革开放高地</w:t>
      </w:r>
      <w:r>
        <w:fldChar w:fldCharType="begin" w:fldLock="0" w:dirty="0"/>
      </w:r>
      <w:r>
        <w:instrText>HYPERLINK "http://huanghua.gov.cn/huanghua/add100212/202505/75fc0bf109144a548451d5b8e7e23276.shtml" \t "https://chat.deepseek.com/a/chat/s/_blank"</w:instrText>
      </w:r>
      <w:r>
        <w:fldChar w:fldCharType="separate" w:fldLock="0" w:dirty="0"/>
      </w:r>
      <w:r>
        <w:fldChar w:fldCharType="end" w:fldLock="0" w:dirty="0"/>
      </w:r>
      <w:r>
        <w:rPr>
          <w:rFonts w:hint="eastAsia" w:cs="Times New Roman"/>
        </w:rPr>
        <w:t>。随着</w:t>
      </w:r>
      <w:r>
        <w:rPr>
          <w:rFonts w:hint="eastAsia" w:cs="Times New Roman"/>
        </w:rPr>
        <w:t>“</w:t>
      </w:r>
      <w:r>
        <w:rPr>
          <w:rFonts w:hint="eastAsia" w:cs="Times New Roman"/>
        </w:rPr>
        <w:t>区政合一</w:t>
      </w:r>
      <w:r>
        <w:rPr>
          <w:rFonts w:hint="eastAsia" w:cs="Times New Roman"/>
        </w:rPr>
        <w:t>”</w:t>
      </w:r>
      <w:r>
        <w:rPr>
          <w:rFonts w:hint="eastAsia" w:cs="Times New Roman"/>
        </w:rPr>
        <w:t>改革深入推进，绿色化工、生物医药、装备制造和现代物流四大主导产业加速集聚</w:t>
      </w:r>
      <w:r>
        <w:fldChar w:fldCharType="begin" w:fldLock="0" w:dirty="0"/>
      </w:r>
      <w:r>
        <w:instrText>HYPERLINK "http://huanghua.gov.cn/huanghua/add100212/202505/75fc0bf109144a548451d5b8e7e23276.shtml" \t "https://chat.deepseek.com/a/chat/s/_blank"</w:instrText>
      </w:r>
      <w:r>
        <w:fldChar w:fldCharType="separate" w:fldLock="0" w:dirty="0"/>
      </w:r>
      <w:r>
        <w:fldChar w:fldCharType="end" w:fldLock="0" w:dirty="0"/>
      </w:r>
      <w:r>
        <w:rPr>
          <w:rFonts w:hint="eastAsia" w:cs="Times New Roman"/>
        </w:rPr>
        <w:t>。在农业农村发展方面，黄骅市以盐碱地治理为核心抓手，构建</w:t>
      </w:r>
      <w:r>
        <w:rPr>
          <w:rFonts w:hint="eastAsia" w:cs="Times New Roman"/>
        </w:rPr>
        <w:t>“</w:t>
      </w:r>
      <w:r>
        <w:rPr>
          <w:rFonts w:hint="eastAsia" w:cs="Times New Roman"/>
        </w:rPr>
        <w:t>技术研发-示范推广-产业升级</w:t>
      </w:r>
      <w:r>
        <w:rPr>
          <w:rFonts w:hint="eastAsia" w:cs="Times New Roman"/>
        </w:rPr>
        <w:t>”</w:t>
      </w:r>
      <w:r>
        <w:rPr>
          <w:rFonts w:hint="eastAsia" w:cs="Times New Roman"/>
        </w:rPr>
        <w:t>全链条工作体系，推广挖沟排水淋盐压碱、秸秆覆盖抑制返盐等七大改良措施，成功选育捷麦19、捷麦20等抗旱耐盐优质旱碱麦品种</w:t>
      </w:r>
      <w:r>
        <w:fldChar w:fldCharType="begin" w:fldLock="0" w:dirty="0"/>
      </w:r>
      <w:r>
        <w:instrText>HYPERLINK "http://www.he.xinhua.org/20251128/19495475104649159b142e9c2a78df77/c.html" \t "https://chat.deepseek.com/a/chat/s/_blank"</w:instrText>
      </w:r>
      <w:r>
        <w:fldChar w:fldCharType="separate" w:fldLock="0" w:dirty="0"/>
      </w:r>
      <w:r>
        <w:fldChar w:fldCharType="end" w:fldLock="0" w:dirty="0"/>
      </w:r>
      <w:r>
        <w:rPr>
          <w:rFonts w:hint="eastAsia" w:cs="Times New Roman"/>
        </w:rPr>
        <w:t>。</w:t>
      </w:r>
      <w:commentRangeStart w:id="8"/>
      <w:r>
        <w:rPr>
          <w:rFonts w:hint="eastAsia" w:cs="Times New Roman"/>
        </w:rPr>
        <w:t>全市夏收旱碱麦185万亩</w:t>
      </w:r>
      <w:commentRangeEnd w:id="8"/>
      <w:r>
        <w:rPr>
          <w:rFonts w:cs="Times New Roman"/>
        </w:rPr>
        <w:commentReference w:id="8"/>
      </w:r>
      <w:r>
        <w:rPr>
          <w:rFonts w:hint="eastAsia" w:cs="Times New Roman"/>
        </w:rPr>
        <w:t>，亩产289.5公斤，全产业链产值达到141亿元，</w:t>
      </w:r>
      <w:r>
        <w:rPr>
          <w:rFonts w:hint="eastAsia" w:cs="Times New Roman"/>
        </w:rPr>
        <w:t>“</w:t>
      </w:r>
      <w:r>
        <w:rPr>
          <w:rFonts w:hint="eastAsia" w:cs="Times New Roman"/>
        </w:rPr>
        <w:t>沧州旱碱麦</w:t>
      </w:r>
      <w:r>
        <w:rPr>
          <w:rFonts w:hint="eastAsia" w:cs="Times New Roman"/>
        </w:rPr>
        <w:t>”</w:t>
      </w:r>
      <w:r>
        <w:rPr>
          <w:rFonts w:hint="eastAsia" w:cs="Times New Roman"/>
        </w:rPr>
        <w:t>获批省级区域公用品牌</w:t>
      </w:r>
      <w:r>
        <w:fldChar w:fldCharType="begin" w:fldLock="0" w:dirty="0"/>
      </w:r>
      <w:r>
        <w:instrText>HYPERLINK "http://czrb.bohaitoday.com/pc/content/202512/30/content_183605.html" \t "https://chat.deepseek.com/a/chat/s/_blank"</w:instrText>
      </w:r>
      <w:r>
        <w:fldChar w:fldCharType="separate" w:fldLock="0" w:dirty="0"/>
      </w:r>
      <w:r>
        <w:fldChar w:fldCharType="end" w:fldLock="0" w:dirty="0"/>
      </w:r>
      <w:r>
        <w:rPr>
          <w:rFonts w:hint="eastAsia" w:cs="Times New Roman"/>
        </w:rPr>
        <w:t>。</w:t>
      </w:r>
    </w:p>
    <w:p w14:paraId="46F90188">
      <w:pPr>
        <w:pStyle w:val="000018"/>
        <w:spacing w:before="156" w:after="156"/>
        <w:ind w:firstLine="480"/>
        <w:rPr>
          <w:rFonts w:eastAsia="宋体" w:cs="Times New Roman"/>
          <w:color w:val="auto"/>
        </w:rPr>
      </w:pPr>
      <w:r>
        <w:rPr>
          <w:rFonts w:hint="eastAsia" w:eastAsia="宋体" w:cs="Times New Roman"/>
          <w:color w:val="auto"/>
        </w:rPr>
        <w:t>3.黄骅市土壤三普工作推进情况</w:t>
      </w:r>
    </w:p>
    <w:p w14:paraId="59BCAA87">
      <w:pPr>
        <w:ind w:firstLine="480"/>
        <w:rPr>
          <w:rFonts w:cs="Times New Roman"/>
        </w:rPr>
      </w:pPr>
      <w:r>
        <w:rPr>
          <w:rFonts w:hint="eastAsia" w:cs="Times New Roman"/>
        </w:rPr>
        <w:t>按照国家统一部署和河北省、沧州市工作安排，黄骅市扎实推进第三次全国土壤普查各项工作。2023年，省三普办到黄骅市督导检查三普外业采样工作，对采样点位校核、信息采集、样品处理等环节进行了现场指导。2024年5月，沧州市召开第三次土壤普查工作推进及培训会议，黄骅市作经验交流发言，会议明确工作重心逐步由外业调查采样、内业测试化验转向成果编制阶段。2025年5月，河北省三普办核验组到沧州市开展核验工作，黄骅市参加了座谈交流，重点围绕三普项目资金支付进度及补充耕地质量验收工作进行沟通。从省级层面看，河北省已高质量完成土壤三普外业调查采样与内业测试化验工作，并顺利通过国家级抽验，并根据前期成果开展了成果编制。</w:t>
      </w:r>
    </w:p>
    <w:p w14:paraId="35E6DB01">
      <w:pPr>
        <w:pStyle w:val="000016"/>
        <w:numPr>
          <w:ilvl w:val="0"/>
          <w:numId w:val="1"/>
        </w:numPr>
        <w:spacing w:before="156" w:after="156"/>
        <w:ind w:firstLine="562"/>
        <w:rPr>
          <w:rFonts w:cs="Times New Roman"/>
          <w:color w:val="auto"/>
        </w:rPr>
      </w:pPr>
      <w:commentRangeStart w:id="9"/>
      <w:bookmarkStart w:id="3" w:name="_Toc211164717"/>
      <w:r>
        <w:rPr>
          <w:rFonts w:hint="eastAsia" w:cs="Times New Roman"/>
          <w:color w:val="auto"/>
        </w:rPr>
        <w:t>土壤普查工作目的</w:t>
      </w:r>
      <w:commentRangeEnd w:id="9"/>
      <w:bookmarkEnd w:id="3"/>
      <w:r>
        <w:commentReference w:id="9"/>
      </w:r>
    </w:p>
    <w:p w14:paraId="746C86A8">
      <w:pPr>
        <w:ind w:firstLine="480"/>
        <w:rPr>
          <w:rFonts w:cs="Times New Roman"/>
        </w:rPr>
      </w:pPr>
      <w:r>
        <w:rPr>
          <w:rFonts w:hint="eastAsia" w:cs="Times New Roman"/>
        </w:rPr>
        <w:t>土壤普查的核心目的是对土壤进行一次</w:t>
      </w:r>
      <w:r>
        <w:rPr>
          <w:rFonts w:hint="eastAsia" w:cs="Times New Roman"/>
        </w:rPr>
        <w:t>“</w:t>
      </w:r>
      <w:r>
        <w:rPr>
          <w:rFonts w:hint="eastAsia" w:cs="Times New Roman"/>
        </w:rPr>
        <w:t>全面体检</w:t>
      </w:r>
      <w:r>
        <w:rPr>
          <w:rFonts w:hint="eastAsia" w:cs="Times New Roman"/>
        </w:rPr>
        <w:t>”</w:t>
      </w:r>
      <w:r>
        <w:fldChar w:fldCharType="begin" w:fldLock="0" w:dirty="0"/>
      </w:r>
      <w:r>
        <w:instrText>HYPERLINK "https://www.iarrp.cn/ysdt/mtbd/ed0e3ed3e1104bd38927c78ac978898b.htm" \t "https://chat.deepseek.com/a/chat/s/_blank"</w:instrText>
      </w:r>
      <w:r>
        <w:fldChar w:fldCharType="separate" w:fldLock="0" w:dirty="0"/>
      </w:r>
      <w:r>
        <w:fldChar w:fldCharType="end" w:fldLock="0" w:dirty="0"/>
      </w:r>
      <w:r>
        <w:rPr>
          <w:rFonts w:hint="eastAsia" w:cs="Times New Roman"/>
        </w:rPr>
        <w:t>。对于黄骅市而言，重点是查明盐碱地的类型、程度、分布及演变规律，摸清耕地质量等级和障碍因子，为盐碱地分类治理和综合利用提供科学依据。</w:t>
      </w:r>
      <w:r>
        <w:rPr>
          <w:rFonts w:hint="eastAsia" w:cs="Times New Roman"/>
        </w:rPr>
        <w:t>“</w:t>
      </w:r>
      <w:r>
        <w:rPr>
          <w:rFonts w:hint="eastAsia" w:cs="Times New Roman"/>
        </w:rPr>
        <w:t>藏粮于地</w:t>
      </w:r>
      <w:r>
        <w:rPr>
          <w:rFonts w:hint="eastAsia" w:cs="Times New Roman"/>
        </w:rPr>
        <w:t>”</w:t>
      </w:r>
      <w:r>
        <w:rPr>
          <w:rFonts w:hint="eastAsia" w:cs="Times New Roman"/>
        </w:rPr>
        <w:t>有赖于健康肥沃高质量的土壤</w:t>
      </w:r>
      <w:r>
        <w:fldChar w:fldCharType="begin" w:fldLock="0" w:dirty="0"/>
      </w:r>
      <w:r>
        <w:instrText>HYPERLINK "http://nyj.yichang.gov.cn/content-63341-2100822-1.html" \t "https://chat.deepseek.com/a/chat/s/_blank"</w:instrText>
      </w:r>
      <w:r>
        <w:fldChar w:fldCharType="separate" w:fldLock="0" w:dirty="0"/>
      </w:r>
      <w:r>
        <w:fldChar w:fldCharType="end" w:fldLock="0" w:dirty="0"/>
      </w:r>
      <w:r>
        <w:rPr>
          <w:rFonts w:hint="eastAsia" w:cs="Times New Roman"/>
        </w:rPr>
        <w:t>。开展土壤三普，就是要为守牢耕地红线、确保国家粮食安全提供基础支撑。通过普查，掌握不同区域耕地质量等级现状及变化趋势，分析影响耕地生产的主要障碍因子，提出有针对性的耕地质量建设与保护措施，为高标准农田建设、补充新增耕地及永久基本农田划定等提供数据支撑</w:t>
      </w:r>
      <w:r>
        <w:fldChar w:fldCharType="begin" w:fldLock="0" w:dirty="0"/>
      </w:r>
      <w:r>
        <w:instrText>HYPERLINK "https://www.iarrp.cn/ysdt/mtbd/ed0e3ed3e1104bd38927c78ac978898b.htm" \t "https://chat.deepseek.com/a/chat/s/_blank"</w:instrText>
      </w:r>
      <w:r>
        <w:fldChar w:fldCharType="separate" w:fldLock="0" w:dirty="0"/>
      </w:r>
      <w:r>
        <w:fldChar w:fldCharType="end" w:fldLock="0" w:dirty="0"/>
      </w:r>
      <w:r>
        <w:rPr>
          <w:rFonts w:hint="eastAsia" w:cs="Times New Roman"/>
        </w:rPr>
        <w:t>。</w:t>
      </w:r>
    </w:p>
    <w:p w14:paraId="0276DE4F">
      <w:pPr>
        <w:ind w:firstLine="480"/>
        <w:rPr>
          <w:rFonts w:cs="Times New Roman"/>
        </w:rPr>
      </w:pPr>
      <w:r>
        <w:rPr>
          <w:rFonts w:hint="eastAsia" w:cs="Times New Roman"/>
        </w:rPr>
        <w:t>推进农业发展绿色转型和高质量发展，需要土壤肥力与健康指标数据做支撑；推动品种培优、品质提升、品牌打造和标准化生产，需要详实的土壤特性指标数据作支撑；指导农户因土种植、因土施肥、因土改土，提高农业生产效率，需要土壤养分数据支撑，土壤普查成果将为产业进一步提质增效提供数据支撑。</w:t>
      </w:r>
    </w:p>
    <w:p w14:paraId="253B392B">
      <w:pPr>
        <w:ind w:firstLine="480"/>
        <w:rPr>
          <w:rFonts w:cs="Times New Roman"/>
        </w:rPr>
      </w:pPr>
    </w:p>
    <w:p w14:paraId="6C0CF080">
      <w:pPr>
        <w:pStyle w:val="000016"/>
        <w:spacing w:before="156" w:after="156"/>
        <w:ind w:firstLine="562"/>
        <w:rPr>
          <w:rFonts w:cs="Times New Roman"/>
          <w:color w:val="auto"/>
        </w:rPr>
      </w:pPr>
      <w:bookmarkStart w:id="4" w:name="_Toc211164718"/>
      <w:r>
        <w:rPr>
          <w:rFonts w:hint="eastAsia" w:cs="Times New Roman"/>
          <w:color w:val="auto"/>
        </w:rPr>
        <w:t>（三）土壤普查工作意义</w:t>
      </w:r>
      <w:bookmarkEnd w:id="4"/>
    </w:p>
    <w:p w14:paraId="47735317">
      <w:pPr>
        <w:pStyle w:val="000018"/>
        <w:spacing w:before="156" w:after="156"/>
        <w:ind w:firstLine="480"/>
        <w:rPr>
          <w:rFonts w:eastAsia="宋体" w:cs="Times New Roman"/>
          <w:color w:val="auto"/>
        </w:rPr>
      </w:pPr>
      <w:commentRangeStart w:id="10"/>
      <w:r>
        <w:rPr>
          <w:rFonts w:hint="eastAsia" w:eastAsia="宋体" w:cs="Times New Roman"/>
          <w:color w:val="auto"/>
        </w:rPr>
        <w:t>1、夯实国家粮食安全根基</w:t>
      </w:r>
      <w:commentRangeEnd w:id="10"/>
      <w:r>
        <w:commentReference w:id="10"/>
      </w:r>
    </w:p>
    <w:p w14:paraId="2E47651C">
      <w:pPr>
        <w:ind w:firstLine="480"/>
      </w:pPr>
      <w:r>
        <w:rPr>
          <w:rFonts w:hint="eastAsia"/>
        </w:rPr>
        <w:t>土壤是农业生产的核心资源</w:t>
      </w:r>
      <w:r>
        <w:fldChar w:fldCharType="begin" w:fldLock="0" w:dirty="0"/>
      </w:r>
      <w:r>
        <w:instrText>HYPERLINK "https://www.iarrp.cn/ysdt/mtbd/ed0e3ed3e1104bd38927c78ac978898b.htm" \t "https://chat.deepseek.com/a/chat/s/_blank"</w:instrText>
      </w:r>
      <w:r>
        <w:fldChar w:fldCharType="separate" w:fldLock="0" w:dirty="0"/>
      </w:r>
      <w:r>
        <w:fldChar w:fldCharType="end" w:fldLock="0" w:dirty="0"/>
      </w:r>
      <w:r>
        <w:rPr>
          <w:rFonts w:hint="eastAsia"/>
        </w:rPr>
        <w:t>。第三次全国土壤普查对约110亿亩耕地、园地、林地、草地等农用地和部分未利用地土壤进行取土化验，共采集样点287.2万个，采集样品311万份</w:t>
      </w:r>
      <w:r>
        <w:fldChar w:fldCharType="begin" w:fldLock="0" w:dirty="0"/>
      </w:r>
      <w:r>
        <w:instrText>HYPERLINK "https://www.iarrp.cn/ysdt/mtbd/ed0e3ed3e1104bd38927c78ac978898b.htm" \t "https://chat.deepseek.com/a/chat/s/_blank"</w:instrText>
      </w:r>
      <w:r>
        <w:fldChar w:fldCharType="separate" w:fldLock="0" w:dirty="0"/>
      </w:r>
      <w:r>
        <w:fldChar w:fldCharType="end" w:fldLock="0" w:dirty="0"/>
      </w:r>
      <w:r>
        <w:rPr>
          <w:rFonts w:hint="eastAsia"/>
        </w:rPr>
        <w:t>。普查成果将形成国家、省、市、县四级系列数据，全面掌握我国土壤资源状况，为深入实施</w:t>
      </w:r>
      <w:r>
        <w:rPr>
          <w:rFonts w:hint="eastAsia"/>
        </w:rPr>
        <w:t>“</w:t>
      </w:r>
      <w:r>
        <w:rPr>
          <w:rFonts w:hint="eastAsia"/>
        </w:rPr>
        <w:t>藏粮于地、藏粮于技</w:t>
      </w:r>
      <w:r>
        <w:rPr>
          <w:rFonts w:hint="eastAsia"/>
        </w:rPr>
        <w:t>”</w:t>
      </w:r>
      <w:r>
        <w:rPr>
          <w:rFonts w:hint="eastAsia"/>
        </w:rPr>
        <w:t>战略提供基础支撑</w:t>
      </w:r>
      <w:r>
        <w:fldChar w:fldCharType="begin" w:fldLock="0" w:dirty="0"/>
      </w:r>
      <w:r>
        <w:instrText>HYPERLINK "https://www.iarrp.cn/ysdt/mtbd/9e9af4400e2343c5abf0d3bb41748802.htm" \t "https://chat.deepseek.com/a/chat/s/_blank"</w:instrText>
      </w:r>
      <w:r>
        <w:fldChar w:fldCharType="separate" w:fldLock="0" w:dirty="0"/>
      </w:r>
      <w:r>
        <w:fldChar w:fldCharType="end" w:fldLock="0" w:dirty="0"/>
      </w:r>
      <w:r>
        <w:rPr>
          <w:rFonts w:hint="eastAsia"/>
        </w:rPr>
        <w:t>。</w:t>
      </w:r>
    </w:p>
    <w:p w14:paraId="03FEAF27">
      <w:pPr>
        <w:ind w:firstLine="480"/>
        <w:rPr>
          <w:rFonts w:cs="Times New Roman"/>
        </w:rPr>
      </w:pPr>
      <w:r>
        <w:rPr>
          <w:rFonts w:hint="eastAsia"/>
        </w:rPr>
        <w:t>黄骅市作为产粮大县和盐碱地治理重点区域，普查成果将为旱碱麦产能提升、盐碱地改良利用、高标准农田建设等提供数据支撑，助力将</w:t>
      </w:r>
      <w:r>
        <w:rPr>
          <w:rFonts w:hint="eastAsia"/>
        </w:rPr>
        <w:t>“</w:t>
      </w:r>
      <w:r>
        <w:rPr>
          <w:rFonts w:hint="eastAsia"/>
        </w:rPr>
        <w:t>望天田</w:t>
      </w:r>
      <w:r>
        <w:rPr>
          <w:rFonts w:hint="eastAsia"/>
        </w:rPr>
        <w:t>”</w:t>
      </w:r>
      <w:r>
        <w:rPr>
          <w:rFonts w:hint="eastAsia"/>
        </w:rPr>
        <w:t>变为</w:t>
      </w:r>
      <w:r>
        <w:rPr>
          <w:rFonts w:hint="eastAsia"/>
        </w:rPr>
        <w:t>“</w:t>
      </w:r>
      <w:r>
        <w:rPr>
          <w:rFonts w:hint="eastAsia"/>
        </w:rPr>
        <w:t>高产田</w:t>
      </w:r>
      <w:r>
        <w:rPr>
          <w:rFonts w:hint="eastAsia"/>
        </w:rPr>
        <w:t>”</w:t>
      </w:r>
      <w:r>
        <w:rPr>
          <w:rFonts w:hint="eastAsia"/>
        </w:rPr>
        <w:t>。</w:t>
      </w:r>
    </w:p>
    <w:p w14:paraId="5C9225B0">
      <w:pPr>
        <w:pStyle w:val="000018"/>
        <w:spacing w:before="156" w:after="156"/>
        <w:ind w:firstLine="480"/>
        <w:rPr>
          <w:rFonts w:eastAsia="宋体" w:cs="Times New Roman"/>
          <w:color w:val="auto"/>
        </w:rPr>
      </w:pPr>
      <w:r>
        <w:rPr>
          <w:rFonts w:hint="eastAsia" w:eastAsia="宋体" w:cs="Times New Roman"/>
          <w:color w:val="auto"/>
        </w:rPr>
        <w:t>2、推进盐碱地综合利用</w:t>
      </w:r>
    </w:p>
    <w:p w14:paraId="6DBCA574">
      <w:pPr>
        <w:pStyle w:val="000030"/>
        <w:widowControl w:val="1"/>
        <w:shd w:val="clear" w:color="auto" w:fill="FFFFFF"/>
        <w:ind w:firstLine="480"/>
        <w:rPr>
          <w:rFonts w:cs="Times New Roman"/>
        </w:rPr>
      </w:pPr>
      <w:r>
        <w:rPr>
          <w:rFonts w:hint="eastAsia" w:cs="Times New Roman"/>
        </w:rPr>
        <w:t>盐碱地是我国重要的后备耕地资源。习近平总书记视察沧州时强调，开展盐碱地综合利用是一个战略问题，必须摆上重要位置</w:t>
      </w:r>
      <w:r>
        <w:fldChar w:fldCharType="begin" w:fldLock="0" w:dirty="0"/>
      </w:r>
      <w:r>
        <w:instrText>HYPERLINK "http://czrb.bohaitoday.com/pc/content/202512/30/content_183605.html" \t "https://chat.deepseek.com/a/chat/s/_blank"</w:instrText>
      </w:r>
      <w:r>
        <w:fldChar w:fldCharType="separate" w:fldLock="0" w:dirty="0"/>
      </w:r>
      <w:r>
        <w:fldChar w:fldCharType="end" w:fldLock="0" w:dirty="0"/>
      </w:r>
      <w:r>
        <w:rPr>
          <w:rFonts w:hint="eastAsia" w:cs="Times New Roman"/>
        </w:rPr>
        <w:t>。土壤三普专门安排了盐碱地土壤专题调查</w:t>
      </w:r>
      <w:r>
        <w:fldChar w:fldCharType="begin" w:fldLock="0" w:dirty="0"/>
      </w:r>
      <w:r>
        <w:instrText>HYPERLINK "https://www.iarrp.cn/ysdt/mtbd/ed0e3ed3e1104bd38927c78ac978898b.htm" \t "https://chat.deepseek.com/a/chat/s/_blank"</w:instrText>
      </w:r>
      <w:r>
        <w:fldChar w:fldCharType="separate" w:fldLock="0" w:dirty="0"/>
      </w:r>
      <w:r>
        <w:fldChar w:fldCharType="end" w:fldLock="0" w:dirty="0"/>
      </w:r>
      <w:r>
        <w:rPr>
          <w:rFonts w:hint="eastAsia" w:cs="Times New Roman"/>
        </w:rPr>
        <w:t>，将为全面摸清盐碱地资源状况、分类施策推进盐碱地综合利用提供科学依据。</w:t>
      </w:r>
    </w:p>
    <w:p w14:paraId="79244F25">
      <w:pPr>
        <w:ind w:firstLine="480"/>
      </w:pPr>
      <w:r>
        <w:rPr>
          <w:rFonts w:hint="eastAsia"/>
        </w:rPr>
        <w:t>黄骅市在盐碱地治理方面积累了丰富经验，探索出全链条工作体系</w:t>
      </w:r>
      <w:r>
        <w:fldChar w:fldCharType="begin" w:fldLock="0" w:dirty="0"/>
      </w:r>
      <w:r>
        <w:instrText>HYPERLINK "http://www.he.xinhua.org/20251128/19495475104649159b142e9c2a78df77/c.html" \t "https://chat.deepseek.com/a/chat/s/_blank"</w:instrText>
      </w:r>
      <w:r>
        <w:fldChar w:fldCharType="separate" w:fldLock="0" w:dirty="0"/>
      </w:r>
      <w:r>
        <w:fldChar w:fldCharType="end" w:fldLock="0" w:dirty="0"/>
      </w:r>
      <w:r>
        <w:rPr>
          <w:rFonts w:hint="eastAsia"/>
        </w:rPr>
        <w:t>。土壤普查将系统评估治理成效，为全国盐碱地区提供可复制的技术方案。</w:t>
      </w:r>
    </w:p>
    <w:p w14:paraId="00FD2FF6">
      <w:pPr>
        <w:pStyle w:val="000018"/>
        <w:spacing w:before="156" w:after="156"/>
        <w:ind w:firstLine="480"/>
        <w:rPr>
          <w:rFonts w:eastAsia="宋体" w:cs="Times New Roman"/>
          <w:color w:val="auto"/>
        </w:rPr>
      </w:pPr>
      <w:r>
        <w:rPr>
          <w:rFonts w:hint="eastAsia" w:eastAsia="宋体" w:cs="Times New Roman"/>
          <w:color w:val="auto"/>
        </w:rPr>
        <w:t>3</w:t>
      </w:r>
      <w:r>
        <w:rPr>
          <w:rFonts w:hint="eastAsia" w:eastAsia="宋体" w:cs="Times New Roman"/>
          <w:color w:val="auto"/>
        </w:rPr>
        <w:t>.促进生态文明建设</w:t>
      </w:r>
    </w:p>
    <w:p w14:paraId="0C25AB0A">
      <w:pPr>
        <w:ind w:firstLine="480"/>
        <w:rPr>
          <w:rFonts w:cs="Times New Roman"/>
        </w:rPr>
      </w:pPr>
      <w:r>
        <w:rPr>
          <w:rFonts w:hint="eastAsia" w:cs="Times New Roman"/>
        </w:rPr>
        <w:t>全面掌握耕地、园地、林地、草地的土壤性状，可以有效发挥土壤的生产、环保、生态功能</w:t>
      </w:r>
      <w:r>
        <w:fldChar w:fldCharType="begin" w:fldLock="0" w:dirty="0"/>
      </w:r>
      <w:r>
        <w:instrText>HYPERLINK "https://www.iarrp.cn/ysdt/mtbd/ed0e3ed3e1104bd38927c78ac978898b.htm" \t "https://chat.deepseek.com/a/chat/s/_blank"</w:instrText>
      </w:r>
      <w:r>
        <w:fldChar w:fldCharType="separate" w:fldLock="0" w:dirty="0"/>
      </w:r>
      <w:r>
        <w:fldChar w:fldCharType="end" w:fldLock="0" w:dirty="0"/>
      </w:r>
      <w:r>
        <w:rPr>
          <w:rFonts w:hint="eastAsia" w:cs="Times New Roman"/>
        </w:rPr>
        <w:t>。黄骅市拥有南大港湿地等宝贵的生态资源，湿地面积达7500公顷，是华北地区保存最完好的原生态湿地之一，被列入《世界遗产名录》。土壤普查将为生态保护修复、农业绿色发展提供科学决策依据，助力实现生态改善</w:t>
      </w:r>
      <w:r>
        <w:rPr>
          <w:rFonts w:hint="eastAsia" w:cs="Times New Roman"/>
          <w:szCs w:val="24"/>
        </w:rPr>
        <w:t>与农业发展双赢。</w:t>
      </w:r>
    </w:p>
    <w:p w14:paraId="1C1F5ABB">
      <w:pPr>
        <w:pStyle w:val="000014"/>
        <w:spacing w:before="156" w:after="156"/>
        <w:rPr>
          <w:rFonts w:eastAsia="宋体" w:cs="Times New Roman"/>
          <w:b w:val="1"/>
          <w:bCs w:val="1"/>
          <w:color w:val="auto"/>
        </w:rPr>
      </w:pPr>
      <w:bookmarkStart w:id="5" w:name="_Toc211164719"/>
      <w:r>
        <w:rPr>
          <w:rFonts w:hint="eastAsia" w:eastAsia="宋体" w:cs="Times New Roman"/>
          <w:b w:val="1"/>
          <w:bCs w:val="1"/>
          <w:color w:val="auto"/>
        </w:rPr>
        <w:t>二、土壤普查工作组织情况</w:t>
      </w:r>
      <w:bookmarkEnd w:id="5"/>
    </w:p>
    <w:p w14:paraId="79E86A78">
      <w:pPr>
        <w:pStyle w:val="000016"/>
        <w:spacing w:before="156" w:after="156"/>
        <w:ind w:firstLine="562"/>
        <w:rPr>
          <w:rFonts w:cs="Times New Roman"/>
          <w:color w:val="auto"/>
        </w:rPr>
      </w:pPr>
      <w:bookmarkStart w:id="6" w:name="_Toc211164720"/>
      <w:r>
        <w:rPr>
          <w:rFonts w:hint="eastAsia" w:cs="Times New Roman"/>
          <w:color w:val="auto"/>
        </w:rPr>
        <w:t>（一）工作组织</w:t>
      </w:r>
      <w:bookmarkEnd w:id="6"/>
    </w:p>
    <w:p w14:paraId="64497E6E">
      <w:pPr>
        <w:pStyle w:val="000018"/>
        <w:spacing w:before="156" w:after="156"/>
        <w:ind w:firstLine="480"/>
        <w:rPr>
          <w:rFonts w:eastAsia="宋体" w:cs="Times New Roman"/>
          <w:color w:val="auto"/>
        </w:rPr>
      </w:pPr>
      <w:r>
        <w:rPr>
          <w:rFonts w:hint="eastAsia" w:eastAsia="宋体" w:cs="Times New Roman"/>
          <w:color w:val="auto"/>
        </w:rPr>
        <w:t>1.县级领导小组及办公室组织成立与运行管理</w:t>
      </w:r>
    </w:p>
    <w:p w14:paraId="72843BB7">
      <w:pPr>
        <w:ind w:firstLine="480"/>
        <w:rPr>
          <w:rFonts w:cs="Times New Roman"/>
        </w:rPr>
      </w:pPr>
      <w:r>
        <w:rPr>
          <w:rFonts w:hint="eastAsia" w:cs="Times New Roman"/>
        </w:rPr>
        <w:t>黄骅市在河北省土壤三普工作中承担着特殊使命。2022年，根据国务院土壤三普办公室统一部署，黄骅市被确定为河北省盐碱地调查试点县</w:t>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cs="Times New Roman"/>
        </w:rPr>
        <w:t>。当年10月</w:t>
      </w:r>
      <w:r>
        <w:rPr>
          <w:rFonts w:hint="eastAsia" w:cs="Times New Roman"/>
          <w:szCs w:val="24"/>
          <w:shd w:val="clear" w:color="auto" w:fill="FFFFFF"/>
        </w:rPr>
        <w:t>15日，黄骅市第三次全国土壤普查盐碱地外业调查采样工作正式启动，率先在全省开展盐碱地专项调查</w:t>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cs="Times New Roman"/>
          <w:szCs w:val="24"/>
          <w:shd w:val="clear" w:color="auto" w:fill="FFFFFF"/>
        </w:rPr>
        <w:t>。试点任务主要包括：按照全国统一划定的盐碱地范围，</w:t>
      </w:r>
      <w:r>
        <w:rPr>
          <w:rFonts w:hint="eastAsia" w:cs="Times New Roman"/>
        </w:rPr>
        <w:t>布设盐碱地野外调查样点，采集县域内860个盐碱耕地及荒地土样，通过对样品数据进行分析汇总，编制盐碱地普查报告，对盐碱地利用潜力进行评价</w:t>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cs="Times New Roman"/>
        </w:rPr>
        <w:t>。</w:t>
      </w:r>
    </w:p>
    <w:p w14:paraId="55F3E20D">
      <w:pPr>
        <w:ind w:firstLine="480"/>
        <w:rPr>
          <w:rFonts w:cs="Times New Roman"/>
        </w:rPr>
      </w:pPr>
      <w:r>
        <w:rPr>
          <w:rFonts w:hint="eastAsia" w:cs="Times New Roman"/>
        </w:rPr>
        <w:t>试点工作的顺利完成为2023年全省全面开展土壤普查积累了宝贵经验</w:t>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cs="Times New Roman"/>
        </w:rPr>
        <w:t>。在试点基础上，黄骅市三普办按照国家和省级部署，于2023年全面启动县域内耕地、园地、林地、草地等全部普查任务。</w:t>
      </w:r>
    </w:p>
    <w:p w14:paraId="0833EF42">
      <w:pPr>
        <w:pStyle w:val="000018"/>
        <w:tabs>
          <w:tab w:val="left" w:pos="312"/>
        </w:tabs>
        <w:spacing w:before="156" w:after="156"/>
        <w:ind w:left="480" w:firstLine="0" w:firstLineChars="0"/>
        <w:rPr>
          <w:rFonts w:eastAsia="宋体" w:cs="Times New Roman"/>
          <w:color w:val="auto"/>
        </w:rPr>
      </w:pPr>
      <w:r>
        <w:rPr>
          <w:rFonts w:hint="eastAsia" w:eastAsia="宋体" w:cs="Times New Roman"/>
          <w:color w:val="auto"/>
        </w:rPr>
        <w:t>2.</w:t>
      </w:r>
      <w:r>
        <w:rPr>
          <w:rFonts w:hint="eastAsia" w:eastAsia="宋体" w:cs="Times New Roman"/>
          <w:color w:val="auto"/>
        </w:rPr>
        <w:t>技术支撑与质量控制</w:t>
      </w:r>
    </w:p>
    <w:p w14:paraId="4B6E64FB">
      <w:pPr>
        <w:ind w:firstLine="480"/>
        <w:rPr>
          <w:rFonts w:cs="Times New Roman"/>
        </w:rPr>
      </w:pPr>
      <w:r>
        <w:rPr>
          <w:rFonts w:hint="eastAsia" w:cs="Times New Roman"/>
        </w:rPr>
        <w:t>黄骅市依托省级技术支撑体系，构建了多层级的技术指导网络。在2022年试点工作中，省级专家团队给予了全过程技术支撑</w:t>
      </w:r>
      <w:r>
        <w:rPr>
          <w:rFonts w:hint="eastAsia" w:cs="Times New Roman"/>
        </w:rPr>
        <w:t>。</w:t>
      </w:r>
      <w:r>
        <w:rPr>
          <w:rFonts w:hint="eastAsia" w:cs="Times New Roman"/>
        </w:rPr>
        <w:t>在全面普查阶段，黄骅市三普办继续依托省级专家指导组和技术工作组，负责重大技术疑难问题咨询、指导与技术把关</w:t>
      </w:r>
      <w:r>
        <w:fldChar w:fldCharType="begin" w:fldLock="0" w:dirty="0"/>
      </w:r>
      <w:r>
        <w:instrText>HYPERLINK "https://www.shaanxi.gov.cn/hd/sxzswd/sjzswd/202412/t20241218_3251075.html" \t "https://chat.deepseek.com/a/chat/s/_blank"</w:instrText>
      </w:r>
      <w:r>
        <w:fldChar w:fldCharType="separate" w:fldLock="0" w:dirty="0"/>
      </w:r>
      <w:r>
        <w:fldChar w:fldCharType="end" w:fldLock="0" w:dirty="0"/>
      </w:r>
      <w:r>
        <w:rPr>
          <w:rFonts w:hint="eastAsia" w:cs="Times New Roman"/>
        </w:rPr>
        <w:t>。同时，县级层面组建了技术骨干队伍，与外业采样队形成有效对接。</w:t>
      </w:r>
    </w:p>
    <w:p w14:paraId="6524DF40">
      <w:pPr>
        <w:ind w:firstLine="480"/>
        <w:rPr>
          <w:rFonts w:cs="Times New Roman"/>
        </w:rPr>
      </w:pPr>
      <w:r>
        <w:rPr>
          <w:rFonts w:hint="eastAsia" w:cs="Times New Roman"/>
        </w:rPr>
        <w:t>外业调查采样质控：在采样窗口期，省级专家现场跟队监督，重点检查盐碱土样品的采集深度、混合均匀度及信息填报完整性。2022年试点期间，省级质控对黄骅市外业调查采样进行了资料检查和现场检查</w:t>
      </w:r>
      <w:r>
        <w:fldChar w:fldCharType="begin" w:fldLock="0" w:dirty="0"/>
      </w:r>
      <w:r>
        <w:instrText>HYPERLINK "http://nync.hebei.gov.cn/html/www/zwdt/1631543906995150850.html" \t "https://chat.deepseek.com/a/chat/s/_blank"</w:instrText>
      </w:r>
      <w:r>
        <w:fldChar w:fldCharType="separate" w:fldLock="0" w:dirty="0"/>
      </w:r>
      <w:r>
        <w:fldChar w:fldCharType="end" w:fldLock="0" w:dirty="0"/>
      </w:r>
      <w:r>
        <w:rPr>
          <w:rFonts w:hint="eastAsia" w:cs="Times New Roman"/>
        </w:rPr>
        <w:t>。</w:t>
      </w:r>
    </w:p>
    <w:p w14:paraId="529593EF">
      <w:pPr>
        <w:ind w:firstLine="480"/>
        <w:rPr>
          <w:rFonts w:cs="Times New Roman"/>
        </w:rPr>
      </w:pPr>
      <w:r>
        <w:rPr>
          <w:rFonts w:hint="eastAsia" w:cs="Times New Roman"/>
        </w:rPr>
        <w:t>内业测试化验质控：严格执行密码平行样和质控样的盲样检测机制。2022年试点期间，黄骅市按照市土壤普查办部署，全面开展了内业测试化验县级自验工作，对流程规范性、资料完整性、数据准确性等关键环节进行严格把控</w:t>
      </w:r>
      <w:r>
        <w:fldChar w:fldCharType="begin" w:fldLock="0" w:dirty="0"/>
      </w:r>
      <w:r>
        <w:instrText>HYPERLINK "http://nync.cangzhou.gov.cn/nync/c100687/202508/1fc234c715f846ca937781d0f3e96bd2.shtml" \t "https://chat.deepseek.com/a/chat/s/_blank"</w:instrText>
      </w:r>
      <w:r>
        <w:fldChar w:fldCharType="separate" w:fldLock="0" w:dirty="0"/>
      </w:r>
      <w:r>
        <w:fldChar w:fldCharType="end" w:fldLock="0" w:dirty="0"/>
      </w:r>
      <w:r>
        <w:rPr>
          <w:rFonts w:hint="eastAsia" w:cs="Times New Roman"/>
        </w:rPr>
        <w:t>。</w:t>
      </w:r>
    </w:p>
    <w:p w14:paraId="4F591110">
      <w:pPr>
        <w:ind w:firstLine="480"/>
        <w:rPr>
          <w:rFonts w:cs="Times New Roman"/>
        </w:rPr>
      </w:pPr>
      <w:r>
        <w:rPr>
          <w:rFonts w:hint="eastAsia" w:cs="Times New Roman"/>
        </w:rPr>
        <w:t>数据审核质控：建立</w:t>
      </w:r>
      <w:r>
        <w:rPr>
          <w:rFonts w:hint="eastAsia" w:cs="Times New Roman"/>
        </w:rPr>
        <w:t>“</w:t>
      </w:r>
      <w:r>
        <w:rPr>
          <w:rFonts w:hint="eastAsia" w:cs="Times New Roman"/>
        </w:rPr>
        <w:t>县级初审+省市复核</w:t>
      </w:r>
      <w:r>
        <w:rPr>
          <w:rFonts w:hint="eastAsia" w:cs="Times New Roman"/>
        </w:rPr>
        <w:t>”</w:t>
      </w:r>
      <w:r>
        <w:rPr>
          <w:rFonts w:hint="eastAsia" w:cs="Times New Roman"/>
        </w:rPr>
        <w:t>的审核机制，对土壤盐分、有机质等关键指标进行逻辑关联性审查，确保数据真实可靠</w:t>
      </w:r>
      <w:r>
        <w:fldChar w:fldCharType="begin" w:fldLock="0" w:dirty="0"/>
      </w:r>
      <w:r>
        <w:instrText>HYPERLINK "https://www.shaanxi.gov.cn/hd/sxzswd/sjzswd/202412/t20241218_3251075.html" \t "https://chat.deepseek.com/a/chat/s/_blank"</w:instrText>
      </w:r>
      <w:r>
        <w:fldChar w:fldCharType="separate" w:fldLock="0" w:dirty="0"/>
      </w:r>
      <w:r>
        <w:fldChar w:fldCharType="end" w:fldLock="0" w:dirty="0"/>
      </w:r>
      <w:r>
        <w:rPr>
          <w:rFonts w:hint="eastAsia" w:cs="Times New Roman"/>
        </w:rPr>
        <w:t>。</w:t>
      </w:r>
    </w:p>
    <w:p w14:paraId="26F07977">
      <w:pPr>
        <w:pStyle w:val="000018"/>
        <w:spacing w:before="156" w:after="156"/>
        <w:ind w:firstLine="480"/>
        <w:rPr>
          <w:rFonts w:eastAsia="宋体" w:cs="Times New Roman"/>
          <w:color w:val="auto"/>
        </w:rPr>
      </w:pPr>
      <w:r>
        <w:rPr>
          <w:rFonts w:hint="eastAsia" w:eastAsia="宋体" w:cs="Times New Roman"/>
          <w:color w:val="auto"/>
        </w:rPr>
        <w:t>3.参与单位及第三方遴选（招标）情况</w:t>
      </w:r>
    </w:p>
    <w:p w14:paraId="72709E39">
      <w:pPr>
        <w:ind w:firstLine="480"/>
        <w:rPr>
          <w:rFonts w:cs="Times New Roman"/>
        </w:rPr>
      </w:pPr>
      <w:r>
        <w:rPr>
          <w:rFonts w:hint="eastAsia" w:cs="Times New Roman"/>
        </w:rPr>
        <w:t>黄骅市第三次土壤普查工作涉及外业调查采样、内业测试化验、成果编制等多个环节，参与单位涵盖行政管理、技术支撑、专业检测等多个层面。</w:t>
      </w:r>
    </w:p>
    <w:p w14:paraId="6572E24C">
      <w:pPr>
        <w:ind w:firstLine="480"/>
        <w:rPr>
          <w:rFonts w:cs="Times New Roman"/>
        </w:rPr>
      </w:pPr>
      <w:r>
        <w:rPr>
          <w:rFonts w:hint="eastAsia" w:cs="Times New Roman"/>
        </w:rPr>
        <w:t>在外业调查采样层面，</w:t>
      </w:r>
      <w:r>
        <w:rPr>
          <w:rFonts w:hint="eastAsia" w:cs="Times New Roman"/>
          <w:szCs w:val="24"/>
          <w:shd w:val="clear" w:color="auto" w:fill="FFFFFF"/>
        </w:rPr>
        <w:t>黄骅市盐碱地外业调查采样工作在省、市三普办统一组织下开展，外业调查采样由具备资质的专业单位承担。按照河北省三普工作的总体安排，外业调查采样单位由省级统筹遴选，县级三普办做好配合和后勤保障工作</w:t>
      </w:r>
      <w:r>
        <w:fldChar w:fldCharType="begin" w:fldLock="0" w:dirty="0"/>
      </w:r>
      <w:r>
        <w:instrText>HYPERLINK "https://www.shaanxi.gov.cn/hd/sxzswd/sjzswd/202412/t20241218_3251075.html" \t "https://chat.deepseek.com/a/chat/s/_blank"</w:instrText>
      </w:r>
      <w:r>
        <w:fldChar w:fldCharType="separate" w:fldLock="0" w:dirty="0"/>
      </w:r>
      <w:r>
        <w:fldChar w:fldCharType="end" w:fldLock="0" w:dirty="0"/>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cs="Times New Roman"/>
          <w:szCs w:val="24"/>
          <w:shd w:val="clear" w:color="auto" w:fill="FFFFFF"/>
        </w:rPr>
        <w:t>。外业调查采样过程中，黄骅市农业农村部门组织乡、村基层单位提供调查信息和协助，确保采样工作顺利推进。</w:t>
      </w:r>
    </w:p>
    <w:p w14:paraId="0360658A">
      <w:pPr>
        <w:ind w:firstLine="480"/>
        <w:rPr>
          <w:rFonts w:cs="Times New Roman"/>
          <w:szCs w:val="24"/>
          <w:shd w:val="clear" w:color="auto" w:fill="FFFFFF"/>
        </w:rPr>
      </w:pPr>
      <w:r>
        <w:rPr>
          <w:rFonts w:hint="eastAsia" w:cs="Times New Roman"/>
        </w:rPr>
        <w:t>在内业测试化验层面，</w:t>
      </w:r>
      <w:r>
        <w:rPr>
          <w:rFonts w:hint="eastAsia" w:cs="Times New Roman"/>
          <w:szCs w:val="24"/>
          <w:shd w:val="clear" w:color="auto" w:fill="FFFFFF"/>
        </w:rPr>
        <w:t>黄骅市内业测试化验工作通过公开招标确定服务单位。根据公开采购信息，沧州市第三次土壤普查项目由具备相应资质的检测机构中标承担，该单位承担黄骅市土壤样品的制备、保存、流转及理化性状指标</w:t>
      </w:r>
      <w:commentRangeStart w:id="11"/>
      <w:r>
        <w:rPr>
          <w:rFonts w:hint="eastAsia" w:cs="Times New Roman"/>
          <w:szCs w:val="24"/>
          <w:shd w:val="clear" w:color="auto" w:fill="FFFFFF"/>
        </w:rPr>
        <w:t>检测化验工作，涵盖有机质、pH、盐分、养分等约40余项必测指标</w:t>
      </w:r>
      <w:commentRangeEnd w:id="11"/>
      <w:r>
        <w:rPr>
          <w:rFonts w:cs="Times New Roman"/>
          <w:szCs w:val="24"/>
          <w:shd w:val="clear" w:color="auto" w:fill="FFFFFF"/>
        </w:rPr>
        <w:commentReference w:id="11"/>
      </w:r>
      <w:r>
        <w:rPr>
          <w:rFonts w:hint="eastAsia" w:cs="Times New Roman"/>
          <w:szCs w:val="24"/>
          <w:shd w:val="clear" w:color="auto" w:fill="FFFFFF"/>
        </w:rPr>
        <w:t>。</w:t>
      </w:r>
    </w:p>
    <w:p w14:paraId="24241023">
      <w:pPr>
        <w:ind w:firstLine="480"/>
        <w:rPr>
          <w:rFonts w:cs="Times New Roman"/>
        </w:rPr>
      </w:pPr>
      <w:r>
        <w:rPr>
          <w:rFonts w:hint="eastAsia" w:cs="Times New Roman"/>
        </w:rPr>
        <w:t>在成果编制与专题调查方面，按照国家关于第三次全国土壤普查的部署要求，普查涉及的外业调查采样、内业测试化验、成果编制等工作均由具备相应资质和能力的第三方专业机构承担，通过政府采购方式公开遴选。</w:t>
      </w:r>
    </w:p>
    <w:p w14:paraId="168BE09D">
      <w:pPr>
        <w:pStyle w:val="000016"/>
        <w:spacing w:before="156" w:after="156"/>
        <w:ind w:firstLine="562"/>
        <w:rPr>
          <w:color w:val="auto"/>
        </w:rPr>
      </w:pPr>
      <w:bookmarkStart w:id="7" w:name="_Toc211164724"/>
      <w:r>
        <w:rPr>
          <w:rFonts w:hint="eastAsia"/>
          <w:color w:val="auto"/>
        </w:rPr>
        <w:t>（二）方案编制</w:t>
      </w:r>
      <w:bookmarkEnd w:id="7"/>
    </w:p>
    <w:p w14:paraId="0F34AEF8">
      <w:pPr>
        <w:pStyle w:val="000018"/>
        <w:spacing w:before="156" w:after="156"/>
        <w:ind w:firstLine="480"/>
        <w:rPr>
          <w:color w:val="auto"/>
        </w:rPr>
      </w:pPr>
      <w:bookmarkStart w:id="8" w:name="_Toc211164725"/>
      <w:r>
        <w:rPr>
          <w:rFonts w:hint="eastAsia"/>
          <w:color w:val="auto"/>
        </w:rPr>
        <w:t>1.</w:t>
      </w:r>
      <w:bookmarkEnd w:id="8"/>
      <w:r>
        <w:rPr>
          <w:rFonts w:hint="eastAsia"/>
          <w:color w:val="auto"/>
        </w:rPr>
        <w:t>工作实施方案</w:t>
      </w:r>
    </w:p>
    <w:p w14:paraId="732921F4">
      <w:pPr>
        <w:ind w:firstLine="480"/>
        <w:rPr>
          <w:rFonts w:cs="Times New Roman"/>
        </w:rPr>
      </w:pPr>
      <w:r>
        <w:rPr>
          <w:rFonts w:hint="eastAsia" w:cs="Times New Roman"/>
        </w:rPr>
        <w:t>黄骅市第三次土壤普查工作实施方案在国家和河北省统一安排部署下，由区第三次土壤普查领导小组牵头制定。方案明确了普查工作的基本原则、任务目标、普查内容、时间节点和工作要求，按照编制技术规范、开展外业调查采样、进行内业测试化验、推进数据审核汇总等步骤，确保普查工作规范有序推进。</w:t>
      </w:r>
    </w:p>
    <w:p w14:paraId="0C0880E2">
      <w:pPr>
        <w:ind w:firstLine="480"/>
        <w:rPr>
          <w:rFonts w:cs="Times New Roman"/>
        </w:rPr>
      </w:pPr>
      <w:r>
        <w:rPr>
          <w:rFonts w:hint="eastAsia" w:cs="Times New Roman"/>
        </w:rPr>
        <w:t>主要任务涵盖以下几个方面。一是外业调查采样：</w:t>
      </w:r>
      <w:commentRangeStart w:id="12"/>
      <w:r>
        <w:rPr>
          <w:rFonts w:hint="eastAsia" w:cs="Times New Roman"/>
        </w:rPr>
        <w:t>完成全县预设表层样点和剖面样点的野外调查与样品采集</w:t>
      </w:r>
      <w:commentRangeEnd w:id="12"/>
      <w:r>
        <w:rPr>
          <w:rFonts w:cs="Times New Roman"/>
        </w:rPr>
        <w:commentReference w:id="12"/>
      </w:r>
      <w:r>
        <w:rPr>
          <w:rFonts w:hint="eastAsia" w:cs="Times New Roman"/>
        </w:rPr>
        <w:t>，重点针对盐碱地开展专项采样，确保样点代表性、规范性和可达性。二是内业测试化验：完成土壤样品制备、保存、流转及理化性状指标检测，涵盖有机质、pH、盐分、养分等约40余项必测指标。三是数据审核与成果汇总：建立县、市、省三级数据审核机制，对普查数据进行完整性、规范性和合理性审核，最终形成县级土壤普查数据库、土壤类型图、土壤养分图、盐碱地分布专题图等成果。</w:t>
      </w:r>
    </w:p>
    <w:p w14:paraId="3D451FAA">
      <w:pPr>
        <w:pStyle w:val="000018"/>
        <w:spacing w:before="156" w:after="156"/>
        <w:ind w:firstLine="480"/>
        <w:rPr>
          <w:color w:val="auto"/>
        </w:rPr>
      </w:pPr>
      <w:bookmarkStart w:id="9" w:name="_Toc211164726"/>
      <w:r>
        <w:rPr>
          <w:rFonts w:hint="eastAsia"/>
          <w:color w:val="auto"/>
        </w:rPr>
        <w:t>2.</w:t>
      </w:r>
      <w:bookmarkEnd w:id="9"/>
      <w:r>
        <w:rPr>
          <w:rFonts w:hint="eastAsia"/>
          <w:color w:val="auto"/>
        </w:rPr>
        <w:t>经费预算方案</w:t>
      </w:r>
    </w:p>
    <w:p w14:paraId="1FDC9420">
      <w:pPr>
        <w:ind w:firstLine="480"/>
      </w:pPr>
      <w:r>
        <w:rPr>
          <w:rFonts w:hint="eastAsia" w:ascii="Segoe UI" w:hAnsi="Segoe UI" w:eastAsia="Segoe UI" w:cs="Segoe UI"/>
          <w:szCs w:val="24"/>
          <w:shd w:val="clear" w:color="auto" w:fill="FFFFFF"/>
        </w:rPr>
        <w:t>黄骅市对普查经费实行全过程严格管理：一是专款专用，确保资金用于普查各项任务；二是预算执行调度，按工作进度拨付资金；三是绩效导向，将经费使用与工作质量挂钩，在合同中明确质量控制要求；四是严格监管，确保普查项目资金使用绩效和安全。</w:t>
      </w:r>
    </w:p>
    <w:p w14:paraId="6C2B6185">
      <w:pPr>
        <w:ind w:firstLine="480"/>
      </w:pPr>
      <w:r>
        <w:rPr>
          <w:rFonts w:hint="eastAsia"/>
        </w:rPr>
        <w:t>经费预算范围涵盖土壤普查全链条各环节。经费来源按照“中央财政和地方财政按承担的工作任务分担”的原则统筹安排，黄骅市级财政负责本区域外业调查采样、内业测试化验、质控管理、成果编制等环节的经费保障。经费支出方向主要包括外业调查采样、内业测试化验、质量控制、成果编制四个方面。外业调查采样支出涵盖采样点位布设、采样队伍建设与培训、采样设备购置与维护、采样人员劳务、样品包装与流转及不可预见费用等；内业测试化验支出涵盖样品制备、保存、流转、检测分析等环节；质量控制支出涵盖质控人员培训、现场监督检查、飞行检查、数据审核等；成果编制支出涵盖土壤类型图制作、属性图制作、土壤专题调查、普查报告编写、数据库建设等。预算管理实行全过程绩效管理，预算编制阶段明确绩效目标，预算执行阶段加强监督检查和资金调度，普查结束后及时开展绩效评价，确保财政资金使用效益。</w:t>
      </w:r>
    </w:p>
    <w:p w14:paraId="5749199C">
      <w:pPr>
        <w:pStyle w:val="000018"/>
        <w:spacing w:before="156" w:after="156"/>
        <w:ind w:firstLine="480"/>
        <w:rPr>
          <w:color w:val="auto"/>
        </w:rPr>
      </w:pPr>
      <w:bookmarkStart w:id="10" w:name="_Toc211164727"/>
      <w:r>
        <w:rPr>
          <w:rFonts w:hint="eastAsia"/>
          <w:color w:val="auto"/>
        </w:rPr>
        <w:t>3.</w:t>
      </w:r>
      <w:bookmarkEnd w:id="10"/>
      <w:r>
        <w:rPr>
          <w:rFonts w:hint="eastAsia"/>
          <w:color w:val="auto"/>
        </w:rPr>
        <w:t>质量控制方案</w:t>
      </w:r>
    </w:p>
    <w:p w14:paraId="2A685DE6">
      <w:pPr>
        <w:pStyle w:val="000030"/>
        <w:widowControl w:val="1"/>
        <w:shd w:val="clear" w:color="auto" w:fill="FFFFFF"/>
        <w:ind w:firstLine="480"/>
        <w:rPr>
          <w:rFonts w:ascii="Segoe UI" w:hAnsi="Segoe UI" w:cs="Segoe UI"/>
          <w:szCs w:val="24"/>
          <w:shd w:val="clear" w:color="auto" w:fill="FFFFFF"/>
        </w:rPr>
      </w:pPr>
      <w:r>
        <w:rPr>
          <w:rFonts w:hint="eastAsia" w:ascii="Segoe UI" w:hAnsi="Segoe UI" w:eastAsia="Segoe UI" w:cs="Segoe UI"/>
          <w:szCs w:val="24"/>
          <w:shd w:val="clear" w:color="auto" w:fill="FFFFFF"/>
        </w:rPr>
        <w:t>黄骅市严格执行河北省内业数据审核实施方案，实行县、市、省三级审核制度</w:t>
      </w:r>
      <w:r>
        <w:fldChar w:fldCharType="begin" w:fldLock="0" w:dirty="0"/>
      </w:r>
      <w:r>
        <w:instrText>HYPERLINK "https://nync.hebei.gov.cn/html/www/gdbhjc/gdtzgg/1849266679847952385.html" \t "https://chat.deepseek.com/a/chat/s/_blank"</w:instrText>
      </w:r>
      <w:r>
        <w:fldChar w:fldCharType="separate" w:fldLock="0" w:dirty="0"/>
      </w:r>
      <w:r>
        <w:fldChar w:fldCharType="end" w:fldLock="0" w:dirty="0"/>
      </w:r>
      <w:r>
        <w:rPr>
          <w:rFonts w:hint="eastAsia" w:ascii="Segoe UI" w:hAnsi="Segoe UI" w:eastAsia="Segoe UI" w:cs="Segoe UI"/>
          <w:szCs w:val="24"/>
          <w:shd w:val="clear" w:color="auto" w:fill="FFFFFF"/>
        </w:rPr>
        <w:t>。外业调查采样阶段，质量控制贯穿于样点定位、样品采集、信息填报等各环节。采样队严格按照规范操作，省级专家现场跟队监督，重点检查盐碱土样品的采集深度、混合均匀度及</w:t>
      </w:r>
      <w:commentRangeStart w:id="13"/>
      <w:r>
        <w:rPr>
          <w:rFonts w:hint="eastAsia" w:ascii="Segoe UI" w:hAnsi="Segoe UI" w:eastAsia="Segoe UI" w:cs="Segoe UI"/>
          <w:szCs w:val="24"/>
          <w:shd w:val="clear" w:color="auto" w:fill="FFFFFF"/>
        </w:rPr>
        <w:t>信息填报完整性内业测试化验</w:t>
      </w:r>
      <w:commentRangeEnd w:id="13"/>
      <w:r>
        <w:rPr>
          <w:rFonts w:ascii="Segoe UI" w:hAnsi="Segoe UI" w:eastAsia="Segoe UI" w:cs="Segoe UI"/>
          <w:szCs w:val="24"/>
          <w:shd w:val="clear" w:color="auto" w:fill="FFFFFF"/>
        </w:rPr>
        <w:commentReference w:id="13"/>
      </w:r>
      <w:r>
        <w:rPr>
          <w:rFonts w:hint="eastAsia" w:ascii="Segoe UI" w:hAnsi="Segoe UI" w:eastAsia="Segoe UI" w:cs="Segoe UI"/>
          <w:szCs w:val="24"/>
          <w:shd w:val="clear" w:color="auto" w:fill="FFFFFF"/>
        </w:rPr>
        <w:t>严格执行密码平行样和质控样的盲样检测机制</w:t>
      </w:r>
      <w:r>
        <w:rPr>
          <w:rFonts w:hint="eastAsia" w:ascii="Segoe UI" w:hAnsi="Segoe UI" w:cs="Segoe UI"/>
          <w:szCs w:val="24"/>
          <w:shd w:val="clear" w:color="auto" w:fill="FFFFFF"/>
        </w:rPr>
        <w:t>。</w:t>
      </w:r>
    </w:p>
    <w:p w14:paraId="00E70D6F">
      <w:pPr>
        <w:pStyle w:val="000030"/>
        <w:widowControl w:val="1"/>
        <w:shd w:val="clear" w:color="auto" w:fill="FFFFFF"/>
        <w:ind w:firstLine="480"/>
        <w:rPr>
          <w:rFonts w:cs="Times New Roman"/>
          <w:szCs w:val="24"/>
          <w:shd w:val="clear" w:color="auto" w:fill="FFFFFF"/>
        </w:rPr>
      </w:pPr>
      <w:r>
        <w:rPr>
          <w:rFonts w:hint="eastAsia" w:cs="Times New Roman"/>
          <w:szCs w:val="24"/>
          <w:shd w:val="clear" w:color="auto" w:fill="FFFFFF"/>
        </w:rPr>
        <w:t>黄骅市建立了问题整改闭环管理机制。对国家和省级验收中反馈的问题，建立整改台账，明确责任人和整改时限，确保问题逐项销号。2025年8月，市土壤普查办指导组专程赴黄骅市开展内业验收国家抽验问题整改现场指导工作，确保整改工作顺利推进</w:t>
      </w:r>
      <w:r>
        <w:fldChar w:fldCharType="begin" w:fldLock="0" w:dirty="0"/>
      </w:r>
      <w:r>
        <w:instrText>HYPERLINK "http://nync.cangzhou.gov.cn/nync/c100687/202508/1fc234c715f846ca937781d0f3e96bd2.shtml" \t "https://chat.deepseek.com/a/chat/s/_blank"</w:instrText>
      </w:r>
      <w:r>
        <w:fldChar w:fldCharType="separate" w:fldLock="0" w:dirty="0"/>
      </w:r>
      <w:r>
        <w:fldChar w:fldCharType="end" w:fldLock="0" w:dirty="0"/>
      </w:r>
      <w:r>
        <w:rPr>
          <w:rFonts w:hint="eastAsia" w:cs="Times New Roman"/>
          <w:szCs w:val="24"/>
          <w:shd w:val="clear" w:color="auto" w:fill="FFFFFF"/>
        </w:rPr>
        <w:t>。</w:t>
      </w:r>
    </w:p>
    <w:p w14:paraId="3AFB1CBD">
      <w:pPr>
        <w:pStyle w:val="000030"/>
        <w:widowControl w:val="1"/>
        <w:shd w:val="clear" w:color="auto" w:fill="FFFFFF"/>
        <w:ind w:firstLine="480"/>
        <w:rPr>
          <w:rFonts w:cs="Times New Roman"/>
          <w:szCs w:val="24"/>
          <w:shd w:val="clear" w:color="auto" w:fill="FFFFFF"/>
        </w:rPr>
      </w:pPr>
      <w:r>
        <w:rPr>
          <w:rFonts w:hint="eastAsia" w:cs="Times New Roman"/>
          <w:szCs w:val="24"/>
          <w:shd w:val="clear" w:color="auto" w:fill="FFFFFF"/>
        </w:rPr>
        <w:t>在数据审核过程中，严格执行有关规定，加强数据安全防范，杜绝失泄密问题发生，确保数据绝对安全。审核专家需签订保密承诺书，遵守数据安全规定，不得私自留存未公开的土壤普查数据，不得未经批准公开发表土壤普查成果</w:t>
      </w:r>
      <w:r>
        <w:fldChar w:fldCharType="begin" w:fldLock="0" w:dirty="0"/>
      </w:r>
      <w:r>
        <w:instrText>HYPERLINK "https://nync.hebei.gov.cn/html/www/gdbhjc/gdtzgg/1849266679847952385.html" \t "https://chat.deepseek.com/a/chat/s/_blank"</w:instrText>
      </w:r>
      <w:r>
        <w:fldChar w:fldCharType="separate" w:fldLock="0" w:dirty="0"/>
      </w:r>
      <w:r>
        <w:fldChar w:fldCharType="end" w:fldLock="0" w:dirty="0"/>
      </w:r>
      <w:r>
        <w:rPr>
          <w:rFonts w:hint="eastAsia" w:cs="Times New Roman"/>
          <w:szCs w:val="24"/>
          <w:shd w:val="clear" w:color="auto" w:fill="FFFFFF"/>
        </w:rPr>
        <w:t>。</w:t>
      </w:r>
    </w:p>
    <w:p w14:paraId="4E8A4817">
      <w:pPr>
        <w:pStyle w:val="000016"/>
        <w:spacing w:before="156" w:after="156"/>
        <w:ind w:firstLine="562"/>
        <w:rPr>
          <w:color w:val="auto"/>
        </w:rPr>
      </w:pPr>
      <w:bookmarkStart w:id="11" w:name="_Toc211164733"/>
      <w:r>
        <w:rPr>
          <w:rFonts w:hint="eastAsia"/>
          <w:color w:val="auto"/>
        </w:rPr>
        <w:t>（三）队伍建设</w:t>
      </w:r>
      <w:bookmarkEnd w:id="11"/>
    </w:p>
    <w:p w14:paraId="29FC7FF6">
      <w:pPr>
        <w:pStyle w:val="000018"/>
        <w:spacing w:before="156" w:after="156"/>
        <w:ind w:firstLine="480"/>
        <w:rPr>
          <w:color w:val="auto"/>
        </w:rPr>
      </w:pPr>
      <w:bookmarkStart w:id="12" w:name="_Toc211164734"/>
      <w:r>
        <w:rPr>
          <w:rFonts w:hint="eastAsia"/>
          <w:color w:val="auto"/>
        </w:rPr>
        <w:t>1.外业调查采样队伍建设与运行</w:t>
      </w:r>
      <w:bookmarkEnd w:id="12"/>
    </w:p>
    <w:p w14:paraId="56C5BF88">
      <w:pPr>
        <w:ind w:firstLine="480"/>
      </w:pPr>
      <w:commentRangeStart w:id="14"/>
      <w:bookmarkStart w:id="13" w:name="_Toc211164735"/>
      <w:r>
        <w:rPr>
          <w:rFonts w:hint="eastAsia"/>
        </w:rPr>
        <w:t>外业调查采样队伍省级统一遴选的具备资质的专业采样</w:t>
      </w:r>
      <w:r>
        <w:rPr>
          <w:rFonts w:hint="eastAsia"/>
        </w:rPr>
        <w:t>人员组成</w:t>
      </w:r>
      <w:commentRangeEnd w:id="14"/>
      <w:r>
        <w:commentReference w:id="14"/>
      </w:r>
      <w:r>
        <w:rPr>
          <w:rFonts w:hint="eastAsia"/>
        </w:rPr>
        <w:t>，该队伍需具备土壤学专业背景，技术领队须持有国家或省级三普外业培训合格证书。具体到黄骅市试点任务，按照国务院土壤三普办公室统一划定的盐碱地范围，布设盐碱地野外调查样点，采集县域内860个盐碱耕地及荒地土样</w:t>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rPr>
        <w:t>。</w:t>
      </w:r>
    </w:p>
    <w:p w14:paraId="7B51A2F6">
      <w:pPr>
        <w:ind w:firstLine="480"/>
      </w:pPr>
      <w:r>
        <w:rPr>
          <w:rFonts w:hint="eastAsia"/>
        </w:rPr>
        <w:t>采样过程中，外业调查采样队严格按照技术规范操作，重点针对盐碱地开展专项采样。黄骅市农业农村部门组织乡、村基层单位提前部署、准备，提供调查信息和帮助，协助外业调查单位开展采样工作</w:t>
      </w:r>
      <w:r>
        <w:fldChar w:fldCharType="begin" w:fldLock="0" w:dirty="0"/>
      </w:r>
      <w:r>
        <w:instrText>HYPERLINK "http://nync.hebei.gov.cn/html/www/gdbhjc/trsp/1584491227597176833.html" \t "https://chat.deepseek.com/a/chat/s/_blank"</w:instrText>
      </w:r>
      <w:r>
        <w:fldChar w:fldCharType="separate" w:fldLock="0" w:dirty="0"/>
      </w:r>
      <w:r>
        <w:fldChar w:fldCharType="end" w:fldLock="0" w:dirty="0"/>
      </w:r>
      <w:r>
        <w:rPr>
          <w:rFonts w:hint="eastAsia"/>
        </w:rPr>
        <w:t>。这种</w:t>
      </w:r>
      <w:r>
        <w:rPr>
          <w:rFonts w:hint="eastAsia"/>
        </w:rPr>
        <w:t>“</w:t>
      </w:r>
      <w:r>
        <w:rPr>
          <w:rFonts w:hint="eastAsia"/>
        </w:rPr>
        <w:t>专业队伍+本地农技</w:t>
      </w:r>
      <w:r>
        <w:rPr>
          <w:rFonts w:hint="eastAsia"/>
        </w:rPr>
        <w:t>”</w:t>
      </w:r>
      <w:r>
        <w:rPr>
          <w:rFonts w:hint="eastAsia"/>
        </w:rPr>
        <w:t>的协作模式，既保证了采样技术的规范性，又发挥了基层人员熟悉地形地貌、便于沟通农户的优势。</w:t>
      </w:r>
    </w:p>
    <w:p w14:paraId="05E5C06A">
      <w:pPr>
        <w:pStyle w:val="000018"/>
        <w:spacing w:before="156" w:after="156"/>
        <w:ind w:firstLine="480"/>
        <w:rPr>
          <w:color w:val="auto"/>
        </w:rPr>
      </w:pPr>
      <w:r>
        <w:rPr>
          <w:rFonts w:hint="eastAsia"/>
          <w:color w:val="auto"/>
        </w:rPr>
        <w:t>2.内业调查化验队伍建设与运行</w:t>
      </w:r>
      <w:bookmarkEnd w:id="13"/>
    </w:p>
    <w:p w14:paraId="5A135E86">
      <w:pPr>
        <w:ind w:firstLine="480"/>
      </w:pPr>
      <w:bookmarkStart w:id="14" w:name="_Toc211164736"/>
      <w:r>
        <w:rPr>
          <w:rFonts w:hint="eastAsia"/>
        </w:rPr>
        <w:t>黄骅市内业测试化验工作按照</w:t>
      </w:r>
      <w:r>
        <w:rPr>
          <w:rFonts w:hint="eastAsia"/>
        </w:rPr>
        <w:t>“</w:t>
      </w:r>
      <w:r>
        <w:rPr>
          <w:rFonts w:hint="eastAsia"/>
        </w:rPr>
        <w:t>制检分离</w:t>
      </w:r>
      <w:r>
        <w:rPr>
          <w:rFonts w:hint="eastAsia"/>
        </w:rPr>
        <w:t>”</w:t>
      </w:r>
      <w:r>
        <w:rPr>
          <w:rFonts w:hint="eastAsia"/>
        </w:rPr>
        <w:t>原则组织实施。样品制备与样品检测由不同的实验室分别承担，以保障检测结果的客观公正。检测实验室须从全国土壤普查办公布的检测实验室名录中确定，具备相应的检测资质和技术能力。</w:t>
      </w:r>
    </w:p>
    <w:p w14:paraId="341E277A">
      <w:pPr>
        <w:ind w:firstLine="480"/>
      </w:pPr>
      <w:r>
        <w:rPr>
          <w:rFonts w:hint="eastAsia"/>
        </w:rPr>
        <w:t>根据招标采购信息，沧州市第三次土壤普查项目由具备相应资质的检测机构中标承担，该单位承担黄骅市土壤样品的制备、保存、流转及理化性状指标检测化验工作。</w:t>
      </w:r>
    </w:p>
    <w:p w14:paraId="03DD4346">
      <w:pPr>
        <w:pStyle w:val="000030"/>
        <w:widowControl w:val="1"/>
        <w:shd w:val="clear" w:color="auto" w:fill="FFFFFF"/>
        <w:ind w:firstLine="480"/>
        <w:rPr>
          <w:rFonts w:ascii="Segoe UI" w:hAnsi="Segoe UI" w:eastAsia="Segoe UI" w:cs="Segoe UI"/>
          <w:szCs w:val="24"/>
        </w:rPr>
      </w:pPr>
      <w:r>
        <w:rPr>
          <w:rFonts w:hint="eastAsia" w:ascii="Segoe UI" w:hAnsi="Segoe UI" w:eastAsia="Segoe UI" w:cs="Segoe UI"/>
          <w:szCs w:val="24"/>
          <w:shd w:val="clear" w:color="auto" w:fill="FFFFFF"/>
        </w:rPr>
        <w:t>样品流转方面，外业采样队采集的土壤样品经统一流转后送达样品制备实验室。省级质量控制实验室负责质控样品、密码平行样品的添加和样品的转码，将制备好的样品转码后分发至检测实验室。检测数据及时录入土壤普查工作平台，按要求上报。黄骅市按照市土壤普查办部署，全面开展了内业测试化验县级自验工作，对流程规范性、资料完整性、数据准确性等关键环节进行严格把控。</w:t>
      </w:r>
    </w:p>
    <w:p w14:paraId="5A6A80A3">
      <w:pPr>
        <w:pStyle w:val="000018"/>
        <w:spacing w:before="156" w:after="156"/>
        <w:ind w:firstLine="480"/>
        <w:rPr>
          <w:color w:val="auto"/>
        </w:rPr>
      </w:pPr>
      <w:r>
        <w:rPr>
          <w:rFonts w:hint="eastAsia"/>
          <w:color w:val="auto"/>
        </w:rPr>
        <w:t>3.专家技术指导队伍建设与运行</w:t>
      </w:r>
      <w:bookmarkEnd w:id="14"/>
    </w:p>
    <w:p w14:paraId="42D5CD7F">
      <w:pPr>
        <w:ind w:firstLine="480"/>
      </w:pPr>
      <w:r>
        <w:rPr>
          <w:rFonts w:hint="eastAsia"/>
        </w:rPr>
        <w:t>黄骅市专家技术指导队伍依托省、市两级专家力量，建立了多层次的技术支撑体系。省级层面，河北农业大学多位土壤学专家直接参与技术指导工作。市级层面，市三普办联合河北农业大学组建专家技术指导组，</w:t>
      </w:r>
      <w:commentRangeStart w:id="15"/>
      <w:r>
        <w:rPr>
          <w:rFonts w:hint="eastAsia"/>
        </w:rPr>
        <w:t>邀请专家团队深入各县开展实地技术指导</w:t>
      </w:r>
      <w:commentRangeEnd w:id="15"/>
      <w:r>
        <w:rPr>
          <w:rFonts w:hint="eastAsia"/>
        </w:rPr>
        <w:commentReference w:id="15"/>
      </w:r>
      <w:r>
        <w:rPr>
          <w:rFonts w:hint="eastAsia"/>
        </w:rPr>
        <w:t>，对土壤边界制图、数据审核等工作进行详细讲解和专题培训。</w:t>
      </w:r>
    </w:p>
    <w:p w14:paraId="1F396AA3">
      <w:pPr>
        <w:pStyle w:val="000016"/>
        <w:spacing w:before="156" w:after="156"/>
        <w:ind w:firstLine="562"/>
        <w:rPr>
          <w:color w:val="auto"/>
        </w:rPr>
      </w:pPr>
      <w:bookmarkStart w:id="15" w:name="_Toc211164737"/>
      <w:r>
        <w:rPr>
          <w:rFonts w:hint="eastAsia"/>
          <w:color w:val="auto"/>
        </w:rPr>
        <w:t>（四）技术指导</w:t>
      </w:r>
      <w:bookmarkEnd w:id="15"/>
    </w:p>
    <w:p w14:paraId="78BCBF76">
      <w:pPr>
        <w:pStyle w:val="000018"/>
        <w:spacing w:before="156" w:after="156"/>
        <w:ind w:firstLine="480"/>
        <w:rPr>
          <w:color w:val="auto"/>
        </w:rPr>
      </w:pPr>
      <w:r>
        <w:rPr>
          <w:rFonts w:hint="eastAsia"/>
          <w:color w:val="auto"/>
        </w:rPr>
        <w:t>1、专家技术指导组建设与运行</w:t>
      </w:r>
    </w:p>
    <w:p w14:paraId="7C0A004F">
      <w:pPr>
        <w:pStyle w:val="000030"/>
        <w:widowControl w:val="1"/>
        <w:shd w:val="clear" w:color="auto" w:fill="FFFFFF"/>
        <w:ind w:firstLine="480"/>
        <w:rPr>
          <w:rFonts w:ascii="Segoe UI" w:hAnsi="Segoe UI" w:eastAsia="Segoe UI" w:cs="Segoe UI"/>
          <w:szCs w:val="24"/>
          <w:shd w:val="clear" w:color="auto" w:fill="FFFFFF"/>
        </w:rPr>
      </w:pPr>
      <w:r>
        <w:rPr>
          <w:rFonts w:hint="eastAsia" w:ascii="Segoe UI" w:hAnsi="Segoe UI" w:eastAsia="Segoe UI" w:cs="Segoe UI"/>
          <w:szCs w:val="24"/>
          <w:shd w:val="clear" w:color="auto" w:fill="FFFFFF"/>
        </w:rPr>
        <w:t>黄骅市依托国家和省级技术资源，构建了多层次的专家指导体系。根据公开信息，参与黄骅市三普技术指导的专家团队主要包括省级质控专家、高校技术专家、市级技术骨干和县级技术队伍四个层级：省级质控专家：第三次全国土壤普查外业调查采样质量监督检查专家、省耕地质量监测保护中心首席专家吕英华，负责外业调查采样的质量监督与检查，对黄骅市试点工作提出明确要求，强调必须做好外业调查采样基础性工作</w:t>
      </w:r>
      <w:r>
        <w:fldChar w:fldCharType="begin" w:fldLock="0" w:dirty="0"/>
      </w:r>
      <w:r>
        <w:instrText>HYPERLINK "http://nync.cangzhou.gov.cn/nync/c100687/202508/1fc234c715f846ca937781d0f3e96bd2.shtml" \t "https://chat.deepseek.com/a/chat/s/_blank"</w:instrText>
      </w:r>
      <w:r>
        <w:fldChar w:fldCharType="separate" w:fldLock="0" w:dirty="0"/>
      </w:r>
      <w:r>
        <w:fldChar w:fldCharType="end" w:fldLock="0" w:dirty="0"/>
      </w:r>
      <w:r>
        <w:rPr>
          <w:rFonts w:hint="eastAsia" w:ascii="Segoe UI" w:hAnsi="Segoe UI" w:eastAsia="Segoe UI" w:cs="Segoe UI"/>
          <w:szCs w:val="24"/>
          <w:shd w:val="clear" w:color="auto" w:fill="FFFFFF"/>
        </w:rPr>
        <w:t>。</w:t>
      </w:r>
    </w:p>
    <w:p w14:paraId="26BACD03">
      <w:pPr>
        <w:pStyle w:val="000030"/>
        <w:widowControl w:val="1"/>
        <w:shd w:val="clear" w:color="auto" w:fill="FFFFFF"/>
        <w:ind w:firstLine="480"/>
      </w:pPr>
      <w:r>
        <w:rPr>
          <w:rFonts w:hint="eastAsia"/>
        </w:rPr>
        <w:t>黄骅市在落实省、市技术指导的基础上，积极构建本级技术支撑力量。区三普办配备了专职技术负责人，牵头负责全区土壤普查技术层面的统筹协调。在国家、省、市三级专家组联合指导下，外业调查采样期间，省、国家质控专家曾到黄骅市指导外业调查与采样工作。省三普办外业组带队到黄骅市督导检查三普外业采样工作，对采样点位校核、信息采集、样品处理等环节进行了现场指导。专家技术指导贯穿普查全过程，从外业采样到内业检测再到成果编制，持续提供咨询与审核把关。市三普办明确要求联合专家技术指导组深入一线，督导工作进展情况，发现问题及时解决，坚决避免影响土壤普查工作的进度和质量。</w:t>
      </w:r>
    </w:p>
    <w:p w14:paraId="6757BEBC">
      <w:pPr>
        <w:pStyle w:val="000018"/>
        <w:spacing w:before="156" w:after="156"/>
        <w:ind w:firstLine="480"/>
        <w:rPr>
          <w:color w:val="auto"/>
        </w:rPr>
      </w:pPr>
      <w:r>
        <w:rPr>
          <w:rFonts w:hint="eastAsia"/>
          <w:color w:val="auto"/>
        </w:rPr>
        <w:t>2、科研教学推广体系参与技术指导服务</w:t>
      </w:r>
    </w:p>
    <w:p w14:paraId="2C3D198D">
      <w:pPr>
        <w:pStyle w:val="000030"/>
        <w:widowControl w:val="1"/>
        <w:shd w:val="clear" w:color="auto" w:fill="FFFFFF"/>
        <w:ind w:firstLine="480"/>
      </w:pPr>
      <w:r>
        <w:rPr>
          <w:rFonts w:hint="eastAsia"/>
        </w:rPr>
        <w:t>高校科研院所是黄骅市土壤普查技术支撑的重要力量。</w:t>
      </w:r>
      <w:r>
        <w:rPr>
          <w:rFonts w:hint="eastAsia"/>
        </w:rPr>
        <w:t>河北农业大学资环学院作为外业调查质量控制单位，为黄骅市土壤普查提供了全过程的技术支撑。该学院依托土壤学专业优势，派出具有丰富野外调查经验的教授团队，在技术方案优化、现场操作规范、数据质量审核等方面提供专业指导。</w:t>
      </w:r>
    </w:p>
    <w:p w14:paraId="3F09F53D">
      <w:pPr>
        <w:pStyle w:val="000030"/>
        <w:widowControl w:val="1"/>
        <w:shd w:val="clear" w:color="auto" w:fill="FFFFFF"/>
        <w:ind w:firstLine="480"/>
      </w:pPr>
      <w:r>
        <w:rPr>
          <w:rFonts w:hint="eastAsia"/>
        </w:rPr>
        <w:t>在技术方案层面，高校专家结合黄骅市滨海盐碱地的特点，对盐碱土样品的采集方法、盐分测定指标的选择等技术细节进行了优化完善。在现场操作层面，专家手把手指导采样人员掌握采样深度控制、混合均匀度把握等关键操作要领。在数据审核层面，专家依托普查工作平台，对上报数据进行逻辑关联性审查，确保数据真实可靠。</w:t>
      </w:r>
    </w:p>
    <w:p w14:paraId="7C11F5C8">
      <w:pPr>
        <w:pStyle w:val="000018"/>
        <w:spacing w:before="156" w:after="156"/>
        <w:ind w:firstLine="480"/>
        <w:rPr>
          <w:color w:val="auto"/>
        </w:rPr>
      </w:pPr>
      <w:r>
        <w:rPr>
          <w:rFonts w:hint="eastAsia"/>
          <w:color w:val="auto"/>
        </w:rPr>
        <w:t>3、技术咨询答疑与现场指导</w:t>
      </w:r>
    </w:p>
    <w:p w14:paraId="580EE494">
      <w:pPr>
        <w:ind w:firstLine="480"/>
      </w:pPr>
      <w:r>
        <w:rPr>
          <w:rFonts w:hint="eastAsia" w:ascii="Segoe UI" w:hAnsi="Segoe UI" w:eastAsia="Segoe UI" w:cs="Segoe UI"/>
          <w:szCs w:val="24"/>
          <w:shd w:val="clear" w:color="auto" w:fill="FFFFFF"/>
        </w:rPr>
        <w:t>依托河北省第三次土壤普查工作平台</w:t>
      </w:r>
      <w:r>
        <w:rPr>
          <w:rFonts w:hint="eastAsia" w:ascii="Segoe UI" w:hAnsi="Segoe UI" w:cs="Segoe UI"/>
          <w:szCs w:val="24"/>
          <w:shd w:val="clear" w:color="auto" w:fill="FFFFFF"/>
        </w:rPr>
        <w:t>，</w:t>
      </w:r>
      <w:r>
        <w:rPr>
          <w:rFonts w:hint="eastAsia" w:ascii="Segoe UI" w:hAnsi="Segoe UI" w:eastAsia="Segoe UI" w:cs="Segoe UI"/>
          <w:szCs w:val="24"/>
          <w:shd w:val="clear" w:color="auto" w:fill="FFFFFF"/>
        </w:rPr>
        <w:t>建立了三级响应链条。当采样队遇到特殊土壤类型识别、障碍层次判断、或因地下水位过高无法挖掘剖面等问题时，可通过手持终端实时拍照、录像并上传，省级或国家级专家在后台</w:t>
      </w:r>
      <w:r>
        <w:rPr>
          <w:rFonts w:hint="eastAsia" w:ascii="Segoe UI" w:hAnsi="Segoe UI" w:cs="Segoe UI"/>
          <w:szCs w:val="24"/>
          <w:shd w:val="clear" w:color="auto" w:fill="FFFFFF"/>
        </w:rPr>
        <w:t>，</w:t>
      </w:r>
      <w:r>
        <w:rPr>
          <w:rFonts w:hint="eastAsia" w:ascii="Segoe UI" w:hAnsi="Segoe UI" w:eastAsia="Segoe UI" w:cs="Segoe UI"/>
          <w:szCs w:val="24"/>
          <w:shd w:val="clear" w:color="auto" w:fill="FFFFFF"/>
        </w:rPr>
        <w:t>通过视频连线进行远程指导，极大提升了采样效率。</w:t>
      </w:r>
      <w:r>
        <w:rPr>
          <w:rFonts w:hint="eastAsia"/>
        </w:rPr>
        <w:t>在培训答疑方面，沧州市三普办先后组织召开了全市第三次土壤普查推进及培训会议及外业调查采样实操培训会议，对全市三普工作进行安排部署，并对外业采样单位进行了实操培训考试。在每次推进会和培训会上，专家针对数据审核、边界踏勘、制图等技术难点进行现场授课，并对各作业单位关于技术方面的工作开展情况进行点评及现场答疑。</w:t>
      </w:r>
    </w:p>
    <w:p w14:paraId="4E63E366">
      <w:pPr>
        <w:ind w:firstLine="480"/>
      </w:pPr>
      <w:r>
        <w:rPr>
          <w:rFonts w:hint="eastAsia"/>
        </w:rPr>
        <w:t>在成果编制答疑方面，河北省通过组织专家撰写成果材料提交说明、召开专题解读答疑会议等方式，进一步细化和明确成果目录结构、数据格式等要求，保障成果编制质量。在普查中后期，河北省还组织专家深入实验室开展样品检测技术督导与现场答疑，对检测单位提出的问题进行现场解答，督促检测单位严格按照质量控制规程操作。普查各环节的技术咨询和答疑工作有效保障了技术规范的统一执行和普查数据的准确可靠。</w:t>
      </w:r>
    </w:p>
    <w:p w14:paraId="69178D87">
      <w:pPr>
        <w:pStyle w:val="000016"/>
        <w:spacing w:before="156" w:after="156"/>
        <w:ind w:firstLine="562"/>
        <w:rPr>
          <w:color w:val="auto"/>
        </w:rPr>
      </w:pPr>
      <w:commentRangeStart w:id="16"/>
      <w:bookmarkStart w:id="16" w:name="_Toc211164739"/>
      <w:r>
        <w:rPr>
          <w:rFonts w:hint="eastAsia"/>
          <w:color w:val="auto"/>
        </w:rPr>
        <w:t>（五）宣传工作</w:t>
      </w:r>
      <w:commentRangeEnd w:id="16"/>
      <w:bookmarkEnd w:id="16"/>
      <w:r>
        <w:commentReference w:id="16"/>
      </w:r>
    </w:p>
    <w:p w14:paraId="479D6D34">
      <w:pPr>
        <w:ind w:firstLine="480"/>
      </w:pPr>
      <w:r>
        <w:rPr>
          <w:rFonts w:hint="eastAsia"/>
        </w:rPr>
        <w:t>黄骅市在第三次全国土壤普查工作中，宣传工作紧密围绕“查清盐碱地资源状况”这一核心任务展开，重点结合了习近平总书记在2023年5月视察黄骅时关于“做好盐碱地特色农业”的重要指示精神。</w:t>
      </w:r>
    </w:p>
    <w:p w14:paraId="7D7332B6">
      <w:pPr>
        <w:ind w:firstLine="480"/>
      </w:pPr>
      <w:r>
        <w:rPr>
          <w:rFonts w:hint="eastAsia"/>
        </w:rPr>
        <w:t>在传统媒体宣传方面，</w:t>
      </w:r>
      <w:r>
        <w:rPr>
          <w:rFonts w:hint="eastAsia"/>
        </w:rPr>
        <w:t>传统媒体主要承担了政策权威发布、成果深度解读以及典型经验报道的角色，侧重通过官方渠道建立公信力。</w:t>
      </w:r>
      <w:commentRangeStart w:id="17"/>
      <w:r>
        <w:rPr>
          <w:rFonts w:hint="eastAsia"/>
        </w:rPr>
        <w:t>高层引领与政策背景宣传：</w:t>
      </w:r>
      <w:commentRangeEnd w:id="17"/>
      <w:r>
        <w:commentReference w:id="17"/>
      </w:r>
      <w:r>
        <w:rPr>
          <w:rFonts w:hint="eastAsia"/>
        </w:rPr>
        <w:t xml:space="preserve"> </w:t>
      </w:r>
      <w:r>
        <w:rPr>
          <w:rFonts w:hint="eastAsia"/>
        </w:rPr>
        <w:t>重点宣传了国家领导人视察黄骅旱碱地麦田的背景。报道不局限于简单的会议通知，而是将三普工作提升到</w:t>
      </w:r>
      <w:r>
        <w:rPr>
          <w:rFonts w:hint="eastAsia"/>
        </w:rPr>
        <w:t>“</w:t>
      </w:r>
      <w:r>
        <w:rPr>
          <w:rFonts w:hint="eastAsia"/>
        </w:rPr>
        <w:t>盐碱地综合利用</w:t>
      </w:r>
      <w:r>
        <w:rPr>
          <w:rFonts w:hint="eastAsia"/>
        </w:rPr>
        <w:t>”</w:t>
      </w:r>
      <w:r>
        <w:rPr>
          <w:rFonts w:hint="eastAsia"/>
        </w:rPr>
        <w:t>和</w:t>
      </w:r>
      <w:r>
        <w:rPr>
          <w:rFonts w:hint="eastAsia"/>
        </w:rPr>
        <w:t>“</w:t>
      </w:r>
      <w:r>
        <w:rPr>
          <w:rFonts w:hint="eastAsia"/>
        </w:rPr>
        <w:t>做好特色农业大文章</w:t>
      </w:r>
      <w:r>
        <w:rPr>
          <w:rFonts w:hint="eastAsia"/>
        </w:rPr>
        <w:t>”</w:t>
      </w:r>
      <w:r>
        <w:rPr>
          <w:rFonts w:hint="eastAsia"/>
        </w:rPr>
        <w:t> 的战略高度，阐明了普查工作对国家粮食安全和耕地质量提升的长远意义</w:t>
      </w:r>
      <w:r>
        <w:fldChar w:fldCharType="begin" w:fldLock="0" w:dirty="0"/>
      </w:r>
      <w:r>
        <w:instrText>HYPERLINK "https://news.ntv.cn/content/1/214/991214619.html" \t "https://chat.deepseek.com/a/chat/s/_blank"</w:instrText>
      </w:r>
      <w:r>
        <w:fldChar w:fldCharType="separate" w:fldLock="0" w:dirty="0"/>
      </w:r>
      <w:r>
        <w:fldChar w:fldCharType="end" w:fldLock="0" w:dirty="0"/>
      </w:r>
      <w:r>
        <w:rPr>
          <w:rFonts w:hint="eastAsia"/>
        </w:rPr>
        <w:t>。专项进展与数据发布：利用传统媒体的严谨性，发布了关于盐碱地土壤专项普查的具体技术细节和时间节点。</w:t>
      </w:r>
    </w:p>
    <w:p w14:paraId="476D739E">
      <w:pPr>
        <w:ind w:firstLine="480"/>
      </w:pPr>
      <w:r>
        <w:rPr>
          <w:rFonts w:hint="eastAsia"/>
        </w:rPr>
        <w:t>在新媒体宣传方面，</w:t>
      </w:r>
      <w:r>
        <w:rPr>
          <w:rFonts w:hint="eastAsia"/>
        </w:rPr>
        <w:t>新媒体渠道在</w:t>
      </w:r>
      <w:r>
        <w:rPr>
          <w:rFonts w:hint="eastAsia"/>
        </w:rPr>
        <w:t>“</w:t>
      </w:r>
      <w:r>
        <w:rPr>
          <w:rFonts w:hint="eastAsia"/>
        </w:rPr>
        <w:t>三普</w:t>
      </w:r>
      <w:r>
        <w:rPr>
          <w:rFonts w:hint="eastAsia"/>
        </w:rPr>
        <w:t>”</w:t>
      </w:r>
      <w:r>
        <w:rPr>
          <w:rFonts w:hint="eastAsia"/>
        </w:rPr>
        <w:t>宣传中主要发挥快速响应、碎片化传播和可视化的优势，侧重于扩大受众覆盖面及增强互动性。借助权威平台的内容分发：虽然具体的新媒体账号运维细节未详细披露，但相关报道显示，传统媒体的深度内容</w:t>
      </w:r>
      <w:r>
        <w:rPr>
          <w:rFonts w:hint="eastAsia"/>
        </w:rPr>
        <w:t>，</w:t>
      </w:r>
      <w:r>
        <w:rPr>
          <w:rFonts w:hint="eastAsia"/>
        </w:rPr>
        <w:t>通过农视网等具有官方背景的新媒体矩阵进行二次加工和分发。</w:t>
      </w:r>
    </w:p>
    <w:p w14:paraId="4CF945D8">
      <w:pPr>
        <w:pStyle w:val="000016"/>
        <w:spacing w:before="156" w:after="156"/>
        <w:ind w:firstLine="562"/>
        <w:rPr>
          <w:color w:val="auto"/>
        </w:rPr>
      </w:pPr>
      <w:bookmarkStart w:id="17" w:name="_Toc211164740"/>
      <w:r>
        <w:rPr>
          <w:rFonts w:hint="eastAsia"/>
          <w:color w:val="auto"/>
        </w:rPr>
        <w:t>（六）保障情况</w:t>
      </w:r>
      <w:bookmarkEnd w:id="17"/>
    </w:p>
    <w:p w14:paraId="11F95A52">
      <w:pPr>
        <w:ind w:firstLine="480"/>
      </w:pPr>
      <w:r>
        <w:rPr>
          <w:rFonts w:hint="eastAsia"/>
        </w:rPr>
        <w:t>黄骅市按照“党政同责、政府主导、部门协同、分级负责、各方参与”的要求成立第三次土壤普查领导小组及办公室，区政府分管负责同志任组长，区农业农村局主要负责同志任副组长，农业农村局、自然资源和规划局、发改局、财政局、生态环境分局等部门负责同志为成员，统筹重大问题的研究决策。领导小组办公室设在区农业农村局，建立分工明确、责任到人的运行机制，制定实施方案并按统一时间节点推进。黄骅市在沧州市三普工作推进会上作经验交流发言，外业采样任务如期圆满完成，目前正处于成果编制攻坚阶段。</w:t>
      </w:r>
    </w:p>
    <w:p w14:paraId="260AB004">
      <w:pPr>
        <w:ind w:firstLine="480"/>
      </w:pPr>
      <w:r>
        <w:rPr>
          <w:rFonts w:hint="eastAsia"/>
        </w:rPr>
        <w:t>黄骅市立足技术需求，分层分类开展系统培训。外业采样启动前，参加市三普办组织的推进及培训会议，邀请河北农业大学、河北地质实验测试中心专家围绕土壤边界制图、内业数据审核进行专题讲解。</w:t>
      </w:r>
    </w:p>
    <w:p w14:paraId="030F5416">
      <w:pPr>
        <w:pStyle w:val="000014"/>
        <w:spacing w:before="156" w:after="156"/>
        <w:rPr>
          <w:color w:val="auto"/>
        </w:rPr>
      </w:pPr>
      <w:bookmarkStart w:id="18" w:name="_Toc211164741"/>
      <w:r>
        <w:rPr>
          <w:rFonts w:hint="eastAsia"/>
          <w:color w:val="auto"/>
        </w:rPr>
        <w:t>三、普查任务实施</w:t>
      </w:r>
      <w:bookmarkEnd w:id="18"/>
    </w:p>
    <w:p w14:paraId="7E19802B">
      <w:pPr>
        <w:pStyle w:val="000016"/>
        <w:spacing w:before="156" w:after="156"/>
        <w:ind w:firstLine="562"/>
        <w:rPr>
          <w:color w:val="auto"/>
        </w:rPr>
      </w:pPr>
      <w:bookmarkStart w:id="19" w:name="_Toc211164742"/>
      <w:r>
        <w:rPr>
          <w:rFonts w:hint="eastAsia"/>
          <w:color w:val="auto"/>
        </w:rPr>
        <w:t>（一）普查范围</w:t>
      </w:r>
      <w:bookmarkEnd w:id="19"/>
    </w:p>
    <w:p w14:paraId="3356E9F6">
      <w:pPr>
        <w:ind w:firstLine="480"/>
        <w:rPr>
          <w:rFonts w:cs="Times New Roman"/>
          <w:szCs w:val="24"/>
          <w:shd w:val="clear" w:color="auto" w:fill="FFFFFF"/>
        </w:rPr>
      </w:pPr>
      <w:r>
        <w:rPr>
          <w:rFonts w:hint="eastAsia" w:cs="Times New Roman"/>
          <w:szCs w:val="24"/>
          <w:shd w:val="clear" w:color="auto" w:fill="FFFFFF"/>
        </w:rPr>
        <w:t>黄骅市三普工作覆盖沧州渤海新区黄骅市全域，涉及辖区内各乡镇、村的耕地及荒地资源。</w:t>
      </w:r>
      <w:commentRangeStart w:id="18"/>
      <w:r>
        <w:rPr>
          <w:rFonts w:hint="eastAsia" w:cs="Times New Roman"/>
          <w:szCs w:val="24"/>
          <w:shd w:val="clear" w:color="auto" w:fill="FFFFFF"/>
        </w:rPr>
        <w:t>黄骅市是沧州市耕地面积最大的县之一</w:t>
      </w:r>
      <w:commentRangeEnd w:id="18"/>
      <w:r>
        <w:rPr>
          <w:rFonts w:cs="Times New Roman"/>
          <w:szCs w:val="24"/>
          <w:shd w:val="clear" w:color="auto" w:fill="FFFFFF"/>
        </w:rPr>
        <w:commentReference w:id="18"/>
      </w:r>
      <w:r>
        <w:rPr>
          <w:rFonts w:hint="eastAsia" w:cs="Times New Roman"/>
          <w:szCs w:val="24"/>
          <w:shd w:val="clear" w:color="auto" w:fill="FFFFFF"/>
        </w:rPr>
        <w:t>，其耕地面积占沧州市耕地总量近50%</w:t>
      </w:r>
      <w:r>
        <w:fldChar w:fldCharType="begin" w:fldLock="0" w:dirty="0"/>
      </w:r>
      <w:r>
        <w:instrText>HYPERLINK "https://cangzhou.gov.cn/zr/c102232/202204/b5dc215817f74edda0475be0174e7d4c.shtml" \t "https://chat.deepseek.com/a/chat/s/_blank"</w:instrText>
      </w:r>
      <w:r>
        <w:fldChar w:fldCharType="separate" w:fldLock="0" w:dirty="0"/>
      </w:r>
      <w:r>
        <w:fldChar w:fldCharType="end" w:fldLock="0" w:dirty="0"/>
      </w:r>
      <w:r>
        <w:rPr>
          <w:rFonts w:hint="eastAsia" w:cs="Times New Roman"/>
          <w:szCs w:val="24"/>
          <w:shd w:val="clear" w:color="auto" w:fill="FFFFFF"/>
        </w:rPr>
        <w:t>。按照国务院土壤三普办公室统一划定的盐碱地范围，黄骅市全面部署盐碱地野外调查样点布设工作，样点覆盖了全市各主要农业乡镇</w:t>
      </w:r>
      <w:r>
        <w:fldChar w:fldCharType="begin" w:fldLock="0" w:dirty="0"/>
      </w:r>
      <w:r>
        <w:instrText>HYPERLINK "https://nync.cangzhou.gov.cn/nync/c100687/202309/78c7451344124a8a9336742d154b6638.shtml" \t "https://chat.deepseek.com/a/chat/s/_blank"</w:instrText>
      </w:r>
      <w:r>
        <w:fldChar w:fldCharType="separate" w:fldLock="0" w:dirty="0"/>
      </w:r>
      <w:r>
        <w:fldChar w:fldCharType="end" w:fldLock="0" w:dirty="0"/>
      </w:r>
      <w:r>
        <w:rPr>
          <w:rFonts w:hint="eastAsia" w:cs="Times New Roman"/>
          <w:szCs w:val="24"/>
          <w:shd w:val="clear" w:color="auto" w:fill="FFFFFF"/>
        </w:rPr>
        <w:t>。省、市两级督导组多次赴黄骅开展外业调查采样检查指导，对旱碱麦主产区、苜蓿示范基地、耕地质量保护示范区等典型区域进行实地查看。</w:t>
      </w:r>
    </w:p>
    <w:p w14:paraId="285A41FC">
      <w:pPr>
        <w:ind w:firstLine="480"/>
        <w:rPr>
          <w:rFonts w:cs="Times New Roman"/>
          <w:szCs w:val="24"/>
          <w:shd w:val="clear" w:color="auto" w:fill="FFFFFF"/>
        </w:rPr>
      </w:pPr>
      <w:r>
        <w:rPr>
          <w:rFonts w:hint="eastAsia" w:cs="Times New Roman"/>
          <w:szCs w:val="24"/>
          <w:shd w:val="clear" w:color="auto" w:fill="FFFFFF"/>
        </w:rPr>
        <w:t>根据沧州市第三次全国国土调查主要数据公报，结合黄骅市土地资源特点，普查地类涵盖以下几类</w:t>
      </w:r>
      <w:r>
        <w:fldChar w:fldCharType="begin" w:fldLock="0" w:dirty="0"/>
      </w:r>
      <w:r>
        <w:instrText>HYPERLINK "https://cangzhou.gov.cn/zr/c102232/202204/b5dc215817f74edda0475be0174e7d4c.shtml" \t "https://chat.deepseek.com/a/chat/s/_blank"</w:instrText>
      </w:r>
      <w:r>
        <w:fldChar w:fldCharType="separate" w:fldLock="0" w:dirty="0"/>
      </w:r>
      <w:r>
        <w:fldChar w:fldCharType="end" w:fldLock="0" w:dirty="0"/>
      </w:r>
      <w:r>
        <w:rPr>
          <w:rFonts w:hint="eastAsia" w:cs="Times New Roman"/>
          <w:szCs w:val="24"/>
          <w:shd w:val="clear" w:color="auto" w:fill="FFFFFF"/>
        </w:rPr>
        <w:t>：耕地：黄骅市是沧州市耕地面积较大的县，全市耕地以旱地和水浇地为主。其中旱地占沧州市旱地总面积的重要比例，主要分布于黄骅市西部和北部区域；水浇地主要分布在水利条件较好的区域。普查工作全面覆盖了全市范围内的盐碱耕地、草地、湿地和荒地资源，为编制盐碱地普查报告、开展盐碱地利用潜力评价提供了坚实的数据基础。</w:t>
      </w:r>
    </w:p>
    <w:p w14:paraId="29A21C31">
      <w:pPr>
        <w:pStyle w:val="000016"/>
        <w:spacing w:before="156" w:after="156"/>
        <w:ind w:firstLine="562"/>
        <w:rPr>
          <w:color w:val="auto"/>
        </w:rPr>
      </w:pPr>
      <w:bookmarkStart w:id="20" w:name="_Toc211164743"/>
      <w:r>
        <w:rPr>
          <w:rFonts w:hint="eastAsia"/>
          <w:color w:val="auto"/>
        </w:rPr>
        <w:t>（二）工作底图</w:t>
      </w:r>
      <w:bookmarkEnd w:id="20"/>
    </w:p>
    <w:p w14:paraId="4B204DC1">
      <w:pPr>
        <w:ind w:firstLine="480"/>
        <w:rPr>
          <w:rFonts w:cs="Times New Roman"/>
        </w:rPr>
      </w:pPr>
      <w:r>
        <w:rPr>
          <w:rFonts w:hint="eastAsia" w:ascii="Segoe UI" w:hAnsi="Segoe UI" w:eastAsia="Segoe UI" w:cs="Segoe UI"/>
          <w:szCs w:val="24"/>
          <w:shd w:val="clear" w:color="auto" w:fill="FFFFFF"/>
        </w:rPr>
        <w:t>工作底图是第三次土壤普查的基础性技术支撑，其制作质量直接影响样点布</w:t>
      </w:r>
      <w:r>
        <w:rPr>
          <w:rFonts w:hint="eastAsia" w:cs="Times New Roman"/>
          <w:szCs w:val="24"/>
          <w:shd w:val="clear" w:color="auto" w:fill="FFFFFF"/>
        </w:rPr>
        <w:t>设的科学性和外业采样的可操作性。根据国务院第三次全国土壤普查领导小组办公室印发的《第三次全国土壤普查工作底图制作与样点布设技术规范（修订版）》，黄骅市在全国三普办统一部署下，于普查工作正式启动前完成了工作底图的制作与样点预布设工作。</w:t>
      </w:r>
    </w:p>
    <w:p w14:paraId="3153C9AB">
      <w:pPr>
        <w:ind w:firstLine="480"/>
        <w:rPr>
          <w:rFonts w:cs="Times New Roman"/>
        </w:rPr>
      </w:pPr>
      <w:r>
        <w:rPr>
          <w:rFonts w:hint="eastAsia" w:cs="Times New Roman"/>
        </w:rPr>
        <w:t>在点位校核与优化方面，在叠加图斑上，黄骅市按照国家规范进行样点的系统化预布设</w:t>
      </w:r>
      <w:r>
        <w:fldChar w:fldCharType="begin" w:fldLock="0" w:dirty="0"/>
      </w:r>
      <w:r>
        <w:instrText>HYPERLINK "https://nynct.nx.gov.cn/zwgk/zfxxgkml/gsgg/202204/W020220418394271130121.pdf" \l "4#2" \t "https://chat.deepseek.com/a/chat/s/_blank"</w:instrText>
      </w:r>
      <w:r>
        <w:fldChar w:fldCharType="separate" w:fldLock="0" w:dirty="0"/>
      </w:r>
      <w:r>
        <w:fldChar w:fldCharType="end" w:fldLock="0" w:dirty="0"/>
      </w:r>
      <w:r>
        <w:fldChar w:fldCharType="begin" w:fldLock="0" w:dirty="0"/>
      </w:r>
      <w:r>
        <w:instrText>HYPERLINK "https://nyt.hubei.gov.cn/bmdt/ztzl/zxzt/hbdsctrpc/zywj/202208/P020220829553796745053.pdf" \l "72#7" \t "https://chat.deepseek.com/a/chat/s/_blank"</w:instrText>
      </w:r>
      <w:r>
        <w:fldChar w:fldCharType="separate" w:fldLock="0" w:dirty="0"/>
      </w:r>
      <w:r>
        <w:fldChar w:fldCharType="end" w:fldLock="0" w:dirty="0"/>
      </w:r>
      <w:r>
        <w:rPr>
          <w:rFonts w:hint="eastAsia" w:cs="Times New Roman"/>
        </w:rPr>
        <w:t>：表层样点布设：采用网格法与差异化密度相结合的方法。黄骅市地处滨海平原，地形以平原为主，高程变异系数较小，样点布设以标准网格法为主，兼顾盐碱地分布特征进行适当调整</w:t>
      </w:r>
      <w:r>
        <w:fldChar w:fldCharType="begin" w:fldLock="0" w:dirty="0"/>
      </w:r>
      <w:r>
        <w:instrText>HYPERLINK "https://nynct.nx.gov.cn/zwgk/zfxxgkml/gsgg/202204/W020220418394271130121.pdf" \l "4#2" \t "https://chat.deepseek.com/a/chat/s/_blank"</w:instrText>
      </w:r>
      <w:r>
        <w:fldChar w:fldCharType="separate" w:fldLock="0" w:dirty="0"/>
      </w:r>
      <w:r>
        <w:fldChar w:fldCharType="end" w:fldLock="0" w:dirty="0"/>
      </w:r>
      <w:r>
        <w:fldChar w:fldCharType="begin" w:fldLock="0" w:dirty="0"/>
      </w:r>
      <w:r>
        <w:instrText>HYPERLINK "https://nyt.hubei.gov.cn/bmdt/ztzl/zxzt/hbdsctrpc/zywj/202208/P020220829553796745053.pdf" \l "72#7" \t "https://chat.deepseek.com/a/chat/s/_blank"</w:instrText>
      </w:r>
      <w:r>
        <w:fldChar w:fldCharType="separate" w:fldLock="0" w:dirty="0"/>
      </w:r>
      <w:r>
        <w:fldChar w:fldCharType="end" w:fldLock="0" w:dirty="0"/>
      </w:r>
      <w:r>
        <w:rPr>
          <w:rFonts w:hint="eastAsia" w:cs="Times New Roman"/>
        </w:rPr>
        <w:t>。剖面样点布设：黄骅市作为盐碱地普查试点县，优先选取具有代表性的盐碱土种进行剖面布点，确保能够完整反映黄骅市盐碱土壤的剖面性状特征</w:t>
      </w:r>
      <w:r>
        <w:fldChar w:fldCharType="begin" w:fldLock="0" w:dirty="0"/>
      </w:r>
      <w:r>
        <w:instrText>HYPERLINK "https://nynct.nx.gov.cn/zwgk/zfxxgkml/gsgg/202204/W020220418394271130121.pdf" \l "4#2" \t "https://chat.deepseek.com/a/chat/s/_blank"</w:instrText>
      </w:r>
      <w:r>
        <w:fldChar w:fldCharType="separate" w:fldLock="0" w:dirty="0"/>
      </w:r>
      <w:r>
        <w:fldChar w:fldCharType="end" w:fldLock="0" w:dirty="0"/>
      </w:r>
      <w:r>
        <w:rPr>
          <w:rFonts w:hint="eastAsia" w:cs="Times New Roman"/>
        </w:rPr>
        <w:t>。</w:t>
      </w:r>
    </w:p>
    <w:p w14:paraId="766C75D1">
      <w:pPr>
        <w:ind w:firstLine="480"/>
        <w:rPr>
          <w:rFonts w:cs="Times New Roman"/>
        </w:rPr>
      </w:pPr>
      <w:r>
        <w:rPr>
          <w:rFonts w:hint="eastAsia" w:cs="Times New Roman"/>
        </w:rPr>
        <w:t>在工作底图应用方面，制作完成的工作底图直接服务于黄骅市外业调查采样的点位导航、信息填报和数据处理全过程。县级平台工作人员基于工作底图信息在线审核采样数据，实现了底图数据由室内到现场、由布设到采样的全链条闭环应用。目前黄骅市正处于成果编制阶段，工作底图也为后续土壤类型图制作、土壤属性分析等普查成果的深度汇总和编制提供了基础数据支撑。</w:t>
      </w:r>
    </w:p>
    <w:p w14:paraId="39F0C4D1">
      <w:pPr>
        <w:ind w:firstLine="480"/>
      </w:pPr>
    </w:p>
    <w:p w14:paraId="64BB635C">
      <w:pPr>
        <w:pStyle w:val="000016"/>
        <w:spacing w:before="156" w:after="156"/>
        <w:ind w:firstLine="562"/>
        <w:rPr>
          <w:color w:val="auto"/>
        </w:rPr>
      </w:pPr>
      <w:bookmarkStart w:id="21" w:name="_Toc211164744"/>
      <w:r>
        <w:rPr>
          <w:rFonts w:hint="eastAsia"/>
          <w:color w:val="auto"/>
        </w:rPr>
        <w:t>（三）样点校核</w:t>
      </w:r>
      <w:bookmarkEnd w:id="21"/>
    </w:p>
    <w:p w14:paraId="03DFADAC">
      <w:pPr>
        <w:ind w:firstLine="0" w:firstLineChars="0"/>
        <w:jc w:val="center"/>
        <w:rPr>
          <w:rFonts w:hint="eastAsia" w:ascii="黑体" w:hAnsi="黑体" w:eastAsia="黑体"/>
          <w:sz w:val="21"/>
          <w:szCs w:val="21"/>
        </w:rPr>
      </w:pPr>
      <w:r>
        <w:rPr>
          <w:rFonts w:hint="eastAsia" w:ascii="黑体" w:hAnsi="黑体" w:eastAsia="黑体"/>
          <w:sz w:val="21"/>
          <w:szCs w:val="21"/>
        </w:rPr>
        <w:t>表</w:t>
      </w:r>
      <w:r>
        <w:rPr>
          <w:rFonts w:hint="eastAsia" w:eastAsia="黑体" w:cs="Times New Roman"/>
          <w:sz w:val="21"/>
          <w:szCs w:val="21"/>
        </w:rPr>
        <w:t>3.1</w:t>
      </w:r>
      <w:r>
        <w:rPr>
          <w:rFonts w:hint="eastAsia" w:ascii="黑体" w:hAnsi="黑体" w:eastAsia="黑体"/>
          <w:sz w:val="21"/>
          <w:szCs w:val="21"/>
        </w:rPr>
        <w:t>黄骅市土壤三普样点校核汇总</w:t>
      </w:r>
    </w:p>
    <w:tbl>
      <w:tblPr>
        <w:tblStyle w:val="000033"/>
        <w:tblW w:w="5000" w:type="pct"/>
        <w:jc w:val="center"/>
        <w:tblLook w:firstRow="1" w:lastRow="0" w:firstColumn="1" w:lastColumn="0" w:noHBand="0" w:noVBand="1" w:val="04A0"/>
      </w:tblPr>
      <w:tblGrid>
        <w:gridCol w:w="1129"/>
        <w:gridCol w:w="1134"/>
        <w:gridCol w:w="1560"/>
        <w:gridCol w:w="1133"/>
        <w:gridCol w:w="1843"/>
        <w:gridCol w:w="1497"/>
      </w:tblGrid>
      <w:tr>
        <w:trPr>
          <w:jc w:val="center"/>
        </w:trPr>
        <w:tc>
          <w:tcPr>
            <w:tcW w:w="680" w:type="pct"/>
            <w:vAlign w:val="center"/>
          </w:tcPr>
          <w:p w14:paraId="37164C84">
            <w:pPr>
              <w:ind w:firstLine="0" w:firstLineChars="0"/>
              <w:jc w:val="center"/>
              <w:rPr>
                <w:rFonts w:cs="Times New Roman"/>
                <w:sz w:val="21"/>
                <w:szCs w:val="21"/>
              </w:rPr>
            </w:pPr>
            <w:r>
              <w:rPr>
                <w:rFonts w:hint="eastAsia" w:cs="Times New Roman"/>
                <w:sz w:val="21"/>
                <w:szCs w:val="21"/>
              </w:rPr>
              <w:t>下发样点</w:t>
            </w:r>
          </w:p>
        </w:tc>
        <w:tc>
          <w:tcPr>
            <w:tcW w:w="683" w:type="pct"/>
            <w:vAlign w:val="center"/>
          </w:tcPr>
          <w:p w14:paraId="6D824429">
            <w:pPr>
              <w:ind w:firstLine="0" w:firstLineChars="0"/>
              <w:jc w:val="center"/>
              <w:rPr>
                <w:rFonts w:cs="Times New Roman"/>
                <w:sz w:val="21"/>
                <w:szCs w:val="21"/>
              </w:rPr>
            </w:pPr>
            <w:r>
              <w:rPr>
                <w:rFonts w:hint="eastAsia" w:cs="Times New Roman"/>
                <w:sz w:val="21"/>
                <w:szCs w:val="21"/>
              </w:rPr>
              <w:t>校核方法</w:t>
            </w:r>
          </w:p>
        </w:tc>
        <w:tc>
          <w:tcPr>
            <w:tcW w:w="940" w:type="pct"/>
            <w:vAlign w:val="center"/>
          </w:tcPr>
          <w:p w14:paraId="397DBB6D">
            <w:pPr>
              <w:ind w:firstLine="0" w:firstLineChars="0"/>
              <w:jc w:val="center"/>
              <w:rPr>
                <w:rFonts w:cs="Times New Roman"/>
                <w:sz w:val="21"/>
                <w:szCs w:val="21"/>
              </w:rPr>
            </w:pPr>
            <w:r>
              <w:rPr>
                <w:rFonts w:hint="eastAsia" w:cs="Times New Roman"/>
                <w:sz w:val="21"/>
                <w:szCs w:val="21"/>
              </w:rPr>
              <w:t>调整样点数量</w:t>
            </w:r>
          </w:p>
        </w:tc>
        <w:tc>
          <w:tcPr>
            <w:tcW w:w="683" w:type="pct"/>
            <w:vAlign w:val="center"/>
          </w:tcPr>
          <w:p w14:paraId="278C190B">
            <w:pPr>
              <w:ind w:firstLine="0" w:firstLineChars="0"/>
              <w:jc w:val="center"/>
              <w:rPr>
                <w:rFonts w:cs="Times New Roman"/>
                <w:sz w:val="21"/>
                <w:szCs w:val="21"/>
              </w:rPr>
            </w:pPr>
            <w:r>
              <w:rPr>
                <w:rFonts w:hint="eastAsia" w:cs="Times New Roman"/>
                <w:sz w:val="21"/>
                <w:szCs w:val="21"/>
              </w:rPr>
              <w:t>调整原因</w:t>
            </w:r>
          </w:p>
        </w:tc>
        <w:tc>
          <w:tcPr>
            <w:tcW w:w="1111" w:type="pct"/>
            <w:vAlign w:val="center"/>
          </w:tcPr>
          <w:p w14:paraId="44A989AC">
            <w:pPr>
              <w:ind w:firstLine="0" w:firstLineChars="0"/>
              <w:jc w:val="center"/>
              <w:rPr>
                <w:rFonts w:cs="Times New Roman"/>
                <w:sz w:val="21"/>
                <w:szCs w:val="21"/>
              </w:rPr>
            </w:pPr>
            <w:r>
              <w:rPr>
                <w:rFonts w:hint="eastAsia" w:cs="Times New Roman"/>
                <w:sz w:val="21"/>
                <w:szCs w:val="21"/>
              </w:rPr>
              <w:t>校核单位</w:t>
            </w:r>
          </w:p>
        </w:tc>
        <w:tc>
          <w:tcPr>
            <w:tcW w:w="902" w:type="pct"/>
            <w:vAlign w:val="center"/>
          </w:tcPr>
          <w:p w14:paraId="37135AAF">
            <w:pPr>
              <w:ind w:firstLine="0" w:firstLineChars="0"/>
              <w:jc w:val="center"/>
              <w:rPr>
                <w:rFonts w:cs="Times New Roman"/>
                <w:sz w:val="21"/>
                <w:szCs w:val="21"/>
              </w:rPr>
            </w:pPr>
            <w:r>
              <w:rPr>
                <w:rFonts w:hint="eastAsia" w:cs="Times New Roman"/>
                <w:sz w:val="21"/>
                <w:szCs w:val="21"/>
              </w:rPr>
              <w:t>校核人</w:t>
            </w:r>
          </w:p>
        </w:tc>
      </w:tr>
      <w:tr>
        <w:trPr>
          <w:jc w:val="center"/>
        </w:trPr>
        <w:tc>
          <w:tcPr>
            <w:tcW w:w="680" w:type="pct"/>
            <w:tcBorders>
              <w:top w:val="nil"/>
              <w:left w:val="single" w:color="auto" w:sz="8" w:space="0"/>
              <w:bottom w:val="single" w:color="auto" w:sz="8" w:space="0"/>
              <w:right w:val="single" w:color="auto" w:sz="8" w:space="0"/>
            </w:tcBorders>
            <w:vAlign w:val="center"/>
          </w:tcPr>
          <w:p w14:paraId="72BBA591">
            <w:pPr>
              <w:ind w:firstLine="0" w:firstLineChars="0"/>
              <w:jc w:val="center"/>
              <w:rPr>
                <w:rFonts w:cs="Times New Roman"/>
                <w:sz w:val="21"/>
                <w:szCs w:val="21"/>
              </w:rPr>
            </w:pPr>
            <w:r>
              <w:rPr>
                <w:rFonts w:hint="eastAsia" w:cs="Times New Roman"/>
                <w:sz w:val="21"/>
                <w:szCs w:val="21"/>
              </w:rPr>
              <w:t>表层样</w:t>
            </w:r>
          </w:p>
        </w:tc>
        <w:tc>
          <w:tcPr>
            <w:tcW w:w="683" w:type="pct"/>
            <w:tcBorders>
              <w:top w:val="nil"/>
              <w:left w:val="nil"/>
              <w:bottom w:val="single" w:color="auto" w:sz="8" w:space="0"/>
              <w:right w:val="single" w:color="auto" w:sz="8" w:space="0"/>
            </w:tcBorders>
            <w:vAlign w:val="center"/>
          </w:tcPr>
          <w:p w14:paraId="23CB9181">
            <w:pPr>
              <w:ind w:firstLine="0" w:firstLineChars="0"/>
              <w:jc w:val="center"/>
              <w:rPr>
                <w:rFonts w:cs="Times New Roman"/>
                <w:sz w:val="21"/>
                <w:szCs w:val="21"/>
              </w:rPr>
            </w:pPr>
            <w:r>
              <w:rPr>
                <w:rFonts w:hint="eastAsia" w:cs="Times New Roman"/>
                <w:sz w:val="21"/>
                <w:szCs w:val="21"/>
              </w:rPr>
              <w:t>实地校核</w:t>
            </w:r>
          </w:p>
        </w:tc>
        <w:tc>
          <w:tcPr>
            <w:tcW w:w="940" w:type="pct"/>
            <w:tcBorders>
              <w:top w:val="nil"/>
              <w:left w:val="nil"/>
              <w:bottom w:val="single" w:color="auto" w:sz="8" w:space="0"/>
              <w:right w:val="single" w:color="auto" w:sz="8" w:space="0"/>
            </w:tcBorders>
            <w:vAlign w:val="center"/>
          </w:tcPr>
          <w:p w14:paraId="5399D602">
            <w:pPr>
              <w:ind w:firstLine="0" w:firstLineChars="0"/>
              <w:jc w:val="center"/>
              <w:rPr>
                <w:rFonts w:cs="Times New Roman"/>
                <w:sz w:val="21"/>
                <w:szCs w:val="21"/>
              </w:rPr>
            </w:pPr>
            <w:r>
              <w:rPr>
                <w:rFonts w:cs="Times New Roman"/>
                <w:sz w:val="21"/>
                <w:szCs w:val="21"/>
              </w:rPr>
              <w:t>16</w:t>
            </w:r>
          </w:p>
        </w:tc>
        <w:tc>
          <w:tcPr>
            <w:tcW w:w="683" w:type="pct"/>
            <w:tcBorders>
              <w:top w:val="nil"/>
              <w:left w:val="nil"/>
              <w:bottom w:val="single" w:color="auto" w:sz="8" w:space="0"/>
              <w:right w:val="single" w:color="auto" w:sz="8" w:space="0"/>
            </w:tcBorders>
            <w:vAlign w:val="center"/>
          </w:tcPr>
          <w:p w14:paraId="4FB3E3E4">
            <w:pPr>
              <w:ind w:firstLine="0" w:firstLineChars="0"/>
              <w:jc w:val="center"/>
              <w:rPr>
                <w:rFonts w:cs="Times New Roman"/>
                <w:sz w:val="21"/>
                <w:szCs w:val="21"/>
              </w:rPr>
            </w:pPr>
            <w:r>
              <w:rPr>
                <w:rFonts w:hint="eastAsia" w:cs="Times New Roman"/>
                <w:sz w:val="21"/>
                <w:szCs w:val="21"/>
              </w:rPr>
              <w:t>不符合采样要求</w:t>
            </w:r>
          </w:p>
        </w:tc>
        <w:tc>
          <w:tcPr>
            <w:tcW w:w="1111" w:type="pct"/>
            <w:tcBorders>
              <w:top w:val="nil"/>
              <w:left w:val="nil"/>
              <w:bottom w:val="single" w:color="auto" w:sz="8" w:space="0"/>
              <w:right w:val="single" w:color="auto" w:sz="8" w:space="0"/>
            </w:tcBorders>
            <w:vAlign w:val="center"/>
          </w:tcPr>
          <w:p w14:paraId="433A8183">
            <w:pPr>
              <w:ind w:firstLine="0" w:firstLineChars="0"/>
              <w:jc w:val="center"/>
              <w:rPr>
                <w:rFonts w:cs="Times New Roman"/>
                <w:sz w:val="21"/>
                <w:szCs w:val="21"/>
              </w:rPr>
            </w:pPr>
            <w:r>
              <w:rPr>
                <w:rFonts w:hint="eastAsia" w:cs="Times New Roman"/>
                <w:sz w:val="21"/>
                <w:szCs w:val="21"/>
              </w:rPr>
              <w:t>航天宏图信息技术股份有限公司、</w:t>
            </w:r>
            <w:r>
              <w:rPr>
                <w:rFonts w:hint="eastAsia" w:cs="Times New Roman"/>
                <w:sz w:val="21"/>
                <w:szCs w:val="21"/>
              </w:rPr>
              <w:t>中化地质矿山总局河北地质勘察院</w:t>
            </w:r>
          </w:p>
        </w:tc>
        <w:tc>
          <w:tcPr>
            <w:tcW w:w="902" w:type="pct"/>
            <w:tcBorders>
              <w:top w:val="nil"/>
              <w:left w:val="nil"/>
              <w:bottom w:val="single" w:color="auto" w:sz="8" w:space="0"/>
              <w:right w:val="single" w:color="auto" w:sz="8" w:space="0"/>
            </w:tcBorders>
            <w:vAlign w:val="center"/>
          </w:tcPr>
          <w:p w14:paraId="368756B5">
            <w:pPr>
              <w:ind w:firstLine="0" w:firstLineChars="0"/>
              <w:jc w:val="center"/>
              <w:rPr>
                <w:rFonts w:cs="Times New Roman"/>
                <w:sz w:val="21"/>
                <w:szCs w:val="21"/>
              </w:rPr>
            </w:pPr>
            <w:r>
              <w:rPr>
                <w:rFonts w:hint="eastAsia" w:cs="Times New Roman"/>
                <w:sz w:val="21"/>
                <w:szCs w:val="21"/>
              </w:rPr>
              <w:t>贾力盛、王晓峰、李丰年、张君、贾浩、李佳豪、白海崇、侯德翼、张晓亮</w:t>
            </w:r>
          </w:p>
        </w:tc>
      </w:tr>
    </w:tbl>
    <w:p w14:paraId="0405F260">
      <w:pPr>
        <w:ind w:firstLine="480"/>
      </w:pPr>
      <w:commentRangeStart w:id="19"/>
      <w:r>
        <w:rPr>
          <w:rFonts w:hint="eastAsia"/>
        </w:rPr>
        <w:t>根据表3.1，黄骅市土壤三普样点校核情况如下</w:t>
      </w:r>
      <w:commentRangeEnd w:id="19"/>
      <w:r>
        <w:rPr>
          <w:rFonts w:hint="eastAsia"/>
        </w:rPr>
        <w:commentReference w:id="19"/>
      </w:r>
      <w:r>
        <w:rPr>
          <w:rFonts w:hint="eastAsia"/>
        </w:rPr>
        <w:t>：表层样点采用实地校核方法，共调整16个样点，调整原因为不符合采样要求，校核单位为航天宏图信息技术股份有限公司、中化地质矿山总局河北地质勘察院，校核人包括贾力盛、王晓峰、李丰年、张君、贾浩、李佳豪、</w:t>
      </w:r>
      <w:commentRangeStart w:id="20"/>
      <w:r>
        <w:rPr>
          <w:rFonts w:hint="eastAsia"/>
        </w:rPr>
        <w:t>白海宗</w:t>
      </w:r>
      <w:commentRangeEnd w:id="20"/>
      <w:r>
        <w:rPr>
          <w:rFonts w:hint="eastAsia"/>
        </w:rPr>
        <w:commentReference w:id="20"/>
      </w:r>
      <w:r>
        <w:rPr>
          <w:rFonts w:hint="eastAsia"/>
        </w:rPr>
        <w:t>、侯德翼、张晓亮。</w:t>
      </w:r>
    </w:p>
    <w:p w14:paraId="5C9484CE">
      <w:pPr>
        <w:ind w:firstLine="480"/>
      </w:pPr>
    </w:p>
    <w:p w14:paraId="4C9B75A9">
      <w:pPr>
        <w:ind w:firstLine="480"/>
        <w:rPr>
          <w:highlight w:val="yellow"/>
        </w:rPr>
      </w:pPr>
    </w:p>
    <w:p w14:paraId="733006F1">
      <w:pPr>
        <w:pStyle w:val="000016"/>
        <w:spacing w:before="156" w:after="156"/>
        <w:ind w:firstLine="562"/>
        <w:rPr>
          <w:color w:val="auto"/>
        </w:rPr>
      </w:pPr>
      <w:bookmarkStart w:id="22" w:name="_Toc211164745"/>
      <w:r>
        <w:rPr>
          <w:rFonts w:hint="eastAsia"/>
          <w:color w:val="auto"/>
        </w:rPr>
        <w:t>（四）外业调查采样</w:t>
      </w:r>
      <w:bookmarkEnd w:id="22"/>
    </w:p>
    <w:p w14:paraId="148742FD">
      <w:pPr>
        <w:ind w:firstLine="0" w:firstLineChars="0"/>
        <w:jc w:val="center"/>
        <w:rPr>
          <w:rFonts w:eastAsia="黑体" w:cs="Times New Roman"/>
          <w:sz w:val="21"/>
          <w:szCs w:val="21"/>
        </w:rPr>
      </w:pPr>
      <w:r>
        <w:rPr>
          <w:rFonts w:hint="eastAsia" w:eastAsia="黑体" w:cs="Times New Roman"/>
          <w:sz w:val="21"/>
          <w:szCs w:val="21"/>
        </w:rPr>
        <w:t>表</w:t>
      </w:r>
      <w:r>
        <w:rPr>
          <w:rFonts w:hint="eastAsia" w:eastAsia="黑体" w:cs="Times New Roman"/>
          <w:sz w:val="21"/>
          <w:szCs w:val="21"/>
        </w:rPr>
        <w:t>3.2</w:t>
      </w:r>
      <w:r>
        <w:rPr>
          <w:rFonts w:eastAsia="黑体" w:cs="Times New Roman"/>
          <w:sz w:val="21"/>
          <w:szCs w:val="21"/>
        </w:rPr>
        <w:t xml:space="preserve"> </w:t>
      </w:r>
      <w:r>
        <w:rPr>
          <w:rFonts w:hint="eastAsia" w:eastAsia="黑体" w:cs="Times New Roman"/>
          <w:sz w:val="21"/>
          <w:szCs w:val="21"/>
        </w:rPr>
        <w:t>黄骅市</w:t>
      </w:r>
      <w:r>
        <w:rPr>
          <w:rFonts w:hint="eastAsia" w:eastAsia="黑体" w:cs="Times New Roman"/>
          <w:sz w:val="21"/>
          <w:szCs w:val="21"/>
        </w:rPr>
        <w:t>土壤三普外业调查采样完成情况汇总</w:t>
      </w:r>
    </w:p>
    <w:tbl>
      <w:tblPr>
        <w:tblStyle w:val="000033"/>
        <w:tblW w:w="0" w:type="auto"/>
        <w:jc w:val="center"/>
        <w:tblLook w:firstRow="1" w:lastRow="0" w:firstColumn="1" w:lastColumn="0" w:noHBand="0" w:noVBand="1" w:val="04A0"/>
      </w:tblPr>
      <w:tblGrid>
        <w:gridCol w:w="704"/>
        <w:gridCol w:w="709"/>
        <w:gridCol w:w="1134"/>
        <w:gridCol w:w="1276"/>
        <w:gridCol w:w="4473"/>
      </w:tblGrid>
      <w:tr>
        <w:trPr>
          <w:jc w:val="center"/>
        </w:trPr>
        <w:tc>
          <w:tcPr>
            <w:tcW w:w="704" w:type="dxa"/>
            <w:vAlign w:val="center"/>
          </w:tcPr>
          <w:p w14:paraId="2421AC11">
            <w:pPr>
              <w:ind w:firstLine="0" w:firstLineChars="0"/>
              <w:jc w:val="center"/>
              <w:rPr>
                <w:rFonts w:cs="Times New Roman"/>
                <w:sz w:val="21"/>
                <w:szCs w:val="21"/>
              </w:rPr>
            </w:pPr>
            <w:r>
              <w:rPr>
                <w:rFonts w:hint="eastAsia" w:cs="Times New Roman"/>
                <w:sz w:val="21"/>
                <w:szCs w:val="21"/>
              </w:rPr>
              <w:t>类别</w:t>
            </w:r>
          </w:p>
        </w:tc>
        <w:tc>
          <w:tcPr>
            <w:tcW w:w="709" w:type="dxa"/>
            <w:vAlign w:val="center"/>
          </w:tcPr>
          <w:p w14:paraId="3AD2DEF2">
            <w:pPr>
              <w:ind w:firstLine="0" w:firstLineChars="0"/>
              <w:jc w:val="center"/>
              <w:rPr>
                <w:rFonts w:cs="Times New Roman"/>
                <w:sz w:val="21"/>
                <w:szCs w:val="21"/>
              </w:rPr>
            </w:pPr>
            <w:r>
              <w:rPr>
                <w:rFonts w:hint="eastAsia" w:cs="Times New Roman"/>
                <w:sz w:val="21"/>
                <w:szCs w:val="21"/>
              </w:rPr>
              <w:t>内容</w:t>
            </w:r>
          </w:p>
        </w:tc>
        <w:tc>
          <w:tcPr>
            <w:tcW w:w="1134" w:type="dxa"/>
            <w:vAlign w:val="center"/>
          </w:tcPr>
          <w:p w14:paraId="46BFAA6D">
            <w:pPr>
              <w:ind w:firstLine="0" w:firstLineChars="0"/>
              <w:jc w:val="center"/>
              <w:rPr>
                <w:rFonts w:cs="Times New Roman"/>
                <w:sz w:val="21"/>
                <w:szCs w:val="21"/>
              </w:rPr>
            </w:pPr>
            <w:r>
              <w:rPr>
                <w:rFonts w:hint="eastAsia" w:cs="Times New Roman"/>
                <w:sz w:val="21"/>
                <w:szCs w:val="21"/>
              </w:rPr>
              <w:t>完成数量</w:t>
            </w:r>
          </w:p>
        </w:tc>
        <w:tc>
          <w:tcPr>
            <w:tcW w:w="1276" w:type="dxa"/>
            <w:vAlign w:val="center"/>
          </w:tcPr>
          <w:p w14:paraId="41FA007F">
            <w:pPr>
              <w:ind w:firstLine="0" w:firstLineChars="0"/>
              <w:jc w:val="center"/>
              <w:rPr>
                <w:rFonts w:cs="Times New Roman"/>
                <w:sz w:val="21"/>
                <w:szCs w:val="21"/>
              </w:rPr>
            </w:pPr>
            <w:r>
              <w:rPr>
                <w:rFonts w:hint="eastAsia" w:cs="Times New Roman"/>
                <w:sz w:val="21"/>
                <w:szCs w:val="21"/>
              </w:rPr>
              <w:t>完成时间</w:t>
            </w:r>
          </w:p>
        </w:tc>
        <w:tc>
          <w:tcPr>
            <w:tcW w:w="4473" w:type="dxa"/>
            <w:vAlign w:val="center"/>
          </w:tcPr>
          <w:p w14:paraId="2EF1ED5E">
            <w:pPr>
              <w:ind w:firstLine="0" w:firstLineChars="0"/>
              <w:jc w:val="center"/>
              <w:rPr>
                <w:rFonts w:cs="Times New Roman"/>
                <w:sz w:val="21"/>
                <w:szCs w:val="21"/>
              </w:rPr>
            </w:pPr>
            <w:r>
              <w:rPr>
                <w:rFonts w:hint="eastAsia" w:cs="Times New Roman"/>
                <w:sz w:val="21"/>
                <w:szCs w:val="21"/>
              </w:rPr>
              <w:t>机构及专家名</w:t>
            </w:r>
          </w:p>
        </w:tc>
      </w:tr>
      <w:tr>
        <w:trPr>
          <w:jc w:val="center"/>
        </w:trPr>
        <w:tc>
          <w:tcPr>
            <w:tcW w:w="704" w:type="dxa"/>
            <w:vMerge w:val="restart"/>
            <w:vAlign w:val="center"/>
          </w:tcPr>
          <w:p w14:paraId="3AE96B8B">
            <w:pPr>
              <w:ind w:firstLine="0" w:firstLineChars="0"/>
              <w:jc w:val="center"/>
              <w:rPr>
                <w:rFonts w:cs="Times New Roman"/>
                <w:sz w:val="21"/>
                <w:szCs w:val="21"/>
              </w:rPr>
            </w:pPr>
            <w:r>
              <w:rPr>
                <w:rFonts w:hint="eastAsia" w:cs="Times New Roman"/>
                <w:sz w:val="21"/>
                <w:szCs w:val="21"/>
              </w:rPr>
              <w:t>样点类型</w:t>
            </w:r>
          </w:p>
        </w:tc>
        <w:tc>
          <w:tcPr>
            <w:tcW w:w="709" w:type="dxa"/>
            <w:vAlign w:val="center"/>
          </w:tcPr>
          <w:p w14:paraId="27CF944E">
            <w:pPr>
              <w:ind w:firstLine="0" w:firstLineChars="0"/>
              <w:jc w:val="center"/>
              <w:rPr>
                <w:rFonts w:cs="Times New Roman"/>
                <w:sz w:val="21"/>
                <w:szCs w:val="21"/>
              </w:rPr>
            </w:pPr>
            <w:r>
              <w:rPr>
                <w:rFonts w:hint="eastAsia" w:cs="Times New Roman"/>
                <w:sz w:val="21"/>
                <w:szCs w:val="21"/>
              </w:rPr>
              <w:t>表层样点</w:t>
            </w:r>
          </w:p>
        </w:tc>
        <w:tc>
          <w:tcPr>
            <w:tcW w:w="1134" w:type="dxa"/>
            <w:tcBorders>
              <w:top w:val="nil"/>
              <w:left w:val="single" w:color="auto" w:sz="8" w:space="0"/>
              <w:bottom w:val="single" w:color="auto" w:sz="8" w:space="0"/>
              <w:right w:val="single" w:color="auto" w:sz="8" w:space="0"/>
            </w:tcBorders>
            <w:vAlign w:val="center"/>
          </w:tcPr>
          <w:p w14:paraId="617941E3">
            <w:pPr>
              <w:ind w:firstLine="0" w:firstLineChars="0"/>
              <w:jc w:val="center"/>
              <w:rPr>
                <w:rFonts w:cs="Times New Roman"/>
                <w:sz w:val="21"/>
                <w:szCs w:val="21"/>
              </w:rPr>
            </w:pPr>
            <w:r>
              <w:rPr>
                <w:rFonts w:cs="Times New Roman"/>
                <w:sz w:val="21"/>
                <w:szCs w:val="21"/>
              </w:rPr>
              <w:t>1092</w:t>
            </w:r>
          </w:p>
        </w:tc>
        <w:tc>
          <w:tcPr>
            <w:tcW w:w="1276" w:type="dxa"/>
            <w:tcBorders>
              <w:top w:val="nil"/>
              <w:left w:val="nil"/>
              <w:bottom w:val="single" w:color="auto" w:sz="8" w:space="0"/>
              <w:right w:val="single" w:color="auto" w:sz="8" w:space="0"/>
            </w:tcBorders>
            <w:vAlign w:val="center"/>
          </w:tcPr>
          <w:p w14:paraId="03E17B3C">
            <w:pPr>
              <w:ind w:firstLine="0" w:firstLineChars="0"/>
              <w:jc w:val="center"/>
              <w:rPr>
                <w:rFonts w:cs="Times New Roman"/>
                <w:sz w:val="21"/>
                <w:szCs w:val="21"/>
              </w:rPr>
            </w:pPr>
            <w:r>
              <w:rPr>
                <w:rFonts w:cs="Times New Roman"/>
                <w:sz w:val="21"/>
                <w:szCs w:val="21"/>
              </w:rPr>
              <w:t>2023.10.18</w:t>
            </w:r>
          </w:p>
        </w:tc>
        <w:tc>
          <w:tcPr>
            <w:tcW w:w="4473" w:type="dxa"/>
            <w:tcBorders>
              <w:top w:val="nil"/>
              <w:left w:val="nil"/>
              <w:bottom w:val="single" w:color="auto" w:sz="8" w:space="0"/>
              <w:right w:val="single" w:color="auto" w:sz="8" w:space="0"/>
            </w:tcBorders>
            <w:vAlign w:val="center"/>
          </w:tcPr>
          <w:p w14:paraId="7C415122">
            <w:pPr>
              <w:ind w:firstLine="0" w:firstLineChars="0"/>
              <w:jc w:val="center"/>
              <w:rPr>
                <w:rFonts w:cs="Times New Roman"/>
                <w:sz w:val="21"/>
                <w:szCs w:val="21"/>
              </w:rPr>
            </w:pPr>
            <w:r>
              <w:rPr>
                <w:rFonts w:hint="eastAsia" w:cs="Times New Roman"/>
                <w:sz w:val="21"/>
                <w:szCs w:val="21"/>
              </w:rPr>
              <w:t>航天宏图信息技术股份有限公司</w:t>
            </w:r>
            <w:r>
              <w:rPr>
                <w:rFonts w:hint="eastAsia" w:cs="Times New Roman"/>
                <w:sz w:val="21"/>
                <w:szCs w:val="21"/>
              </w:rPr>
              <w:t>（白海崇、葛荣树、候德翼、贾浩、贾力盛、李佳豪、刘凯、孙跃、杨璐、张佳利、张腾、张晓亮）</w:t>
            </w:r>
            <w:r>
              <w:rPr>
                <w:rFonts w:hint="eastAsia" w:cs="Times New Roman"/>
                <w:sz w:val="21"/>
                <w:szCs w:val="21"/>
              </w:rPr>
              <w:t>、</w:t>
            </w:r>
            <w:r>
              <w:rPr>
                <w:rFonts w:hint="eastAsia" w:cs="Times New Roman"/>
                <w:sz w:val="21"/>
                <w:szCs w:val="21"/>
              </w:rPr>
              <w:t>中化地质矿山总局河北地质勘察院（李丰年、李亚南、王晓峰、张君）、中化地质矿山总局河北地质勘查院（陈卫东、刘松）</w:t>
            </w:r>
          </w:p>
        </w:tc>
      </w:tr>
      <w:tr>
        <w:trPr>
          <w:jc w:val="center"/>
        </w:trPr>
        <w:tc>
          <w:tcPr>
            <w:tcW w:w="704" w:type="dxa"/>
            <w:vMerge w:val="continue"/>
            <w:vAlign w:val="center"/>
          </w:tcPr>
          <w:p w14:paraId="57E743EB">
            <w:pPr>
              <w:ind w:firstLine="0" w:firstLineChars="0"/>
              <w:jc w:val="center"/>
              <w:rPr>
                <w:rFonts w:cs="Times New Roman"/>
                <w:sz w:val="21"/>
                <w:szCs w:val="21"/>
              </w:rPr>
            </w:pPr>
          </w:p>
        </w:tc>
        <w:tc>
          <w:tcPr>
            <w:tcW w:w="709" w:type="dxa"/>
            <w:vAlign w:val="center"/>
          </w:tcPr>
          <w:p w14:paraId="5E258415">
            <w:pPr>
              <w:ind w:firstLine="0" w:firstLineChars="0"/>
              <w:jc w:val="center"/>
              <w:rPr>
                <w:rFonts w:cs="Times New Roman"/>
                <w:sz w:val="21"/>
                <w:szCs w:val="21"/>
              </w:rPr>
            </w:pPr>
            <w:r>
              <w:rPr>
                <w:rFonts w:hint="eastAsia" w:cs="Times New Roman"/>
                <w:sz w:val="21"/>
                <w:szCs w:val="21"/>
              </w:rPr>
              <w:t>剖面样点</w:t>
            </w:r>
          </w:p>
        </w:tc>
        <w:tc>
          <w:tcPr>
            <w:tcW w:w="1134" w:type="dxa"/>
            <w:tcBorders>
              <w:top w:val="nil"/>
              <w:left w:val="single" w:color="auto" w:sz="8" w:space="0"/>
              <w:bottom w:val="single" w:color="auto" w:sz="8" w:space="0"/>
              <w:right w:val="single" w:color="auto" w:sz="8" w:space="0"/>
            </w:tcBorders>
            <w:vAlign w:val="center"/>
          </w:tcPr>
          <w:p w14:paraId="6049012E">
            <w:pPr>
              <w:ind w:firstLine="0" w:firstLineChars="0"/>
              <w:jc w:val="center"/>
              <w:rPr>
                <w:rFonts w:cs="Times New Roman"/>
                <w:sz w:val="21"/>
                <w:szCs w:val="21"/>
              </w:rPr>
            </w:pPr>
            <w:r>
              <w:rPr>
                <w:rFonts w:cs="Times New Roman"/>
                <w:sz w:val="21"/>
                <w:szCs w:val="21"/>
              </w:rPr>
              <w:t>27</w:t>
            </w:r>
          </w:p>
        </w:tc>
        <w:tc>
          <w:tcPr>
            <w:tcW w:w="1276" w:type="dxa"/>
            <w:tcBorders>
              <w:top w:val="nil"/>
              <w:left w:val="nil"/>
              <w:bottom w:val="single" w:color="auto" w:sz="8" w:space="0"/>
              <w:right w:val="single" w:color="auto" w:sz="8" w:space="0"/>
            </w:tcBorders>
            <w:vAlign w:val="center"/>
          </w:tcPr>
          <w:p w14:paraId="6BBF1C99">
            <w:pPr>
              <w:ind w:firstLine="0" w:firstLineChars="0"/>
              <w:jc w:val="center"/>
              <w:rPr>
                <w:rFonts w:cs="Times New Roman"/>
                <w:sz w:val="21"/>
                <w:szCs w:val="21"/>
              </w:rPr>
            </w:pPr>
            <w:r>
              <w:rPr>
                <w:rFonts w:cs="Times New Roman"/>
                <w:sz w:val="21"/>
                <w:szCs w:val="21"/>
              </w:rPr>
              <w:t>2024.4.1</w:t>
            </w:r>
          </w:p>
        </w:tc>
        <w:tc>
          <w:tcPr>
            <w:tcW w:w="4473" w:type="dxa"/>
            <w:tcBorders>
              <w:top w:val="nil"/>
              <w:left w:val="nil"/>
              <w:bottom w:val="single" w:color="auto" w:sz="8" w:space="0"/>
              <w:right w:val="single" w:color="auto" w:sz="8" w:space="0"/>
            </w:tcBorders>
            <w:vAlign w:val="center"/>
          </w:tcPr>
          <w:p w14:paraId="1DB90016">
            <w:pPr>
              <w:ind w:firstLine="0" w:firstLineChars="0"/>
              <w:jc w:val="center"/>
              <w:rPr>
                <w:rFonts w:cs="Times New Roman"/>
                <w:sz w:val="21"/>
                <w:szCs w:val="21"/>
              </w:rPr>
            </w:pPr>
            <w:r>
              <w:rPr>
                <w:rFonts w:hint="eastAsia" w:cs="Times New Roman"/>
                <w:sz w:val="21"/>
                <w:szCs w:val="21"/>
              </w:rPr>
              <w:t>河北省地质矿产勘查开发局第四地质大队（河北省水源涵养研究中心）（王宇）</w:t>
            </w:r>
          </w:p>
        </w:tc>
      </w:tr>
      <w:tr>
        <w:trPr>
          <w:jc w:val="center"/>
        </w:trPr>
        <w:tc>
          <w:tcPr>
            <w:tcW w:w="704" w:type="dxa"/>
            <w:vMerge w:val="restart"/>
            <w:vAlign w:val="center"/>
          </w:tcPr>
          <w:p w14:paraId="3DD25031">
            <w:pPr>
              <w:ind w:firstLine="0" w:firstLineChars="0"/>
              <w:jc w:val="center"/>
              <w:rPr>
                <w:rFonts w:cs="Times New Roman"/>
                <w:sz w:val="21"/>
                <w:szCs w:val="21"/>
              </w:rPr>
            </w:pPr>
            <w:r>
              <w:rPr>
                <w:rFonts w:hint="eastAsia" w:cs="Times New Roman"/>
                <w:sz w:val="21"/>
                <w:szCs w:val="21"/>
              </w:rPr>
              <w:t>样品类型</w:t>
            </w:r>
          </w:p>
        </w:tc>
        <w:tc>
          <w:tcPr>
            <w:tcW w:w="709" w:type="dxa"/>
            <w:vAlign w:val="center"/>
          </w:tcPr>
          <w:p w14:paraId="485B4EFA">
            <w:pPr>
              <w:ind w:firstLine="0" w:firstLineChars="0"/>
              <w:jc w:val="center"/>
              <w:rPr>
                <w:rFonts w:cs="Times New Roman"/>
                <w:sz w:val="21"/>
                <w:szCs w:val="21"/>
              </w:rPr>
            </w:pPr>
            <w:r>
              <w:rPr>
                <w:rFonts w:hint="eastAsia" w:cs="Times New Roman"/>
                <w:sz w:val="21"/>
                <w:szCs w:val="21"/>
              </w:rPr>
              <w:t>表层样品</w:t>
            </w:r>
          </w:p>
        </w:tc>
        <w:tc>
          <w:tcPr>
            <w:tcW w:w="1134" w:type="dxa"/>
            <w:tcBorders>
              <w:top w:val="nil"/>
              <w:left w:val="single" w:color="auto" w:sz="8" w:space="0"/>
              <w:bottom w:val="single" w:color="auto" w:sz="8" w:space="0"/>
              <w:right w:val="single" w:color="auto" w:sz="8" w:space="0"/>
            </w:tcBorders>
            <w:vAlign w:val="center"/>
          </w:tcPr>
          <w:p w14:paraId="71F1AB3A">
            <w:pPr>
              <w:ind w:firstLine="0" w:firstLineChars="0"/>
              <w:jc w:val="center"/>
              <w:rPr>
                <w:rFonts w:cs="Times New Roman"/>
                <w:sz w:val="21"/>
                <w:szCs w:val="21"/>
              </w:rPr>
            </w:pPr>
            <w:r>
              <w:rPr>
                <w:rFonts w:cs="Times New Roman"/>
                <w:sz w:val="21"/>
                <w:szCs w:val="21"/>
              </w:rPr>
              <w:t>1092</w:t>
            </w:r>
          </w:p>
        </w:tc>
        <w:tc>
          <w:tcPr>
            <w:tcW w:w="1276" w:type="dxa"/>
            <w:tcBorders>
              <w:top w:val="nil"/>
              <w:left w:val="nil"/>
              <w:bottom w:val="single" w:color="auto" w:sz="8" w:space="0"/>
              <w:right w:val="single" w:color="auto" w:sz="8" w:space="0"/>
            </w:tcBorders>
            <w:vAlign w:val="center"/>
          </w:tcPr>
          <w:p w14:paraId="5F42CB2D">
            <w:pPr>
              <w:ind w:firstLine="0" w:firstLineChars="0"/>
              <w:jc w:val="center"/>
              <w:rPr>
                <w:rFonts w:cs="Times New Roman"/>
                <w:sz w:val="21"/>
                <w:szCs w:val="21"/>
              </w:rPr>
            </w:pPr>
            <w:r>
              <w:rPr>
                <w:rFonts w:cs="Times New Roman"/>
                <w:sz w:val="21"/>
                <w:szCs w:val="21"/>
              </w:rPr>
              <w:t>2025.8.7</w:t>
            </w:r>
          </w:p>
        </w:tc>
        <w:tc>
          <w:tcPr>
            <w:tcW w:w="4473" w:type="dxa"/>
            <w:tcBorders>
              <w:top w:val="nil"/>
              <w:left w:val="nil"/>
              <w:bottom w:val="single" w:color="auto" w:sz="8" w:space="0"/>
              <w:right w:val="single" w:color="auto" w:sz="8" w:space="0"/>
            </w:tcBorders>
            <w:vAlign w:val="center"/>
          </w:tcPr>
          <w:p w14:paraId="207967F9">
            <w:pPr>
              <w:ind w:firstLine="0" w:firstLineChars="0"/>
              <w:jc w:val="center"/>
              <w:rPr>
                <w:rFonts w:cs="Times New Roman"/>
                <w:sz w:val="21"/>
                <w:szCs w:val="21"/>
              </w:rPr>
            </w:pPr>
            <w:r>
              <w:rPr>
                <w:rFonts w:hint="eastAsia" w:cs="Times New Roman"/>
                <w:sz w:val="21"/>
                <w:szCs w:val="21"/>
              </w:rPr>
              <w:t>航天宏图信息技术股份有限公司</w:t>
            </w:r>
            <w:r>
              <w:rPr>
                <w:rFonts w:hint="eastAsia" w:cs="Times New Roman"/>
                <w:sz w:val="21"/>
                <w:szCs w:val="21"/>
              </w:rPr>
              <w:t>（白海崇、葛荣树、候德翼、贾浩、贾力盛、李佳豪、刘凯、孙跃、杨璐、张佳利、张腾、张晓亮）</w:t>
            </w:r>
            <w:r>
              <w:rPr>
                <w:rFonts w:hint="eastAsia" w:cs="Times New Roman"/>
                <w:sz w:val="21"/>
                <w:szCs w:val="21"/>
              </w:rPr>
              <w:t>、</w:t>
            </w:r>
            <w:commentRangeStart w:id="21"/>
            <w:r>
              <w:rPr>
                <w:rFonts w:hint="eastAsia" w:cs="Times New Roman"/>
                <w:sz w:val="21"/>
                <w:szCs w:val="21"/>
              </w:rPr>
              <w:t>中化地质矿山总局河北地质勘察院（李丰年、李亚南、王晓峰、张君）</w:t>
            </w:r>
            <w:commentRangeEnd w:id="21"/>
            <w:r>
              <w:rPr>
                <w:rFonts w:hint="eastAsia" w:cs="Times New Roman"/>
                <w:sz w:val="21"/>
                <w:szCs w:val="21"/>
              </w:rPr>
              <w:commentReference w:id="21"/>
            </w:r>
            <w:r>
              <w:rPr>
                <w:rFonts w:hint="eastAsia" w:cs="Times New Roman"/>
                <w:sz w:val="21"/>
                <w:szCs w:val="21"/>
              </w:rPr>
              <w:t>、中化地质矿山总局河北地质勘查院（陈卫东、刘松）</w:t>
            </w:r>
          </w:p>
        </w:tc>
      </w:tr>
      <w:tr>
        <w:trPr>
          <w:jc w:val="center"/>
        </w:trPr>
        <w:tc>
          <w:tcPr>
            <w:tcW w:w="704" w:type="dxa"/>
            <w:vMerge w:val="continue"/>
            <w:vAlign w:val="center"/>
          </w:tcPr>
          <w:p w14:paraId="64E51911">
            <w:pPr>
              <w:ind w:firstLine="0" w:firstLineChars="0"/>
              <w:jc w:val="center"/>
              <w:rPr>
                <w:rFonts w:cs="Times New Roman"/>
                <w:sz w:val="21"/>
                <w:szCs w:val="21"/>
              </w:rPr>
            </w:pPr>
          </w:p>
        </w:tc>
        <w:tc>
          <w:tcPr>
            <w:tcW w:w="709" w:type="dxa"/>
            <w:vAlign w:val="center"/>
          </w:tcPr>
          <w:p w14:paraId="43FF9D08">
            <w:pPr>
              <w:ind w:firstLine="0" w:firstLineChars="0"/>
              <w:jc w:val="center"/>
              <w:rPr>
                <w:rFonts w:cs="Times New Roman"/>
                <w:sz w:val="21"/>
                <w:szCs w:val="21"/>
              </w:rPr>
            </w:pPr>
            <w:r>
              <w:rPr>
                <w:rFonts w:hint="eastAsia" w:cs="Times New Roman"/>
                <w:sz w:val="21"/>
                <w:szCs w:val="21"/>
              </w:rPr>
              <w:t>剖面样品</w:t>
            </w:r>
          </w:p>
        </w:tc>
        <w:tc>
          <w:tcPr>
            <w:tcW w:w="1134" w:type="dxa"/>
            <w:tcBorders>
              <w:top w:val="nil"/>
              <w:left w:val="single" w:color="auto" w:sz="8" w:space="0"/>
              <w:bottom w:val="single" w:color="auto" w:sz="8" w:space="0"/>
              <w:right w:val="single" w:color="auto" w:sz="8" w:space="0"/>
            </w:tcBorders>
            <w:vAlign w:val="center"/>
          </w:tcPr>
          <w:p w14:paraId="40381F69">
            <w:pPr>
              <w:ind w:firstLine="0" w:firstLineChars="0"/>
              <w:jc w:val="center"/>
              <w:rPr>
                <w:rFonts w:cs="Times New Roman"/>
                <w:sz w:val="21"/>
                <w:szCs w:val="21"/>
              </w:rPr>
            </w:pPr>
            <w:r>
              <w:rPr>
                <w:rFonts w:cs="Times New Roman"/>
                <w:sz w:val="21"/>
                <w:szCs w:val="21"/>
              </w:rPr>
              <w:t>130</w:t>
            </w:r>
          </w:p>
        </w:tc>
        <w:tc>
          <w:tcPr>
            <w:tcW w:w="1276" w:type="dxa"/>
            <w:tcBorders>
              <w:top w:val="nil"/>
              <w:left w:val="nil"/>
              <w:bottom w:val="single" w:color="auto" w:sz="8" w:space="0"/>
              <w:right w:val="single" w:color="auto" w:sz="8" w:space="0"/>
            </w:tcBorders>
            <w:vAlign w:val="center"/>
          </w:tcPr>
          <w:p w14:paraId="4419E160">
            <w:pPr>
              <w:ind w:firstLine="0" w:firstLineChars="0"/>
              <w:jc w:val="center"/>
              <w:rPr>
                <w:rFonts w:cs="Times New Roman"/>
                <w:sz w:val="21"/>
                <w:szCs w:val="21"/>
              </w:rPr>
            </w:pPr>
            <w:r>
              <w:rPr>
                <w:rFonts w:cs="Times New Roman"/>
                <w:sz w:val="21"/>
                <w:szCs w:val="21"/>
              </w:rPr>
              <w:t>2024.10.25</w:t>
            </w:r>
          </w:p>
        </w:tc>
        <w:tc>
          <w:tcPr>
            <w:tcW w:w="4473" w:type="dxa"/>
            <w:tcBorders>
              <w:top w:val="nil"/>
              <w:left w:val="nil"/>
              <w:bottom w:val="single" w:color="auto" w:sz="8" w:space="0"/>
              <w:right w:val="single" w:color="auto" w:sz="8" w:space="0"/>
            </w:tcBorders>
            <w:vAlign w:val="center"/>
          </w:tcPr>
          <w:p w14:paraId="2FE7FEBC">
            <w:pPr>
              <w:ind w:firstLine="0" w:firstLineChars="0"/>
              <w:jc w:val="center"/>
              <w:rPr>
                <w:rFonts w:cs="Times New Roman"/>
                <w:sz w:val="21"/>
                <w:szCs w:val="21"/>
              </w:rPr>
            </w:pPr>
            <w:r>
              <w:rPr>
                <w:rFonts w:hint="eastAsia" w:cs="Times New Roman"/>
                <w:sz w:val="21"/>
                <w:szCs w:val="21"/>
              </w:rPr>
              <w:t>河北省地质矿产勘查开发局第四地质大队（河北省水源涵养研究中心）（王宇）</w:t>
            </w:r>
          </w:p>
        </w:tc>
      </w:tr>
      <w:tr>
        <w:trPr>
          <w:jc w:val="center"/>
        </w:trPr>
        <w:tc>
          <w:tcPr>
            <w:tcW w:w="704" w:type="dxa"/>
            <w:vMerge w:val="continue"/>
            <w:vAlign w:val="center"/>
          </w:tcPr>
          <w:p w14:paraId="754A6F3B">
            <w:pPr>
              <w:ind w:firstLine="0" w:firstLineChars="0"/>
              <w:jc w:val="center"/>
              <w:rPr>
                <w:rFonts w:cs="Times New Roman"/>
                <w:sz w:val="21"/>
                <w:szCs w:val="21"/>
              </w:rPr>
            </w:pPr>
          </w:p>
        </w:tc>
        <w:tc>
          <w:tcPr>
            <w:tcW w:w="709" w:type="dxa"/>
            <w:vAlign w:val="center"/>
          </w:tcPr>
          <w:p w14:paraId="439A11C3">
            <w:pPr>
              <w:ind w:firstLine="0" w:firstLineChars="0"/>
              <w:jc w:val="center"/>
              <w:rPr>
                <w:rFonts w:cs="Times New Roman"/>
                <w:sz w:val="21"/>
                <w:szCs w:val="21"/>
              </w:rPr>
            </w:pPr>
            <w:r>
              <w:rPr>
                <w:rFonts w:hint="eastAsia" w:cs="Times New Roman"/>
                <w:sz w:val="21"/>
                <w:szCs w:val="21"/>
              </w:rPr>
              <w:t>水稳性大团聚体样品</w:t>
            </w:r>
          </w:p>
        </w:tc>
        <w:tc>
          <w:tcPr>
            <w:tcW w:w="1134" w:type="dxa"/>
            <w:tcBorders>
              <w:top w:val="nil"/>
              <w:left w:val="single" w:color="auto" w:sz="8" w:space="0"/>
              <w:bottom w:val="single" w:color="auto" w:sz="8" w:space="0"/>
              <w:right w:val="nil"/>
            </w:tcBorders>
            <w:vAlign w:val="center"/>
          </w:tcPr>
          <w:p w14:paraId="08A82BE7">
            <w:pPr>
              <w:ind w:firstLine="0" w:firstLineChars="0"/>
              <w:jc w:val="center"/>
              <w:rPr>
                <w:rFonts w:cs="Times New Roman"/>
                <w:sz w:val="21"/>
                <w:szCs w:val="21"/>
              </w:rPr>
            </w:pPr>
            <w:r>
              <w:rPr>
                <w:rFonts w:cs="Times New Roman"/>
                <w:sz w:val="21"/>
                <w:szCs w:val="21"/>
              </w:rPr>
              <w:t>270</w:t>
            </w:r>
          </w:p>
        </w:tc>
        <w:tc>
          <w:tcPr>
            <w:tcW w:w="1276" w:type="dxa"/>
            <w:tcBorders>
              <w:top w:val="nil"/>
              <w:left w:val="single" w:color="auto" w:sz="8" w:space="0"/>
              <w:bottom w:val="single" w:color="auto" w:sz="8" w:space="0"/>
              <w:right w:val="single" w:color="auto" w:sz="8" w:space="0"/>
            </w:tcBorders>
            <w:vAlign w:val="center"/>
          </w:tcPr>
          <w:p w14:paraId="36A8EA07">
            <w:pPr>
              <w:ind w:firstLine="0" w:firstLineChars="0"/>
              <w:jc w:val="center"/>
              <w:rPr>
                <w:rFonts w:cs="Times New Roman"/>
                <w:sz w:val="21"/>
                <w:szCs w:val="21"/>
              </w:rPr>
            </w:pPr>
            <w:r>
              <w:rPr>
                <w:rFonts w:cs="Times New Roman"/>
                <w:sz w:val="21"/>
                <w:szCs w:val="21"/>
              </w:rPr>
              <w:t>2024.12.31</w:t>
            </w:r>
          </w:p>
        </w:tc>
        <w:tc>
          <w:tcPr>
            <w:tcW w:w="4473" w:type="dxa"/>
            <w:tcBorders>
              <w:top w:val="nil"/>
              <w:left w:val="nil"/>
              <w:bottom w:val="single" w:color="auto" w:sz="8" w:space="0"/>
              <w:right w:val="single" w:color="auto" w:sz="8" w:space="0"/>
            </w:tcBorders>
            <w:vAlign w:val="center"/>
          </w:tcPr>
          <w:p w14:paraId="0926CF5C">
            <w:pPr>
              <w:ind w:firstLine="0" w:firstLineChars="0"/>
              <w:jc w:val="center"/>
              <w:rPr>
                <w:rFonts w:cs="Times New Roman"/>
                <w:sz w:val="21"/>
                <w:szCs w:val="21"/>
              </w:rPr>
            </w:pPr>
            <w:r>
              <w:rPr>
                <w:rFonts w:hint="eastAsia" w:cs="Times New Roman"/>
                <w:sz w:val="21"/>
                <w:szCs w:val="21"/>
              </w:rPr>
              <w:t>航天宏图信息技术股份有限公司</w:t>
            </w:r>
            <w:r>
              <w:rPr>
                <w:rFonts w:hint="eastAsia" w:cs="Times New Roman"/>
                <w:sz w:val="21"/>
                <w:szCs w:val="21"/>
              </w:rPr>
              <w:t>（白海崇、葛荣树、候德翼、贾浩、贾力盛、李佳豪、刘凯、孙跃、杨璐、张佳利、张腾、张晓亮）</w:t>
            </w:r>
            <w:r>
              <w:rPr>
                <w:rFonts w:hint="eastAsia" w:cs="Times New Roman"/>
                <w:sz w:val="21"/>
                <w:szCs w:val="21"/>
              </w:rPr>
              <w:t>、中国冶金地质总局地球物理勘查院</w:t>
            </w:r>
            <w:r>
              <w:rPr>
                <w:rFonts w:hint="eastAsia" w:cs="Times New Roman"/>
                <w:sz w:val="21"/>
                <w:szCs w:val="21"/>
              </w:rPr>
              <w:t>（李丰年、李亚南、王晓峰、张君）、中化地质矿山总局河北地质勘查院（陈卫东、刘松）</w:t>
            </w:r>
            <w:r>
              <w:rPr>
                <w:rFonts w:cs="Times New Roman"/>
                <w:sz w:val="21"/>
                <w:szCs w:val="21"/>
              </w:rPr>
              <w:br w:type="textWrapping"/>
            </w:r>
            <w:r>
              <w:rPr>
                <w:rFonts w:hint="eastAsia" w:cs="Times New Roman"/>
                <w:sz w:val="21"/>
                <w:szCs w:val="21"/>
              </w:rPr>
              <w:t>河北省地质矿产勘查开发局第四地质大队（河北省水源涵养研究中心）（王宇）</w:t>
            </w:r>
          </w:p>
        </w:tc>
      </w:tr>
      <w:tr>
        <w:trPr>
          <w:jc w:val="center"/>
        </w:trPr>
        <w:tc>
          <w:tcPr>
            <w:tcW w:w="704" w:type="dxa"/>
            <w:vMerge w:val="continue"/>
            <w:vAlign w:val="center"/>
          </w:tcPr>
          <w:p w14:paraId="2A313457">
            <w:pPr>
              <w:ind w:firstLine="0" w:firstLineChars="0"/>
              <w:jc w:val="center"/>
              <w:rPr>
                <w:rFonts w:cs="Times New Roman"/>
                <w:sz w:val="21"/>
                <w:szCs w:val="21"/>
              </w:rPr>
            </w:pPr>
          </w:p>
        </w:tc>
        <w:tc>
          <w:tcPr>
            <w:tcW w:w="709" w:type="dxa"/>
            <w:vAlign w:val="center"/>
          </w:tcPr>
          <w:p w14:paraId="3CB1B1CA">
            <w:pPr>
              <w:ind w:firstLine="0" w:firstLineChars="0"/>
              <w:jc w:val="center"/>
              <w:rPr>
                <w:rFonts w:cs="Times New Roman"/>
                <w:sz w:val="21"/>
                <w:szCs w:val="21"/>
              </w:rPr>
            </w:pPr>
            <w:r>
              <w:rPr>
                <w:rFonts w:hint="eastAsia" w:cs="Times New Roman"/>
                <w:sz w:val="21"/>
                <w:szCs w:val="21"/>
              </w:rPr>
              <w:t>容重样品</w:t>
            </w:r>
          </w:p>
        </w:tc>
        <w:tc>
          <w:tcPr>
            <w:tcW w:w="1134" w:type="dxa"/>
            <w:tcBorders>
              <w:top w:val="nil"/>
              <w:left w:val="single" w:color="auto" w:sz="8" w:space="0"/>
              <w:bottom w:val="single" w:color="auto" w:sz="8" w:space="0"/>
              <w:right w:val="single" w:color="auto" w:sz="8" w:space="0"/>
            </w:tcBorders>
            <w:vAlign w:val="center"/>
          </w:tcPr>
          <w:p w14:paraId="07FE7777">
            <w:pPr>
              <w:ind w:firstLine="0" w:firstLineChars="0"/>
              <w:jc w:val="center"/>
              <w:rPr>
                <w:rFonts w:cs="Times New Roman"/>
                <w:sz w:val="21"/>
                <w:szCs w:val="21"/>
              </w:rPr>
            </w:pPr>
            <w:r>
              <w:rPr>
                <w:rFonts w:cs="Times New Roman"/>
                <w:sz w:val="21"/>
                <w:szCs w:val="21"/>
              </w:rPr>
              <w:t>1065</w:t>
            </w:r>
          </w:p>
        </w:tc>
        <w:tc>
          <w:tcPr>
            <w:tcW w:w="1276" w:type="dxa"/>
            <w:tcBorders>
              <w:top w:val="nil"/>
              <w:left w:val="nil"/>
              <w:bottom w:val="single" w:color="auto" w:sz="8" w:space="0"/>
              <w:right w:val="single" w:color="auto" w:sz="8" w:space="0"/>
            </w:tcBorders>
            <w:vAlign w:val="center"/>
          </w:tcPr>
          <w:p w14:paraId="4839C4FB">
            <w:pPr>
              <w:ind w:firstLine="0" w:firstLineChars="0"/>
              <w:jc w:val="center"/>
              <w:rPr>
                <w:rFonts w:cs="Times New Roman"/>
                <w:sz w:val="21"/>
                <w:szCs w:val="21"/>
              </w:rPr>
            </w:pPr>
            <w:r>
              <w:rPr>
                <w:rFonts w:cs="Times New Roman"/>
                <w:sz w:val="21"/>
                <w:szCs w:val="21"/>
              </w:rPr>
              <w:t>2025.8.6</w:t>
            </w:r>
          </w:p>
        </w:tc>
        <w:tc>
          <w:tcPr>
            <w:tcW w:w="4473" w:type="dxa"/>
            <w:tcBorders>
              <w:top w:val="nil"/>
              <w:left w:val="nil"/>
              <w:bottom w:val="single" w:color="auto" w:sz="8" w:space="0"/>
              <w:right w:val="single" w:color="auto" w:sz="8" w:space="0"/>
            </w:tcBorders>
            <w:vAlign w:val="center"/>
          </w:tcPr>
          <w:p w14:paraId="6B46A63A">
            <w:pPr>
              <w:ind w:firstLine="0" w:firstLineChars="0"/>
              <w:jc w:val="center"/>
              <w:rPr>
                <w:rFonts w:cs="Times New Roman"/>
                <w:sz w:val="21"/>
                <w:szCs w:val="21"/>
              </w:rPr>
            </w:pPr>
            <w:r>
              <w:rPr>
                <w:rFonts w:hint="eastAsia" w:cs="Times New Roman"/>
                <w:sz w:val="21"/>
                <w:szCs w:val="21"/>
              </w:rPr>
              <w:t>航天宏图信息技术股份有限公司</w:t>
            </w:r>
            <w:r>
              <w:rPr>
                <w:rFonts w:hint="eastAsia" w:cs="Times New Roman"/>
                <w:sz w:val="21"/>
                <w:szCs w:val="21"/>
              </w:rPr>
              <w:t>（白海崇、葛荣树、候德翼、贾浩、贾力盛、李佳豪、刘凯、孙跃、杨璐、张佳利、张腾、张晓亮）</w:t>
            </w:r>
            <w:r>
              <w:rPr>
                <w:rFonts w:hint="eastAsia" w:cs="Times New Roman"/>
                <w:sz w:val="21"/>
                <w:szCs w:val="21"/>
              </w:rPr>
              <w:t>、中国冶金地质总局地球物理勘查院</w:t>
            </w:r>
            <w:r>
              <w:rPr>
                <w:rFonts w:hint="eastAsia" w:cs="Times New Roman"/>
                <w:sz w:val="21"/>
                <w:szCs w:val="21"/>
              </w:rPr>
              <w:t>（李丰年、李亚南、王晓峰、张君）、中化地质矿山总局河北地质勘查院（陈卫东、刘松）</w:t>
            </w:r>
            <w:r>
              <w:rPr>
                <w:rFonts w:cs="Times New Roman"/>
                <w:sz w:val="21"/>
                <w:szCs w:val="21"/>
              </w:rPr>
              <w:br w:type="textWrapping"/>
            </w:r>
            <w:r>
              <w:rPr>
                <w:rFonts w:hint="eastAsia" w:cs="Times New Roman"/>
                <w:sz w:val="21"/>
                <w:szCs w:val="21"/>
              </w:rPr>
              <w:t>河北省地质矿产勘查开发局第四地质大队（河北省水源涵养研究中心）（王宇）</w:t>
            </w:r>
          </w:p>
        </w:tc>
      </w:tr>
    </w:tbl>
    <w:p w14:paraId="2EFF197B">
      <w:pPr>
        <w:ind w:firstLine="480"/>
      </w:pPr>
      <w:commentRangeStart w:id="22"/>
      <w:bookmarkStart w:id="23" w:name="_Toc211164746"/>
      <w:r>
        <w:rPr>
          <w:rFonts w:hint="eastAsia"/>
        </w:rPr>
        <w:t>根据表3.2，沧州市黄骅市土壤三普外业调查采样完成情况更新如下</w:t>
      </w:r>
      <w:commentRangeEnd w:id="22"/>
      <w:r>
        <w:commentReference w:id="22"/>
      </w:r>
      <w:r>
        <w:rPr>
          <w:rFonts w:hint="eastAsia"/>
        </w:rPr>
        <w:t>：</w:t>
      </w:r>
    </w:p>
    <w:p w14:paraId="0B81482C">
      <w:pPr>
        <w:ind w:firstLine="480"/>
      </w:pPr>
      <w:r>
        <w:rPr>
          <w:rFonts w:hint="eastAsia"/>
        </w:rPr>
        <w:t>样点类型：完成表层样点1092个，完成时间为2023年10月18日，机构为航天宏图信息技术股份有限公司、中国冶金地质总局地球物理勘查院、中化地质矿山总局河北地质勘查院；完成剖面样点27个，完成时间为2024年4月1日，机构为河北省地质矿产勘查开发局第四地质大队（河北省水源涵养研究中心）。</w:t>
      </w:r>
    </w:p>
    <w:p w14:paraId="290F7195">
      <w:pPr>
        <w:ind w:firstLine="480"/>
      </w:pPr>
      <w:r>
        <w:rPr>
          <w:rFonts w:hint="eastAsia"/>
        </w:rPr>
        <w:t>样品类型：完成表层样品1092件，完成时间为2025年8月7日，机构为航天宏图信息技术股份有限公司、中国冶金地质总局地球物理勘查院、中化地质矿山总局河北地质勘查院；完成剖面样品130件，完成时间为2024年10月25日，机构为河北省地质矿产勘查开发局第四地质大队（河北省水源涵养研究中心）；完成水稳性大团聚体样品270件，完成时间为2024年12月31日，机构为航天宏图信息技术股份有限公司、中国冶金地质总局地球物理勘查院、中化地质矿山总局河北地质勘查院、河北省地质矿产勘查开发局第四地质大队（河北省水源涵养研究中心）；完成容重样品1065件，完成时间为2025年8月6日，机构为航天宏图信息技术股份有限公司、中国冶金地质总局地球物理勘查院、中化地质矿山总局河北地质勘查院、河北省地质矿产勘查开发局第四地质大队（河北省水源涵养研究中心）</w:t>
      </w:r>
      <w:r>
        <w:rPr>
          <w:rFonts w:hint="eastAsia"/>
        </w:rPr>
        <w:t>。</w:t>
      </w:r>
    </w:p>
    <w:p w14:paraId="43F5299B">
      <w:pPr>
        <w:pStyle w:val="000016"/>
        <w:spacing w:before="156" w:after="156"/>
        <w:ind w:firstLine="562"/>
        <w:rPr>
          <w:color w:val="auto"/>
        </w:rPr>
      </w:pPr>
      <w:r>
        <w:rPr>
          <w:rFonts w:hint="eastAsia"/>
          <w:color w:val="auto"/>
        </w:rPr>
        <w:t>（五）内业测试化验</w:t>
      </w:r>
      <w:bookmarkEnd w:id="23"/>
    </w:p>
    <w:p w14:paraId="44411478">
      <w:pPr>
        <w:ind w:firstLine="0" w:firstLineChars="0"/>
        <w:jc w:val="center"/>
        <w:rPr>
          <w:rFonts w:eastAsia="黑体" w:cs="Times New Roman"/>
          <w:sz w:val="21"/>
          <w:szCs w:val="21"/>
        </w:rPr>
      </w:pPr>
      <w:r>
        <w:rPr>
          <w:rFonts w:hint="eastAsia" w:eastAsia="黑体" w:cs="Times New Roman"/>
          <w:sz w:val="21"/>
          <w:szCs w:val="21"/>
        </w:rPr>
        <w:t>表3</w:t>
      </w:r>
      <w:r>
        <w:rPr>
          <w:rFonts w:hint="eastAsia" w:eastAsia="黑体" w:cs="Times New Roman"/>
          <w:sz w:val="21"/>
          <w:szCs w:val="21"/>
        </w:rPr>
        <w:t>.3</w:t>
      </w:r>
      <w:r>
        <w:rPr>
          <w:rFonts w:eastAsia="黑体" w:cs="Times New Roman"/>
          <w:sz w:val="21"/>
          <w:szCs w:val="21"/>
        </w:rPr>
        <w:t xml:space="preserve"> </w:t>
      </w:r>
      <w:r>
        <w:rPr>
          <w:rFonts w:hint="eastAsia" w:eastAsia="黑体" w:cs="Times New Roman"/>
          <w:sz w:val="21"/>
          <w:szCs w:val="21"/>
        </w:rPr>
        <w:t>沧州市黄骅市</w:t>
      </w:r>
      <w:r>
        <w:rPr>
          <w:rFonts w:hint="eastAsia" w:eastAsia="黑体" w:cs="Times New Roman"/>
          <w:sz w:val="21"/>
          <w:szCs w:val="21"/>
        </w:rPr>
        <w:t>土壤三普内业测试化验完成情况汇总</w:t>
      </w:r>
    </w:p>
    <w:tbl>
      <w:tblPr>
        <w:tblW w:w="5000" w:type="pct"/>
        <w:tblLook w:firstRow="1" w:lastRow="0" w:firstColumn="1" w:lastColumn="0" w:noHBand="0" w:noVBand="1" w:val="04A0"/>
      </w:tblPr>
      <w:tblGrid>
        <w:gridCol w:w="1269"/>
        <w:gridCol w:w="3077"/>
        <w:gridCol w:w="655"/>
        <w:gridCol w:w="3295"/>
      </w:tblGrid>
      <w:tr>
        <w:trPr>
          <w:trHeight w:val="270"/>
        </w:trPr>
        <w:tc>
          <w:tcPr>
            <w:tcW w:w="764" w:type="pct"/>
            <w:tcBorders>
              <w:top w:val="single" w:color="auto" w:sz="4" w:space="0"/>
              <w:left w:val="single" w:color="auto" w:sz="4" w:space="0"/>
              <w:bottom w:val="single" w:color="auto" w:sz="4" w:space="0"/>
              <w:right w:val="single" w:color="auto" w:sz="4" w:space="0"/>
            </w:tcBorders>
            <w:noWrap w:val="1"/>
            <w:vAlign w:val="center"/>
            <w:hideMark w:val="1"/>
          </w:tcPr>
          <w:p w14:paraId="112D60D5">
            <w:pPr>
              <w:widowControl w:val="1"/>
              <w:ind w:firstLine="0" w:firstLineChars="0"/>
              <w:jc w:val="center"/>
              <w:rPr>
                <w:rFonts w:cs="Times New Roman"/>
                <w:kern w:val="0"/>
                <w:sz w:val="21"/>
                <w:szCs w:val="21"/>
              </w:rPr>
            </w:pPr>
            <w:r>
              <w:rPr>
                <w:rFonts w:hint="eastAsia" w:cs="Times New Roman"/>
                <w:kern w:val="0"/>
                <w:sz w:val="21"/>
                <w:szCs w:val="21"/>
              </w:rPr>
              <w:t>样点类型</w:t>
            </w:r>
          </w:p>
        </w:tc>
        <w:tc>
          <w:tcPr>
            <w:tcW w:w="1854" w:type="pct"/>
            <w:tcBorders>
              <w:top w:val="single" w:color="auto" w:sz="4" w:space="0"/>
              <w:left w:val="nil"/>
              <w:bottom w:val="single" w:color="auto" w:sz="4" w:space="0"/>
              <w:right w:val="single" w:color="auto" w:sz="4" w:space="0"/>
            </w:tcBorders>
            <w:noWrap w:val="1"/>
            <w:vAlign w:val="center"/>
            <w:hideMark w:val="1"/>
          </w:tcPr>
          <w:p w14:paraId="14E87A49">
            <w:pPr>
              <w:widowControl w:val="1"/>
              <w:ind w:firstLine="0" w:firstLineChars="0"/>
              <w:jc w:val="center"/>
              <w:rPr>
                <w:rFonts w:cs="Times New Roman"/>
                <w:kern w:val="0"/>
                <w:sz w:val="21"/>
                <w:szCs w:val="21"/>
              </w:rPr>
            </w:pPr>
            <w:r>
              <w:rPr>
                <w:rFonts w:hint="eastAsia" w:cs="Times New Roman"/>
                <w:kern w:val="0"/>
                <w:sz w:val="21"/>
                <w:szCs w:val="21"/>
              </w:rPr>
              <w:t>内容</w:t>
            </w:r>
          </w:p>
        </w:tc>
        <w:tc>
          <w:tcPr>
            <w:tcW w:w="395" w:type="pct"/>
            <w:tcBorders>
              <w:top w:val="single" w:color="auto" w:sz="4" w:space="0"/>
              <w:left w:val="nil"/>
              <w:bottom w:val="single" w:color="auto" w:sz="4" w:space="0"/>
              <w:right w:val="single" w:color="auto" w:sz="4" w:space="0"/>
            </w:tcBorders>
            <w:noWrap w:val="1"/>
            <w:vAlign w:val="center"/>
            <w:hideMark w:val="1"/>
          </w:tcPr>
          <w:p w14:paraId="35A8111F">
            <w:pPr>
              <w:widowControl w:val="1"/>
              <w:ind w:firstLine="0" w:firstLineChars="0"/>
              <w:jc w:val="center"/>
              <w:rPr>
                <w:rFonts w:cs="Times New Roman"/>
                <w:kern w:val="0"/>
                <w:sz w:val="21"/>
                <w:szCs w:val="21"/>
              </w:rPr>
            </w:pPr>
            <w:r>
              <w:rPr>
                <w:rFonts w:hint="eastAsia" w:cs="Times New Roman"/>
                <w:kern w:val="0"/>
                <w:sz w:val="21"/>
                <w:szCs w:val="21"/>
              </w:rPr>
              <w:t>数量</w:t>
            </w:r>
          </w:p>
        </w:tc>
        <w:tc>
          <w:tcPr>
            <w:tcW w:w="1986" w:type="pct"/>
            <w:tcBorders>
              <w:top w:val="single" w:color="auto" w:sz="4" w:space="0"/>
              <w:left w:val="nil"/>
              <w:bottom w:val="single" w:color="auto" w:sz="4" w:space="0"/>
              <w:right w:val="single" w:color="auto" w:sz="4" w:space="0"/>
            </w:tcBorders>
            <w:noWrap w:val="1"/>
            <w:vAlign w:val="center"/>
            <w:hideMark w:val="1"/>
          </w:tcPr>
          <w:p w14:paraId="0BA59A7F">
            <w:pPr>
              <w:widowControl w:val="1"/>
              <w:ind w:firstLine="0" w:firstLineChars="0"/>
              <w:jc w:val="center"/>
              <w:rPr>
                <w:rFonts w:cs="Times New Roman"/>
                <w:kern w:val="0"/>
                <w:sz w:val="21"/>
                <w:szCs w:val="21"/>
              </w:rPr>
            </w:pPr>
            <w:r>
              <w:rPr>
                <w:rFonts w:hint="eastAsia" w:cs="Times New Roman"/>
                <w:kern w:val="0"/>
                <w:sz w:val="21"/>
                <w:szCs w:val="21"/>
              </w:rPr>
              <w:t>承担单位</w:t>
            </w:r>
          </w:p>
        </w:tc>
      </w:tr>
      <w:tr>
        <w:trPr>
          <w:trHeight w:val="270"/>
        </w:trPr>
        <w:tc>
          <w:tcPr>
            <w:tcW w:w="764" w:type="pct"/>
            <w:vMerge w:val="restart"/>
            <w:tcBorders>
              <w:top w:val="nil"/>
              <w:left w:val="single" w:color="auto" w:sz="4" w:space="0"/>
              <w:bottom w:val="single" w:color="auto" w:sz="4" w:space="0"/>
              <w:right w:val="single" w:color="auto" w:sz="4" w:space="0"/>
            </w:tcBorders>
            <w:noWrap w:val="1"/>
            <w:vAlign w:val="center"/>
            <w:hideMark w:val="1"/>
          </w:tcPr>
          <w:p w14:paraId="79BAAAFB">
            <w:pPr>
              <w:widowControl w:val="1"/>
              <w:ind w:firstLine="0" w:firstLineChars="0"/>
              <w:jc w:val="center"/>
              <w:rPr>
                <w:rFonts w:cs="Times New Roman"/>
                <w:kern w:val="0"/>
                <w:sz w:val="21"/>
                <w:szCs w:val="21"/>
              </w:rPr>
            </w:pPr>
            <w:r>
              <w:rPr>
                <w:rFonts w:hint="eastAsia" w:cs="Times New Roman"/>
                <w:kern w:val="0"/>
                <w:sz w:val="21"/>
                <w:szCs w:val="21"/>
              </w:rPr>
              <w:t>表层样品</w:t>
            </w:r>
          </w:p>
        </w:tc>
        <w:tc>
          <w:tcPr>
            <w:tcW w:w="1854" w:type="pct"/>
            <w:tcBorders>
              <w:top w:val="nil"/>
              <w:left w:val="nil"/>
              <w:bottom w:val="single" w:color="auto" w:sz="4" w:space="0"/>
              <w:right w:val="single" w:color="auto" w:sz="4" w:space="0"/>
            </w:tcBorders>
            <w:noWrap w:val="1"/>
            <w:vAlign w:val="center"/>
            <w:hideMark w:val="1"/>
          </w:tcPr>
          <w:p w14:paraId="093E489D">
            <w:pPr>
              <w:widowControl w:val="1"/>
              <w:ind w:firstLine="0" w:firstLineChars="0"/>
              <w:jc w:val="center"/>
              <w:rPr>
                <w:rFonts w:cs="Times New Roman"/>
                <w:kern w:val="0"/>
                <w:sz w:val="21"/>
                <w:szCs w:val="21"/>
              </w:rPr>
            </w:pPr>
            <w:r>
              <w:rPr>
                <w:rFonts w:hint="eastAsia" w:cs="Times New Roman"/>
                <w:kern w:val="0"/>
                <w:sz w:val="21"/>
                <w:szCs w:val="21"/>
              </w:rPr>
              <w:t>样品接收</w:t>
            </w:r>
          </w:p>
        </w:tc>
        <w:tc>
          <w:tcPr>
            <w:tcW w:w="395" w:type="pct"/>
            <w:tcBorders>
              <w:top w:val="nil"/>
              <w:left w:val="nil"/>
              <w:bottom w:val="single" w:color="auto" w:sz="4" w:space="0"/>
              <w:right w:val="single" w:color="auto" w:sz="4" w:space="0"/>
            </w:tcBorders>
            <w:noWrap w:val="1"/>
            <w:vAlign w:val="center"/>
            <w:hideMark w:val="1"/>
          </w:tcPr>
          <w:p w14:paraId="35745207">
            <w:pPr>
              <w:widowControl w:val="1"/>
              <w:ind w:firstLine="0" w:firstLineChars="0"/>
              <w:jc w:val="center"/>
              <w:rPr>
                <w:rFonts w:cs="Times New Roman"/>
                <w:kern w:val="0"/>
                <w:sz w:val="21"/>
                <w:szCs w:val="21"/>
              </w:rPr>
            </w:pPr>
            <w:r>
              <w:rPr>
                <w:rFonts w:cs="Times New Roman"/>
                <w:kern w:val="0"/>
                <w:sz w:val="21"/>
                <w:szCs w:val="21"/>
              </w:rPr>
              <w:t>1092</w:t>
            </w:r>
          </w:p>
        </w:tc>
        <w:tc>
          <w:tcPr>
            <w:tcW w:w="1986" w:type="pct"/>
            <w:tcBorders>
              <w:top w:val="nil"/>
              <w:left w:val="nil"/>
              <w:bottom w:val="single" w:color="auto" w:sz="4" w:space="0"/>
              <w:right w:val="single" w:color="auto" w:sz="4" w:space="0"/>
            </w:tcBorders>
            <w:noWrap w:val="1"/>
            <w:vAlign w:val="center"/>
            <w:hideMark w:val="1"/>
          </w:tcPr>
          <w:p w14:paraId="4A7BA9B7">
            <w:pPr>
              <w:widowControl w:val="1"/>
              <w:ind w:firstLine="0" w:firstLineChars="0"/>
              <w:jc w:val="center"/>
              <w:rPr>
                <w:rFonts w:cs="Times New Roman"/>
                <w:kern w:val="0"/>
                <w:sz w:val="21"/>
                <w:szCs w:val="21"/>
              </w:rPr>
            </w:pPr>
            <w:r>
              <w:rPr>
                <w:rFonts w:hint="eastAsia" w:cs="Times New Roman"/>
                <w:kern w:val="0"/>
                <w:sz w:val="21"/>
                <w:szCs w:val="21"/>
              </w:rPr>
              <w:t>河北谱尼测试科技有限公司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4ECD938D">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3FA25B78">
            <w:pPr>
              <w:widowControl w:val="1"/>
              <w:ind w:firstLine="0" w:firstLineChars="0"/>
              <w:jc w:val="center"/>
              <w:rPr>
                <w:rFonts w:cs="Times New Roman"/>
                <w:kern w:val="0"/>
                <w:sz w:val="21"/>
                <w:szCs w:val="21"/>
              </w:rPr>
            </w:pPr>
            <w:r>
              <w:rPr>
                <w:rFonts w:hint="eastAsia" w:cs="Times New Roman"/>
                <w:kern w:val="0"/>
                <w:sz w:val="21"/>
                <w:szCs w:val="21"/>
              </w:rPr>
              <w:t>样品风干</w:t>
            </w:r>
          </w:p>
        </w:tc>
        <w:tc>
          <w:tcPr>
            <w:tcW w:w="395" w:type="pct"/>
            <w:tcBorders>
              <w:top w:val="nil"/>
              <w:left w:val="nil"/>
              <w:bottom w:val="single" w:color="auto" w:sz="4" w:space="0"/>
              <w:right w:val="single" w:color="auto" w:sz="4" w:space="0"/>
            </w:tcBorders>
            <w:noWrap w:val="1"/>
            <w:vAlign w:val="center"/>
            <w:hideMark w:val="1"/>
          </w:tcPr>
          <w:p w14:paraId="529BDCDD">
            <w:pPr>
              <w:widowControl w:val="1"/>
              <w:ind w:firstLine="0" w:firstLineChars="0"/>
              <w:jc w:val="center"/>
              <w:rPr>
                <w:rFonts w:cs="Times New Roman"/>
                <w:kern w:val="0"/>
                <w:sz w:val="21"/>
                <w:szCs w:val="21"/>
              </w:rPr>
            </w:pPr>
            <w:r>
              <w:rPr>
                <w:rFonts w:cs="Times New Roman"/>
                <w:kern w:val="0"/>
                <w:sz w:val="21"/>
                <w:szCs w:val="21"/>
              </w:rPr>
              <w:t>1092</w:t>
            </w:r>
          </w:p>
        </w:tc>
        <w:tc>
          <w:tcPr>
            <w:tcW w:w="1986" w:type="pct"/>
            <w:tcBorders>
              <w:top w:val="nil"/>
              <w:left w:val="nil"/>
              <w:bottom w:val="single" w:color="auto" w:sz="4" w:space="0"/>
              <w:right w:val="single" w:color="auto" w:sz="4" w:space="0"/>
            </w:tcBorders>
            <w:noWrap w:val="1"/>
            <w:vAlign w:val="center"/>
            <w:hideMark w:val="1"/>
          </w:tcPr>
          <w:p w14:paraId="4074F50F">
            <w:pPr>
              <w:widowControl w:val="1"/>
              <w:ind w:firstLine="0" w:firstLineChars="0"/>
              <w:jc w:val="center"/>
              <w:rPr>
                <w:rFonts w:cs="Times New Roman"/>
                <w:kern w:val="0"/>
                <w:sz w:val="21"/>
                <w:szCs w:val="21"/>
              </w:rPr>
            </w:pPr>
            <w:r>
              <w:rPr>
                <w:rFonts w:hint="eastAsia" w:cs="Times New Roman"/>
                <w:kern w:val="0"/>
                <w:sz w:val="21"/>
                <w:szCs w:val="21"/>
              </w:rPr>
              <w:t>河北谱尼测试科技有限公司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6C10C549">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5A6D7E0D">
            <w:pPr>
              <w:widowControl w:val="1"/>
              <w:ind w:firstLine="0" w:firstLineChars="0"/>
              <w:jc w:val="center"/>
              <w:rPr>
                <w:rFonts w:cs="Times New Roman"/>
                <w:kern w:val="0"/>
                <w:sz w:val="21"/>
                <w:szCs w:val="21"/>
              </w:rPr>
            </w:pPr>
            <w:r>
              <w:rPr>
                <w:rFonts w:hint="eastAsia" w:cs="Times New Roman"/>
                <w:kern w:val="0"/>
                <w:sz w:val="21"/>
                <w:szCs w:val="21"/>
              </w:rPr>
              <w:t>样品制备</w:t>
            </w:r>
          </w:p>
        </w:tc>
        <w:tc>
          <w:tcPr>
            <w:tcW w:w="395" w:type="pct"/>
            <w:tcBorders>
              <w:top w:val="nil"/>
              <w:left w:val="nil"/>
              <w:bottom w:val="single" w:color="auto" w:sz="4" w:space="0"/>
              <w:right w:val="single" w:color="auto" w:sz="4" w:space="0"/>
            </w:tcBorders>
            <w:noWrap w:val="1"/>
            <w:vAlign w:val="center"/>
            <w:hideMark w:val="1"/>
          </w:tcPr>
          <w:p w14:paraId="35898E5E">
            <w:pPr>
              <w:widowControl w:val="1"/>
              <w:ind w:firstLine="0" w:firstLineChars="0"/>
              <w:jc w:val="center"/>
              <w:rPr>
                <w:rFonts w:cs="Times New Roman"/>
                <w:kern w:val="0"/>
                <w:sz w:val="21"/>
                <w:szCs w:val="21"/>
              </w:rPr>
            </w:pPr>
            <w:r>
              <w:rPr>
                <w:rFonts w:cs="Times New Roman"/>
                <w:kern w:val="0"/>
                <w:sz w:val="21"/>
                <w:szCs w:val="21"/>
              </w:rPr>
              <w:t>1092</w:t>
            </w:r>
          </w:p>
        </w:tc>
        <w:tc>
          <w:tcPr>
            <w:tcW w:w="1986" w:type="pct"/>
            <w:tcBorders>
              <w:top w:val="nil"/>
              <w:left w:val="nil"/>
              <w:bottom w:val="single" w:color="auto" w:sz="4" w:space="0"/>
              <w:right w:val="single" w:color="auto" w:sz="4" w:space="0"/>
            </w:tcBorders>
            <w:noWrap w:val="1"/>
            <w:vAlign w:val="center"/>
            <w:hideMark w:val="1"/>
          </w:tcPr>
          <w:p w14:paraId="79277739">
            <w:pPr>
              <w:widowControl w:val="1"/>
              <w:ind w:firstLine="0" w:firstLineChars="0"/>
              <w:jc w:val="center"/>
              <w:rPr>
                <w:rFonts w:cs="Times New Roman"/>
                <w:kern w:val="0"/>
                <w:sz w:val="21"/>
                <w:szCs w:val="21"/>
              </w:rPr>
            </w:pPr>
            <w:r>
              <w:rPr>
                <w:rFonts w:hint="eastAsia" w:cs="Times New Roman"/>
                <w:kern w:val="0"/>
                <w:sz w:val="21"/>
                <w:szCs w:val="21"/>
              </w:rPr>
              <w:t>河北谱尼测试科技有限公司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305C0D22">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5670A98B">
            <w:pPr>
              <w:widowControl w:val="1"/>
              <w:ind w:firstLine="0" w:firstLineChars="0"/>
              <w:jc w:val="center"/>
              <w:rPr>
                <w:rFonts w:cs="Times New Roman"/>
                <w:kern w:val="0"/>
                <w:sz w:val="21"/>
                <w:szCs w:val="21"/>
              </w:rPr>
            </w:pPr>
            <w:r>
              <w:rPr>
                <w:rFonts w:hint="eastAsia" w:cs="Times New Roman"/>
                <w:kern w:val="0"/>
                <w:sz w:val="21"/>
                <w:szCs w:val="21"/>
              </w:rPr>
              <w:t>表层样品检测项次</w:t>
            </w:r>
          </w:p>
        </w:tc>
        <w:tc>
          <w:tcPr>
            <w:tcW w:w="395" w:type="pct"/>
            <w:tcBorders>
              <w:top w:val="nil"/>
              <w:left w:val="nil"/>
              <w:bottom w:val="single" w:color="auto" w:sz="4" w:space="0"/>
              <w:right w:val="single" w:color="auto" w:sz="4" w:space="0"/>
            </w:tcBorders>
            <w:noWrap w:val="1"/>
            <w:vAlign w:val="center"/>
            <w:hideMark w:val="1"/>
          </w:tcPr>
          <w:p w14:paraId="3B250B52">
            <w:pPr>
              <w:widowControl w:val="1"/>
              <w:ind w:firstLine="0" w:firstLineChars="0"/>
              <w:jc w:val="center"/>
              <w:rPr>
                <w:rFonts w:cs="Times New Roman"/>
                <w:kern w:val="0"/>
                <w:sz w:val="21"/>
                <w:szCs w:val="21"/>
              </w:rPr>
            </w:pPr>
          </w:p>
        </w:tc>
        <w:tc>
          <w:tcPr>
            <w:tcW w:w="1986" w:type="pct"/>
            <w:tcBorders>
              <w:top w:val="nil"/>
              <w:left w:val="nil"/>
              <w:bottom w:val="single" w:color="auto" w:sz="4" w:space="0"/>
              <w:right w:val="single" w:color="auto" w:sz="4" w:space="0"/>
            </w:tcBorders>
            <w:noWrap w:val="1"/>
            <w:vAlign w:val="center"/>
            <w:hideMark w:val="1"/>
          </w:tcPr>
          <w:p w14:paraId="173009C1">
            <w:pPr>
              <w:widowControl w:val="1"/>
              <w:ind w:firstLine="0" w:firstLineChars="0"/>
              <w:jc w:val="center"/>
              <w:rPr>
                <w:rFonts w:cs="Times New Roman"/>
                <w:kern w:val="0"/>
                <w:sz w:val="21"/>
                <w:szCs w:val="21"/>
              </w:rPr>
            </w:pPr>
            <w:r>
              <w:rPr>
                <w:rFonts w:hint="eastAsia" w:cs="Times New Roman"/>
                <w:kern w:val="0"/>
                <w:sz w:val="21"/>
                <w:szCs w:val="21"/>
              </w:rPr>
              <w:t>河北谱尼测试科技有限公司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0BFE4696">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34E6AD6D">
            <w:pPr>
              <w:widowControl w:val="1"/>
              <w:ind w:firstLine="0" w:firstLineChars="0"/>
              <w:jc w:val="center"/>
              <w:rPr>
                <w:rFonts w:cs="Times New Roman"/>
                <w:kern w:val="0"/>
                <w:sz w:val="21"/>
                <w:szCs w:val="21"/>
              </w:rPr>
            </w:pPr>
            <w:r>
              <w:rPr>
                <w:rFonts w:hint="eastAsia" w:cs="Times New Roman"/>
                <w:kern w:val="0"/>
                <w:sz w:val="21"/>
                <w:szCs w:val="21"/>
              </w:rPr>
              <w:t>水稳性大团聚体样品检测项次</w:t>
            </w:r>
          </w:p>
        </w:tc>
        <w:tc>
          <w:tcPr>
            <w:tcW w:w="395" w:type="pct"/>
            <w:tcBorders>
              <w:top w:val="nil"/>
              <w:left w:val="nil"/>
              <w:bottom w:val="single" w:color="auto" w:sz="4" w:space="0"/>
              <w:right w:val="single" w:color="auto" w:sz="4" w:space="0"/>
            </w:tcBorders>
            <w:noWrap w:val="1"/>
            <w:vAlign w:val="center"/>
            <w:hideMark w:val="1"/>
          </w:tcPr>
          <w:p w14:paraId="10980CA3">
            <w:pPr>
              <w:widowControl w:val="1"/>
              <w:ind w:firstLine="0" w:firstLineChars="0"/>
              <w:jc w:val="center"/>
              <w:rPr>
                <w:rFonts w:cs="Times New Roman"/>
                <w:kern w:val="0"/>
                <w:sz w:val="21"/>
                <w:szCs w:val="21"/>
              </w:rPr>
            </w:pPr>
            <w:r>
              <w:rPr>
                <w:rFonts w:cs="Times New Roman"/>
                <w:kern w:val="0"/>
                <w:sz w:val="21"/>
                <w:szCs w:val="21"/>
              </w:rPr>
              <w:t>7</w:t>
            </w:r>
          </w:p>
        </w:tc>
        <w:tc>
          <w:tcPr>
            <w:tcW w:w="1986" w:type="pct"/>
            <w:tcBorders>
              <w:top w:val="nil"/>
              <w:left w:val="nil"/>
              <w:bottom w:val="single" w:color="auto" w:sz="4" w:space="0"/>
              <w:right w:val="single" w:color="auto" w:sz="4" w:space="0"/>
            </w:tcBorders>
            <w:noWrap w:val="1"/>
            <w:vAlign w:val="center"/>
            <w:hideMark w:val="1"/>
          </w:tcPr>
          <w:p w14:paraId="34297B1E">
            <w:pPr>
              <w:widowControl w:val="1"/>
              <w:ind w:firstLine="0" w:firstLineChars="0"/>
              <w:jc w:val="center"/>
              <w:rPr>
                <w:rFonts w:cs="Times New Roman"/>
                <w:kern w:val="0"/>
                <w:sz w:val="21"/>
                <w:szCs w:val="21"/>
              </w:rPr>
            </w:pPr>
            <w:r>
              <w:rPr>
                <w:rFonts w:hint="eastAsia" w:cs="Times New Roman"/>
                <w:kern w:val="0"/>
                <w:sz w:val="21"/>
                <w:szCs w:val="21"/>
              </w:rPr>
              <w:t>河北谱尼测试科技有限公司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5CBE7124">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11075ECD">
            <w:pPr>
              <w:widowControl w:val="1"/>
              <w:ind w:firstLine="0" w:firstLineChars="0"/>
              <w:jc w:val="center"/>
              <w:rPr>
                <w:rFonts w:cs="Times New Roman"/>
                <w:kern w:val="0"/>
                <w:sz w:val="21"/>
                <w:szCs w:val="21"/>
              </w:rPr>
            </w:pPr>
            <w:r>
              <w:rPr>
                <w:rFonts w:hint="eastAsia" w:cs="Times New Roman"/>
                <w:kern w:val="0"/>
                <w:sz w:val="21"/>
                <w:szCs w:val="21"/>
              </w:rPr>
              <w:t>容重样品检测项次</w:t>
            </w:r>
          </w:p>
        </w:tc>
        <w:tc>
          <w:tcPr>
            <w:tcW w:w="395" w:type="pct"/>
            <w:tcBorders>
              <w:top w:val="nil"/>
              <w:left w:val="nil"/>
              <w:bottom w:val="single" w:color="auto" w:sz="4" w:space="0"/>
              <w:right w:val="single" w:color="auto" w:sz="4" w:space="0"/>
            </w:tcBorders>
            <w:noWrap w:val="1"/>
            <w:vAlign w:val="center"/>
            <w:hideMark w:val="1"/>
          </w:tcPr>
          <w:p w14:paraId="62CCA773">
            <w:pPr>
              <w:widowControl w:val="1"/>
              <w:ind w:firstLine="0" w:firstLineChars="0"/>
              <w:jc w:val="center"/>
              <w:rPr>
                <w:rFonts w:cs="Times New Roman"/>
                <w:kern w:val="0"/>
                <w:sz w:val="21"/>
                <w:szCs w:val="21"/>
              </w:rPr>
            </w:pPr>
            <w:r>
              <w:rPr>
                <w:rFonts w:cs="Times New Roman"/>
                <w:kern w:val="0"/>
                <w:sz w:val="21"/>
                <w:szCs w:val="21"/>
              </w:rPr>
              <w:t>5</w:t>
            </w:r>
          </w:p>
        </w:tc>
        <w:tc>
          <w:tcPr>
            <w:tcW w:w="1986" w:type="pct"/>
            <w:tcBorders>
              <w:top w:val="nil"/>
              <w:left w:val="nil"/>
              <w:bottom w:val="single" w:color="auto" w:sz="4" w:space="0"/>
              <w:right w:val="single" w:color="auto" w:sz="4" w:space="0"/>
            </w:tcBorders>
            <w:noWrap w:val="1"/>
            <w:vAlign w:val="center"/>
            <w:hideMark w:val="1"/>
          </w:tcPr>
          <w:p w14:paraId="6040E3D5">
            <w:pPr>
              <w:widowControl w:val="1"/>
              <w:ind w:firstLine="0" w:firstLineChars="0"/>
              <w:jc w:val="center"/>
              <w:rPr>
                <w:rFonts w:cs="Times New Roman"/>
                <w:kern w:val="0"/>
                <w:sz w:val="21"/>
                <w:szCs w:val="21"/>
              </w:rPr>
            </w:pPr>
            <w:r>
              <w:rPr>
                <w:rFonts w:hint="eastAsia" w:cs="Times New Roman"/>
                <w:kern w:val="0"/>
                <w:sz w:val="21"/>
                <w:szCs w:val="21"/>
              </w:rPr>
              <w:t>河北谱尼测试科技有限公司</w:t>
            </w:r>
          </w:p>
        </w:tc>
      </w:tr>
      <w:tr>
        <w:trPr>
          <w:trHeight w:val="270"/>
        </w:trPr>
        <w:tc>
          <w:tcPr>
            <w:tcW w:w="764" w:type="pct"/>
            <w:vMerge w:val="restart"/>
            <w:tcBorders>
              <w:top w:val="nil"/>
              <w:left w:val="single" w:color="auto" w:sz="4" w:space="0"/>
              <w:bottom w:val="single" w:color="auto" w:sz="4" w:space="0"/>
              <w:right w:val="single" w:color="auto" w:sz="4" w:space="0"/>
            </w:tcBorders>
            <w:noWrap w:val="1"/>
            <w:vAlign w:val="center"/>
            <w:hideMark w:val="1"/>
          </w:tcPr>
          <w:p w14:paraId="7808D789">
            <w:pPr>
              <w:widowControl w:val="1"/>
              <w:ind w:firstLine="0" w:firstLineChars="0"/>
              <w:jc w:val="center"/>
              <w:rPr>
                <w:rFonts w:cs="Times New Roman"/>
                <w:kern w:val="0"/>
                <w:sz w:val="21"/>
                <w:szCs w:val="21"/>
              </w:rPr>
            </w:pPr>
            <w:r>
              <w:rPr>
                <w:rFonts w:hint="eastAsia" w:cs="Times New Roman"/>
                <w:kern w:val="0"/>
                <w:sz w:val="21"/>
                <w:szCs w:val="21"/>
              </w:rPr>
              <w:t>剖面样品</w:t>
            </w:r>
          </w:p>
        </w:tc>
        <w:tc>
          <w:tcPr>
            <w:tcW w:w="1854" w:type="pct"/>
            <w:tcBorders>
              <w:top w:val="nil"/>
              <w:left w:val="nil"/>
              <w:bottom w:val="single" w:color="auto" w:sz="4" w:space="0"/>
              <w:right w:val="single" w:color="auto" w:sz="4" w:space="0"/>
            </w:tcBorders>
            <w:noWrap w:val="1"/>
            <w:vAlign w:val="center"/>
            <w:hideMark w:val="1"/>
          </w:tcPr>
          <w:p w14:paraId="0641ADFD">
            <w:pPr>
              <w:widowControl w:val="1"/>
              <w:ind w:firstLine="0" w:firstLineChars="0"/>
              <w:jc w:val="center"/>
              <w:rPr>
                <w:rFonts w:cs="Times New Roman"/>
                <w:kern w:val="0"/>
                <w:sz w:val="21"/>
                <w:szCs w:val="21"/>
              </w:rPr>
            </w:pPr>
            <w:r>
              <w:rPr>
                <w:rFonts w:hint="eastAsia" w:cs="Times New Roman"/>
                <w:kern w:val="0"/>
                <w:sz w:val="21"/>
                <w:szCs w:val="21"/>
              </w:rPr>
              <w:t>样品接收</w:t>
            </w:r>
          </w:p>
        </w:tc>
        <w:tc>
          <w:tcPr>
            <w:tcW w:w="395" w:type="pct"/>
            <w:tcBorders>
              <w:top w:val="nil"/>
              <w:left w:val="nil"/>
              <w:bottom w:val="single" w:color="auto" w:sz="4" w:space="0"/>
              <w:right w:val="single" w:color="auto" w:sz="4" w:space="0"/>
            </w:tcBorders>
            <w:noWrap w:val="1"/>
            <w:vAlign w:val="center"/>
            <w:hideMark w:val="1"/>
          </w:tcPr>
          <w:p w14:paraId="20BC8945">
            <w:pPr>
              <w:widowControl w:val="1"/>
              <w:ind w:firstLine="0" w:firstLineChars="0"/>
              <w:jc w:val="center"/>
              <w:rPr>
                <w:rFonts w:cs="Times New Roman"/>
                <w:kern w:val="0"/>
                <w:sz w:val="21"/>
                <w:szCs w:val="21"/>
              </w:rPr>
            </w:pPr>
            <w:r>
              <w:rPr>
                <w:rFonts w:cs="Times New Roman"/>
                <w:kern w:val="0"/>
                <w:sz w:val="21"/>
                <w:szCs w:val="21"/>
              </w:rPr>
              <w:t>130</w:t>
            </w:r>
          </w:p>
        </w:tc>
        <w:tc>
          <w:tcPr>
            <w:tcW w:w="1986" w:type="pct"/>
            <w:tcBorders>
              <w:top w:val="nil"/>
              <w:left w:val="nil"/>
              <w:bottom w:val="single" w:color="auto" w:sz="4" w:space="0"/>
              <w:right w:val="single" w:color="auto" w:sz="4" w:space="0"/>
            </w:tcBorders>
            <w:noWrap w:val="1"/>
            <w:vAlign w:val="center"/>
            <w:hideMark w:val="1"/>
          </w:tcPr>
          <w:p w14:paraId="7BEAE50B">
            <w:pPr>
              <w:widowControl w:val="1"/>
              <w:ind w:firstLine="0" w:firstLineChars="0"/>
              <w:jc w:val="center"/>
              <w:rPr>
                <w:rFonts w:cs="Times New Roman"/>
                <w:kern w:val="0"/>
                <w:sz w:val="21"/>
                <w:szCs w:val="21"/>
              </w:rPr>
            </w:pPr>
            <w:r>
              <w:rPr>
                <w:rFonts w:hint="eastAsia" w:cs="Times New Roman"/>
                <w:kern w:val="0"/>
                <w:sz w:val="21"/>
                <w:szCs w:val="21"/>
              </w:rPr>
              <w:t>河北实朴检测技术服务有限公司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2D10D6B5">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7A09AB74">
            <w:pPr>
              <w:widowControl w:val="1"/>
              <w:ind w:firstLine="0" w:firstLineChars="0"/>
              <w:jc w:val="center"/>
              <w:rPr>
                <w:rFonts w:cs="Times New Roman"/>
                <w:kern w:val="0"/>
                <w:sz w:val="21"/>
                <w:szCs w:val="21"/>
              </w:rPr>
            </w:pPr>
            <w:r>
              <w:rPr>
                <w:rFonts w:hint="eastAsia" w:cs="Times New Roman"/>
                <w:kern w:val="0"/>
                <w:sz w:val="21"/>
                <w:szCs w:val="21"/>
              </w:rPr>
              <w:t>样品风干</w:t>
            </w:r>
          </w:p>
        </w:tc>
        <w:tc>
          <w:tcPr>
            <w:tcW w:w="395" w:type="pct"/>
            <w:tcBorders>
              <w:top w:val="nil"/>
              <w:left w:val="nil"/>
              <w:bottom w:val="single" w:color="auto" w:sz="4" w:space="0"/>
              <w:right w:val="single" w:color="auto" w:sz="4" w:space="0"/>
            </w:tcBorders>
            <w:noWrap w:val="1"/>
            <w:vAlign w:val="center"/>
            <w:hideMark w:val="1"/>
          </w:tcPr>
          <w:p w14:paraId="600368D7">
            <w:pPr>
              <w:widowControl w:val="1"/>
              <w:ind w:firstLine="0" w:firstLineChars="0"/>
              <w:jc w:val="center"/>
              <w:rPr>
                <w:rFonts w:cs="Times New Roman"/>
                <w:kern w:val="0"/>
                <w:sz w:val="21"/>
                <w:szCs w:val="21"/>
              </w:rPr>
            </w:pPr>
            <w:r>
              <w:rPr>
                <w:rFonts w:cs="Times New Roman"/>
                <w:kern w:val="0"/>
                <w:sz w:val="21"/>
                <w:szCs w:val="21"/>
              </w:rPr>
              <w:t>130</w:t>
            </w:r>
          </w:p>
        </w:tc>
        <w:tc>
          <w:tcPr>
            <w:tcW w:w="1986" w:type="pct"/>
            <w:tcBorders>
              <w:top w:val="nil"/>
              <w:left w:val="nil"/>
              <w:bottom w:val="single" w:color="auto" w:sz="4" w:space="0"/>
              <w:right w:val="single" w:color="auto" w:sz="4" w:space="0"/>
            </w:tcBorders>
            <w:noWrap w:val="1"/>
            <w:vAlign w:val="center"/>
            <w:hideMark w:val="1"/>
          </w:tcPr>
          <w:p w14:paraId="7DD9E8ED">
            <w:pPr>
              <w:widowControl w:val="1"/>
              <w:ind w:firstLine="0" w:firstLineChars="0"/>
              <w:jc w:val="center"/>
              <w:rPr>
                <w:rFonts w:cs="Times New Roman"/>
                <w:kern w:val="0"/>
                <w:sz w:val="21"/>
                <w:szCs w:val="21"/>
              </w:rPr>
            </w:pPr>
            <w:r>
              <w:rPr>
                <w:rFonts w:hint="eastAsia" w:cs="Times New Roman"/>
                <w:kern w:val="0"/>
                <w:sz w:val="21"/>
                <w:szCs w:val="21"/>
              </w:rPr>
              <w:t>河北实朴检测技术服务有限公司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78591029">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0BCDF5A0">
            <w:pPr>
              <w:widowControl w:val="1"/>
              <w:ind w:firstLine="0" w:firstLineChars="0"/>
              <w:jc w:val="center"/>
              <w:rPr>
                <w:rFonts w:cs="Times New Roman"/>
                <w:kern w:val="0"/>
                <w:sz w:val="21"/>
                <w:szCs w:val="21"/>
              </w:rPr>
            </w:pPr>
            <w:r>
              <w:rPr>
                <w:rFonts w:hint="eastAsia" w:cs="Times New Roman"/>
                <w:kern w:val="0"/>
                <w:sz w:val="21"/>
                <w:szCs w:val="21"/>
              </w:rPr>
              <w:t>样品制备</w:t>
            </w:r>
          </w:p>
        </w:tc>
        <w:tc>
          <w:tcPr>
            <w:tcW w:w="395" w:type="pct"/>
            <w:tcBorders>
              <w:top w:val="nil"/>
              <w:left w:val="nil"/>
              <w:bottom w:val="single" w:color="auto" w:sz="4" w:space="0"/>
              <w:right w:val="single" w:color="auto" w:sz="4" w:space="0"/>
            </w:tcBorders>
            <w:noWrap w:val="1"/>
            <w:vAlign w:val="center"/>
            <w:hideMark w:val="1"/>
          </w:tcPr>
          <w:p w14:paraId="7754B0FF">
            <w:pPr>
              <w:widowControl w:val="1"/>
              <w:ind w:firstLine="0" w:firstLineChars="0"/>
              <w:jc w:val="center"/>
              <w:rPr>
                <w:rFonts w:cs="Times New Roman"/>
                <w:kern w:val="0"/>
                <w:sz w:val="21"/>
                <w:szCs w:val="21"/>
              </w:rPr>
            </w:pPr>
            <w:r>
              <w:rPr>
                <w:rFonts w:cs="Times New Roman"/>
                <w:kern w:val="0"/>
                <w:sz w:val="21"/>
                <w:szCs w:val="21"/>
              </w:rPr>
              <w:t>130</w:t>
            </w:r>
          </w:p>
        </w:tc>
        <w:tc>
          <w:tcPr>
            <w:tcW w:w="1986" w:type="pct"/>
            <w:tcBorders>
              <w:top w:val="nil"/>
              <w:left w:val="nil"/>
              <w:bottom w:val="single" w:color="auto" w:sz="4" w:space="0"/>
              <w:right w:val="single" w:color="auto" w:sz="4" w:space="0"/>
            </w:tcBorders>
            <w:noWrap w:val="1"/>
            <w:vAlign w:val="center"/>
            <w:hideMark w:val="1"/>
          </w:tcPr>
          <w:p w14:paraId="0717177C">
            <w:pPr>
              <w:widowControl w:val="1"/>
              <w:ind w:firstLine="0" w:firstLineChars="0"/>
              <w:jc w:val="center"/>
              <w:rPr>
                <w:rFonts w:cs="Times New Roman"/>
                <w:kern w:val="0"/>
                <w:sz w:val="21"/>
                <w:szCs w:val="21"/>
              </w:rPr>
            </w:pPr>
            <w:r>
              <w:rPr>
                <w:rFonts w:hint="eastAsia" w:cs="Times New Roman"/>
                <w:kern w:val="0"/>
                <w:sz w:val="21"/>
                <w:szCs w:val="21"/>
              </w:rPr>
              <w:t>河北实朴检测技术服务有限公司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5DBABAD6">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5F9E9003">
            <w:pPr>
              <w:widowControl w:val="1"/>
              <w:ind w:firstLine="0" w:firstLineChars="0"/>
              <w:jc w:val="center"/>
              <w:rPr>
                <w:rFonts w:cs="Times New Roman"/>
                <w:kern w:val="0"/>
                <w:sz w:val="21"/>
                <w:szCs w:val="21"/>
              </w:rPr>
            </w:pPr>
            <w:r>
              <w:rPr>
                <w:rFonts w:hint="eastAsia" w:cs="Times New Roman"/>
                <w:kern w:val="0"/>
                <w:sz w:val="21"/>
                <w:szCs w:val="21"/>
              </w:rPr>
              <w:t>剖面样品检测项次</w:t>
            </w:r>
          </w:p>
        </w:tc>
        <w:tc>
          <w:tcPr>
            <w:tcW w:w="395" w:type="pct"/>
            <w:tcBorders>
              <w:top w:val="nil"/>
              <w:left w:val="nil"/>
              <w:bottom w:val="single" w:color="auto" w:sz="4" w:space="0"/>
              <w:right w:val="single" w:color="auto" w:sz="4" w:space="0"/>
            </w:tcBorders>
            <w:noWrap w:val="1"/>
            <w:vAlign w:val="center"/>
            <w:hideMark w:val="1"/>
          </w:tcPr>
          <w:p w14:paraId="6107AEFC">
            <w:pPr>
              <w:widowControl w:val="1"/>
              <w:ind w:firstLine="0" w:firstLineChars="0"/>
              <w:jc w:val="center"/>
              <w:rPr>
                <w:rFonts w:cs="Times New Roman"/>
                <w:kern w:val="0"/>
                <w:sz w:val="21"/>
                <w:szCs w:val="21"/>
              </w:rPr>
            </w:pPr>
          </w:p>
        </w:tc>
        <w:tc>
          <w:tcPr>
            <w:tcW w:w="1986" w:type="pct"/>
            <w:tcBorders>
              <w:top w:val="nil"/>
              <w:left w:val="nil"/>
              <w:bottom w:val="single" w:color="auto" w:sz="4" w:space="0"/>
              <w:right w:val="single" w:color="auto" w:sz="4" w:space="0"/>
            </w:tcBorders>
            <w:noWrap w:val="1"/>
            <w:vAlign w:val="center"/>
            <w:hideMark w:val="1"/>
          </w:tcPr>
          <w:p w14:paraId="7ED0E8F6">
            <w:pPr>
              <w:widowControl w:val="1"/>
              <w:ind w:firstLine="0" w:firstLineChars="0"/>
              <w:jc w:val="center"/>
              <w:rPr>
                <w:rFonts w:cs="Times New Roman"/>
                <w:kern w:val="0"/>
                <w:sz w:val="21"/>
                <w:szCs w:val="21"/>
              </w:rPr>
            </w:pPr>
            <w:r>
              <w:rPr>
                <w:rFonts w:hint="eastAsia" w:cs="Times New Roman"/>
                <w:kern w:val="0"/>
                <w:sz w:val="21"/>
                <w:szCs w:val="21"/>
              </w:rPr>
              <w:t>河北实朴检测技术服务有限公司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48EEBD44">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09DFAEAD">
            <w:pPr>
              <w:widowControl w:val="1"/>
              <w:ind w:firstLine="0" w:firstLineChars="0"/>
              <w:jc w:val="center"/>
              <w:rPr>
                <w:rFonts w:cs="Times New Roman"/>
                <w:kern w:val="0"/>
                <w:sz w:val="21"/>
                <w:szCs w:val="21"/>
              </w:rPr>
            </w:pPr>
            <w:r>
              <w:rPr>
                <w:rFonts w:hint="eastAsia" w:cs="Times New Roman"/>
                <w:kern w:val="0"/>
                <w:sz w:val="21"/>
                <w:szCs w:val="21"/>
              </w:rPr>
              <w:t>水稳性大团聚体样品检测项次</w:t>
            </w:r>
          </w:p>
        </w:tc>
        <w:tc>
          <w:tcPr>
            <w:tcW w:w="395" w:type="pct"/>
            <w:tcBorders>
              <w:top w:val="nil"/>
              <w:left w:val="nil"/>
              <w:bottom w:val="single" w:color="auto" w:sz="4" w:space="0"/>
              <w:right w:val="single" w:color="auto" w:sz="4" w:space="0"/>
            </w:tcBorders>
            <w:noWrap w:val="1"/>
            <w:vAlign w:val="center"/>
            <w:hideMark w:val="1"/>
          </w:tcPr>
          <w:p w14:paraId="653CD592">
            <w:pPr>
              <w:widowControl w:val="1"/>
              <w:ind w:firstLine="0" w:firstLineChars="0"/>
              <w:jc w:val="center"/>
              <w:rPr>
                <w:rFonts w:cs="Times New Roman"/>
                <w:kern w:val="0"/>
                <w:sz w:val="21"/>
                <w:szCs w:val="21"/>
              </w:rPr>
            </w:pPr>
            <w:r>
              <w:rPr>
                <w:rFonts w:cs="Times New Roman"/>
                <w:kern w:val="0"/>
                <w:sz w:val="21"/>
                <w:szCs w:val="21"/>
              </w:rPr>
              <w:t>7</w:t>
            </w:r>
          </w:p>
        </w:tc>
        <w:tc>
          <w:tcPr>
            <w:tcW w:w="1986" w:type="pct"/>
            <w:tcBorders>
              <w:top w:val="nil"/>
              <w:left w:val="nil"/>
              <w:bottom w:val="single" w:color="auto" w:sz="4" w:space="0"/>
              <w:right w:val="single" w:color="auto" w:sz="4" w:space="0"/>
            </w:tcBorders>
            <w:noWrap w:val="1"/>
            <w:vAlign w:val="center"/>
            <w:hideMark w:val="1"/>
          </w:tcPr>
          <w:p w14:paraId="69DA411D">
            <w:pPr>
              <w:widowControl w:val="1"/>
              <w:ind w:firstLine="0" w:firstLineChars="0"/>
              <w:jc w:val="center"/>
              <w:rPr>
                <w:rFonts w:cs="Times New Roman"/>
                <w:kern w:val="0"/>
                <w:sz w:val="21"/>
                <w:szCs w:val="21"/>
              </w:rPr>
            </w:pPr>
            <w:r>
              <w:rPr>
                <w:rFonts w:hint="eastAsia" w:cs="Times New Roman"/>
                <w:kern w:val="0"/>
                <w:sz w:val="21"/>
                <w:szCs w:val="21"/>
              </w:rPr>
              <w:t>河北实朴检测技术服务有限公司</w:t>
            </w:r>
          </w:p>
        </w:tc>
      </w:tr>
      <w:tr>
        <w:trPr>
          <w:trHeight w:val="270"/>
        </w:trPr>
        <w:tc>
          <w:tcPr>
            <w:tcW w:w="764" w:type="pct"/>
            <w:vMerge w:val="continue"/>
            <w:tcBorders>
              <w:top w:val="nil"/>
              <w:left w:val="single" w:color="auto" w:sz="4" w:space="0"/>
              <w:bottom w:val="single" w:color="auto" w:sz="4" w:space="0"/>
              <w:right w:val="single" w:color="auto" w:sz="4" w:space="0"/>
            </w:tcBorders>
            <w:vAlign w:val="center"/>
            <w:hideMark w:val="1"/>
          </w:tcPr>
          <w:p w14:paraId="413C2132">
            <w:pPr>
              <w:widowControl w:val="1"/>
              <w:ind w:firstLine="0" w:firstLineChars="0"/>
              <w:jc w:val="left"/>
              <w:rPr>
                <w:rFonts w:cs="Times New Roman"/>
                <w:kern w:val="0"/>
                <w:sz w:val="21"/>
                <w:szCs w:val="21"/>
              </w:rPr>
            </w:pPr>
          </w:p>
        </w:tc>
        <w:tc>
          <w:tcPr>
            <w:tcW w:w="1854" w:type="pct"/>
            <w:tcBorders>
              <w:top w:val="nil"/>
              <w:left w:val="nil"/>
              <w:bottom w:val="single" w:color="auto" w:sz="4" w:space="0"/>
              <w:right w:val="single" w:color="auto" w:sz="4" w:space="0"/>
            </w:tcBorders>
            <w:noWrap w:val="1"/>
            <w:vAlign w:val="center"/>
            <w:hideMark w:val="1"/>
          </w:tcPr>
          <w:p w14:paraId="3AD243EC">
            <w:pPr>
              <w:widowControl w:val="1"/>
              <w:ind w:firstLine="0" w:firstLineChars="0"/>
              <w:jc w:val="center"/>
              <w:rPr>
                <w:rFonts w:cs="Times New Roman"/>
                <w:kern w:val="0"/>
                <w:sz w:val="21"/>
                <w:szCs w:val="21"/>
              </w:rPr>
            </w:pPr>
            <w:r>
              <w:rPr>
                <w:rFonts w:hint="eastAsia" w:cs="Times New Roman"/>
                <w:kern w:val="0"/>
                <w:sz w:val="21"/>
                <w:szCs w:val="21"/>
              </w:rPr>
              <w:t>容重样品检测项次</w:t>
            </w:r>
          </w:p>
        </w:tc>
        <w:tc>
          <w:tcPr>
            <w:tcW w:w="395" w:type="pct"/>
            <w:tcBorders>
              <w:top w:val="nil"/>
              <w:left w:val="nil"/>
              <w:bottom w:val="single" w:color="auto" w:sz="4" w:space="0"/>
              <w:right w:val="single" w:color="auto" w:sz="4" w:space="0"/>
            </w:tcBorders>
            <w:noWrap w:val="1"/>
            <w:vAlign w:val="center"/>
            <w:hideMark w:val="1"/>
          </w:tcPr>
          <w:p w14:paraId="2F847686">
            <w:pPr>
              <w:widowControl w:val="1"/>
              <w:ind w:firstLine="0" w:firstLineChars="0"/>
              <w:jc w:val="center"/>
              <w:rPr>
                <w:rFonts w:cs="Times New Roman"/>
                <w:kern w:val="0"/>
                <w:sz w:val="21"/>
                <w:szCs w:val="21"/>
              </w:rPr>
            </w:pPr>
            <w:r>
              <w:rPr>
                <w:rFonts w:cs="Times New Roman"/>
                <w:kern w:val="0"/>
                <w:sz w:val="21"/>
                <w:szCs w:val="21"/>
              </w:rPr>
              <w:t>5</w:t>
            </w:r>
          </w:p>
        </w:tc>
        <w:tc>
          <w:tcPr>
            <w:tcW w:w="1986" w:type="pct"/>
            <w:tcBorders>
              <w:top w:val="nil"/>
              <w:left w:val="nil"/>
              <w:bottom w:val="single" w:color="auto" w:sz="4" w:space="0"/>
              <w:right w:val="single" w:color="auto" w:sz="4" w:space="0"/>
            </w:tcBorders>
            <w:noWrap w:val="1"/>
            <w:vAlign w:val="center"/>
            <w:hideMark w:val="1"/>
          </w:tcPr>
          <w:p w14:paraId="07C3B897">
            <w:pPr>
              <w:widowControl w:val="1"/>
              <w:ind w:firstLine="0" w:firstLineChars="0"/>
              <w:jc w:val="center"/>
              <w:rPr>
                <w:rFonts w:cs="Times New Roman"/>
                <w:kern w:val="0"/>
                <w:sz w:val="21"/>
                <w:szCs w:val="21"/>
              </w:rPr>
            </w:pPr>
            <w:r>
              <w:rPr>
                <w:rFonts w:hint="eastAsia" w:cs="Times New Roman"/>
                <w:kern w:val="0"/>
                <w:sz w:val="21"/>
                <w:szCs w:val="21"/>
              </w:rPr>
              <w:t>河北实朴检测技术服务有限公司</w:t>
            </w:r>
          </w:p>
        </w:tc>
      </w:tr>
    </w:tbl>
    <w:p w14:paraId="74BC29DE">
      <w:pPr>
        <w:ind w:firstLine="480"/>
      </w:pPr>
      <w:r>
        <w:rPr>
          <w:rFonts w:hint="eastAsia"/>
        </w:rPr>
        <w:t>根据表3.3，沧州市黄骅市土壤三普内业测试化验完成情况如下：</w:t>
      </w:r>
    </w:p>
    <w:p w14:paraId="0168E9B5">
      <w:pPr>
        <w:ind w:firstLine="480"/>
      </w:pPr>
      <w:r>
        <w:rPr>
          <w:rFonts w:hint="eastAsia"/>
        </w:rPr>
        <w:t>表层样品：由河北谱尼测试科技有限公司承担。样品接收、风干、制备各完成1092件；表层样品检测项次为7项，水稳性大团聚体样品检测项次为7项，容重样品检测项次为5项。</w:t>
      </w:r>
    </w:p>
    <w:p w14:paraId="0A29928C">
      <w:pPr>
        <w:ind w:firstLine="480"/>
        <w:rPr>
          <w:highlight w:val="yellow"/>
        </w:rPr>
      </w:pPr>
      <w:r>
        <w:rPr>
          <w:rFonts w:hint="eastAsia"/>
        </w:rPr>
        <w:t>剖面样品：由河北实朴检测技术服务有限公司承担。样品接收和风干各完成130件；剖面样品检测项次为7项，水稳性大团聚体样品检测项次为7项，容重样品检测项次为5项。</w:t>
      </w:r>
    </w:p>
    <w:p w14:paraId="21963B56">
      <w:pPr>
        <w:pStyle w:val="000016"/>
        <w:spacing w:before="156" w:after="156"/>
        <w:ind w:firstLine="562"/>
        <w:rPr>
          <w:color w:val="auto"/>
        </w:rPr>
      </w:pPr>
      <w:bookmarkStart w:id="24" w:name="_Toc211164747"/>
      <w:r>
        <w:rPr>
          <w:rFonts w:hint="eastAsia"/>
          <w:color w:val="auto"/>
        </w:rPr>
        <w:t>（六）质量控制</w:t>
      </w:r>
      <w:bookmarkEnd w:id="24"/>
    </w:p>
    <w:p w14:paraId="1B6F1156">
      <w:pPr>
        <w:ind w:firstLine="480"/>
        <w:rPr>
          <w:highlight w:val="yellow"/>
        </w:rPr>
      </w:pPr>
      <w:r>
        <w:rPr>
          <w:rFonts w:hint="eastAsia"/>
        </w:rPr>
        <w:t>根</w:t>
      </w:r>
      <w:bookmarkStart w:id="25" w:name="OLE_LINK3"/>
      <w:r>
        <w:rPr>
          <w:rFonts w:hint="eastAsia"/>
        </w:rPr>
        <w:t>据表3.4，沧州市黄骅市土壤三普质量控制工作各项环节的质控合格率均为100%。其中，外业信息采集、外业表层样采集、外业剖面样采集、</w:t>
      </w:r>
      <w:commentRangeStart w:id="23"/>
      <w:r>
        <w:rPr>
          <w:rFonts w:hint="eastAsia"/>
        </w:rPr>
        <w:t>外其他样品采集（应为外业其他样品采集）</w:t>
      </w:r>
      <w:commentRangeEnd w:id="23"/>
      <w:r>
        <w:rPr>
          <w:rFonts w:hint="eastAsia"/>
        </w:rPr>
        <w:commentReference w:id="23"/>
      </w:r>
      <w:r>
        <w:rPr>
          <w:rFonts w:hint="eastAsia"/>
        </w:rPr>
        <w:t>、内业样品接收（含风干、制备）以及内业样品检测均未发现问题，因此无整改情况。</w:t>
      </w:r>
      <w:bookmarkEnd w:id="25"/>
    </w:p>
    <w:p w14:paraId="0011CF0B">
      <w:pPr>
        <w:ind w:firstLine="480"/>
        <w:rPr>
          <w:highlight w:val="yellow"/>
        </w:rPr>
      </w:pPr>
    </w:p>
    <w:p w14:paraId="37A9F4FD">
      <w:pPr>
        <w:ind w:firstLine="480"/>
        <w:rPr>
          <w:highlight w:val="yellow"/>
        </w:rPr>
      </w:pPr>
    </w:p>
    <w:p w14:paraId="405D3432">
      <w:pPr>
        <w:ind w:firstLine="480"/>
        <w:rPr>
          <w:highlight w:val="yellow"/>
        </w:rPr>
      </w:pPr>
    </w:p>
    <w:p w14:paraId="1C0FB8A8">
      <w:pPr>
        <w:ind w:firstLine="480"/>
        <w:rPr>
          <w:highlight w:val="yellow"/>
        </w:rPr>
      </w:pPr>
    </w:p>
    <w:p w14:paraId="0EF8C179">
      <w:pPr>
        <w:ind w:firstLine="0" w:firstLineChars="0"/>
        <w:jc w:val="center"/>
        <w:rPr>
          <w:rFonts w:eastAsia="黑体" w:cs="Times New Roman"/>
          <w:sz w:val="21"/>
          <w:szCs w:val="21"/>
        </w:rPr>
      </w:pPr>
      <w:r>
        <w:rPr>
          <w:rFonts w:hint="eastAsia" w:eastAsia="黑体" w:cs="Times New Roman"/>
          <w:sz w:val="21"/>
          <w:szCs w:val="21"/>
        </w:rPr>
        <w:t>表</w:t>
      </w:r>
      <w:r>
        <w:rPr>
          <w:rFonts w:hint="eastAsia" w:eastAsia="黑体" w:cs="Times New Roman"/>
          <w:sz w:val="21"/>
          <w:szCs w:val="21"/>
        </w:rPr>
        <w:t>3.</w:t>
      </w:r>
      <w:r>
        <w:rPr>
          <w:rFonts w:eastAsia="黑体" w:cs="Times New Roman"/>
          <w:sz w:val="21"/>
          <w:szCs w:val="21"/>
        </w:rPr>
        <w:t xml:space="preserve">4 </w:t>
      </w:r>
      <w:r>
        <w:rPr>
          <w:rFonts w:hint="eastAsia" w:eastAsia="黑体" w:cs="Times New Roman"/>
          <w:sz w:val="21"/>
          <w:szCs w:val="21"/>
        </w:rPr>
        <w:t>沧州市黄骅市</w:t>
      </w:r>
      <w:r>
        <w:rPr>
          <w:rFonts w:hint="eastAsia" w:eastAsia="黑体" w:cs="Times New Roman"/>
          <w:sz w:val="21"/>
          <w:szCs w:val="21"/>
        </w:rPr>
        <w:t>土壤三普质量控制工作汇报</w:t>
      </w:r>
    </w:p>
    <w:tbl>
      <w:tblPr>
        <w:tblStyle w:val="000033"/>
        <w:tblW w:w="5000" w:type="pct"/>
        <w:tblLook w:firstRow="1" w:lastRow="0" w:firstColumn="1" w:lastColumn="0" w:noHBand="0" w:noVBand="1" w:val="04A0"/>
      </w:tblPr>
      <w:tblGrid>
        <w:gridCol w:w="3697"/>
        <w:gridCol w:w="1717"/>
        <w:gridCol w:w="1442"/>
        <w:gridCol w:w="1440"/>
      </w:tblGrid>
      <w:tr>
        <w:trPr/>
        <w:tc>
          <w:tcPr>
            <w:tcW w:w="2228" w:type="pct"/>
            <w:vAlign w:val="center"/>
          </w:tcPr>
          <w:p w14:paraId="7822FF64">
            <w:pPr>
              <w:ind w:firstLine="0" w:firstLineChars="0"/>
              <w:jc w:val="center"/>
              <w:rPr>
                <w:rFonts w:cs="Times New Roman"/>
                <w:sz w:val="21"/>
                <w:szCs w:val="21"/>
              </w:rPr>
            </w:pPr>
            <w:r>
              <w:rPr>
                <w:rFonts w:hint="eastAsia" w:cs="Times New Roman"/>
                <w:sz w:val="21"/>
                <w:szCs w:val="21"/>
              </w:rPr>
              <w:t>环节</w:t>
            </w:r>
          </w:p>
        </w:tc>
        <w:tc>
          <w:tcPr>
            <w:tcW w:w="1035" w:type="pct"/>
            <w:vAlign w:val="center"/>
          </w:tcPr>
          <w:p w14:paraId="3C54C2CB">
            <w:pPr>
              <w:ind w:firstLine="0" w:firstLineChars="0"/>
              <w:jc w:val="center"/>
              <w:rPr>
                <w:rFonts w:cs="Times New Roman"/>
                <w:sz w:val="21"/>
                <w:szCs w:val="21"/>
              </w:rPr>
            </w:pPr>
            <w:r>
              <w:rPr>
                <w:rFonts w:hint="eastAsia" w:cs="Times New Roman"/>
                <w:sz w:val="21"/>
                <w:szCs w:val="21"/>
              </w:rPr>
              <w:t>质控合格率</w:t>
            </w:r>
          </w:p>
        </w:tc>
        <w:tc>
          <w:tcPr>
            <w:tcW w:w="869" w:type="pct"/>
            <w:vAlign w:val="center"/>
          </w:tcPr>
          <w:p w14:paraId="1AC1B8EB">
            <w:pPr>
              <w:ind w:firstLine="0" w:firstLineChars="0"/>
              <w:jc w:val="center"/>
              <w:rPr>
                <w:rFonts w:cs="Times New Roman"/>
                <w:sz w:val="21"/>
                <w:szCs w:val="21"/>
              </w:rPr>
            </w:pPr>
            <w:r>
              <w:rPr>
                <w:rFonts w:hint="eastAsia" w:cs="Times New Roman"/>
                <w:sz w:val="21"/>
                <w:szCs w:val="21"/>
              </w:rPr>
              <w:t>发现问题</w:t>
            </w:r>
          </w:p>
        </w:tc>
        <w:tc>
          <w:tcPr>
            <w:tcW w:w="868" w:type="pct"/>
            <w:vAlign w:val="center"/>
          </w:tcPr>
          <w:p w14:paraId="14DFDAAD">
            <w:pPr>
              <w:ind w:firstLine="0" w:firstLineChars="0"/>
              <w:jc w:val="center"/>
              <w:rPr>
                <w:rFonts w:cs="Times New Roman"/>
                <w:sz w:val="21"/>
                <w:szCs w:val="21"/>
              </w:rPr>
            </w:pPr>
            <w:r>
              <w:rPr>
                <w:rFonts w:hint="eastAsia" w:cs="Times New Roman"/>
                <w:sz w:val="21"/>
                <w:szCs w:val="21"/>
              </w:rPr>
              <w:t>整改情况</w:t>
            </w:r>
          </w:p>
        </w:tc>
      </w:tr>
      <w:tr>
        <w:trPr/>
        <w:tc>
          <w:tcPr>
            <w:tcW w:w="2228" w:type="pct"/>
            <w:vAlign w:val="center"/>
          </w:tcPr>
          <w:p w14:paraId="04BD477D">
            <w:pPr>
              <w:ind w:firstLine="0" w:firstLineChars="0"/>
              <w:jc w:val="center"/>
              <w:rPr>
                <w:rFonts w:cs="Times New Roman"/>
                <w:sz w:val="21"/>
                <w:szCs w:val="21"/>
              </w:rPr>
            </w:pPr>
            <w:r>
              <w:rPr>
                <w:rFonts w:hint="eastAsia" w:cs="Times New Roman"/>
                <w:sz w:val="21"/>
                <w:szCs w:val="21"/>
              </w:rPr>
              <w:t>外业信息采集</w:t>
            </w:r>
          </w:p>
        </w:tc>
        <w:tc>
          <w:tcPr>
            <w:tcW w:w="1035" w:type="pct"/>
            <w:vAlign w:val="center"/>
          </w:tcPr>
          <w:p w14:paraId="69663A30">
            <w:pPr>
              <w:ind w:firstLine="0" w:firstLineChars="0"/>
              <w:jc w:val="center"/>
              <w:rPr>
                <w:rFonts w:cs="Times New Roman"/>
                <w:sz w:val="21"/>
                <w:szCs w:val="21"/>
              </w:rPr>
            </w:pPr>
            <w:r>
              <w:rPr>
                <w:rFonts w:cs="Times New Roman"/>
                <w:sz w:val="21"/>
                <w:szCs w:val="21"/>
              </w:rPr>
              <w:t>100</w:t>
            </w:r>
          </w:p>
        </w:tc>
        <w:tc>
          <w:tcPr>
            <w:tcW w:w="869" w:type="pct"/>
            <w:vAlign w:val="center"/>
          </w:tcPr>
          <w:p w14:paraId="11D32080">
            <w:pPr>
              <w:ind w:firstLine="0" w:firstLineChars="0"/>
              <w:jc w:val="center"/>
              <w:rPr>
                <w:rFonts w:cs="Times New Roman"/>
                <w:sz w:val="21"/>
                <w:szCs w:val="21"/>
              </w:rPr>
            </w:pPr>
            <w:r>
              <w:rPr>
                <w:rFonts w:hint="eastAsia" w:cs="Times New Roman"/>
                <w:sz w:val="21"/>
                <w:szCs w:val="21"/>
              </w:rPr>
              <w:t>无</w:t>
            </w:r>
          </w:p>
        </w:tc>
        <w:tc>
          <w:tcPr>
            <w:tcW w:w="868" w:type="pct"/>
            <w:vAlign w:val="center"/>
          </w:tcPr>
          <w:p w14:paraId="6B9298E7">
            <w:pPr>
              <w:ind w:firstLine="0" w:firstLineChars="0"/>
              <w:jc w:val="center"/>
              <w:rPr>
                <w:rFonts w:cs="Times New Roman"/>
                <w:sz w:val="21"/>
                <w:szCs w:val="21"/>
              </w:rPr>
            </w:pPr>
            <w:r>
              <w:rPr>
                <w:rFonts w:hint="eastAsia" w:cs="Times New Roman"/>
                <w:sz w:val="21"/>
                <w:szCs w:val="21"/>
              </w:rPr>
              <w:t>无</w:t>
            </w:r>
          </w:p>
        </w:tc>
      </w:tr>
      <w:tr>
        <w:trPr/>
        <w:tc>
          <w:tcPr>
            <w:tcW w:w="2228" w:type="pct"/>
            <w:vAlign w:val="center"/>
          </w:tcPr>
          <w:p w14:paraId="2182BEB5">
            <w:pPr>
              <w:ind w:firstLine="0" w:firstLineChars="0"/>
              <w:jc w:val="center"/>
              <w:rPr>
                <w:rFonts w:cs="Times New Roman"/>
                <w:sz w:val="21"/>
                <w:szCs w:val="21"/>
              </w:rPr>
            </w:pPr>
            <w:r>
              <w:rPr>
                <w:rFonts w:hint="eastAsia" w:cs="Times New Roman"/>
                <w:sz w:val="21"/>
                <w:szCs w:val="21"/>
              </w:rPr>
              <w:t>外业表层样采集</w:t>
            </w:r>
          </w:p>
        </w:tc>
        <w:tc>
          <w:tcPr>
            <w:tcW w:w="1035" w:type="pct"/>
            <w:vAlign w:val="center"/>
          </w:tcPr>
          <w:p w14:paraId="55E044B6">
            <w:pPr>
              <w:ind w:firstLine="0" w:firstLineChars="0"/>
              <w:jc w:val="center"/>
              <w:rPr>
                <w:rFonts w:cs="Times New Roman"/>
                <w:sz w:val="21"/>
                <w:szCs w:val="21"/>
              </w:rPr>
            </w:pPr>
            <w:r>
              <w:rPr>
                <w:rFonts w:cs="Times New Roman"/>
                <w:sz w:val="21"/>
                <w:szCs w:val="21"/>
              </w:rPr>
              <w:t>100</w:t>
            </w:r>
          </w:p>
        </w:tc>
        <w:tc>
          <w:tcPr>
            <w:tcW w:w="869" w:type="pct"/>
            <w:vAlign w:val="center"/>
          </w:tcPr>
          <w:p w14:paraId="17B8D934">
            <w:pPr>
              <w:ind w:firstLine="0" w:firstLineChars="0"/>
              <w:jc w:val="center"/>
              <w:rPr>
                <w:rFonts w:cs="Times New Roman"/>
                <w:sz w:val="21"/>
                <w:szCs w:val="21"/>
              </w:rPr>
            </w:pPr>
            <w:r>
              <w:rPr>
                <w:rFonts w:hint="eastAsia" w:cs="Times New Roman"/>
                <w:sz w:val="21"/>
                <w:szCs w:val="21"/>
              </w:rPr>
              <w:t>无</w:t>
            </w:r>
          </w:p>
        </w:tc>
        <w:tc>
          <w:tcPr>
            <w:tcW w:w="868" w:type="pct"/>
            <w:vAlign w:val="center"/>
          </w:tcPr>
          <w:p w14:paraId="297166A0">
            <w:pPr>
              <w:ind w:firstLine="0" w:firstLineChars="0"/>
              <w:jc w:val="center"/>
              <w:rPr>
                <w:rFonts w:cs="Times New Roman"/>
                <w:sz w:val="21"/>
                <w:szCs w:val="21"/>
              </w:rPr>
            </w:pPr>
            <w:r>
              <w:rPr>
                <w:rFonts w:hint="eastAsia" w:cs="Times New Roman"/>
                <w:sz w:val="21"/>
                <w:szCs w:val="21"/>
              </w:rPr>
              <w:t>无</w:t>
            </w:r>
          </w:p>
        </w:tc>
      </w:tr>
      <w:tr>
        <w:trPr/>
        <w:tc>
          <w:tcPr>
            <w:tcW w:w="2228" w:type="pct"/>
            <w:vAlign w:val="center"/>
          </w:tcPr>
          <w:p w14:paraId="482DB594">
            <w:pPr>
              <w:ind w:firstLine="0" w:firstLineChars="0"/>
              <w:jc w:val="center"/>
              <w:rPr>
                <w:rFonts w:cs="Times New Roman"/>
                <w:sz w:val="21"/>
                <w:szCs w:val="21"/>
              </w:rPr>
            </w:pPr>
            <w:r>
              <w:rPr>
                <w:rFonts w:hint="eastAsia" w:cs="Times New Roman"/>
                <w:sz w:val="21"/>
                <w:szCs w:val="21"/>
              </w:rPr>
              <w:t>外业剖面样采集</w:t>
            </w:r>
          </w:p>
        </w:tc>
        <w:tc>
          <w:tcPr>
            <w:tcW w:w="1035" w:type="pct"/>
            <w:vAlign w:val="center"/>
          </w:tcPr>
          <w:p w14:paraId="079929C5">
            <w:pPr>
              <w:ind w:firstLine="0" w:firstLineChars="0"/>
              <w:jc w:val="center"/>
              <w:rPr>
                <w:rFonts w:cs="Times New Roman"/>
                <w:sz w:val="21"/>
                <w:szCs w:val="21"/>
              </w:rPr>
            </w:pPr>
            <w:r>
              <w:rPr>
                <w:rFonts w:cs="Times New Roman"/>
                <w:sz w:val="21"/>
                <w:szCs w:val="21"/>
              </w:rPr>
              <w:t>100</w:t>
            </w:r>
          </w:p>
        </w:tc>
        <w:tc>
          <w:tcPr>
            <w:tcW w:w="869" w:type="pct"/>
            <w:vAlign w:val="center"/>
          </w:tcPr>
          <w:p w14:paraId="19E41487">
            <w:pPr>
              <w:ind w:firstLine="0" w:firstLineChars="0"/>
              <w:jc w:val="center"/>
              <w:rPr>
                <w:rFonts w:cs="Times New Roman"/>
                <w:sz w:val="21"/>
                <w:szCs w:val="21"/>
              </w:rPr>
            </w:pPr>
            <w:r>
              <w:rPr>
                <w:rFonts w:hint="eastAsia" w:cs="Times New Roman"/>
                <w:sz w:val="21"/>
                <w:szCs w:val="21"/>
              </w:rPr>
              <w:t>无</w:t>
            </w:r>
          </w:p>
        </w:tc>
        <w:tc>
          <w:tcPr>
            <w:tcW w:w="868" w:type="pct"/>
            <w:vAlign w:val="center"/>
          </w:tcPr>
          <w:p w14:paraId="5DF44E17">
            <w:pPr>
              <w:ind w:firstLine="0" w:firstLineChars="0"/>
              <w:jc w:val="center"/>
              <w:rPr>
                <w:rFonts w:cs="Times New Roman"/>
                <w:sz w:val="21"/>
                <w:szCs w:val="21"/>
              </w:rPr>
            </w:pPr>
            <w:r>
              <w:rPr>
                <w:rFonts w:hint="eastAsia" w:cs="Times New Roman"/>
                <w:sz w:val="21"/>
                <w:szCs w:val="21"/>
              </w:rPr>
              <w:t>无</w:t>
            </w:r>
          </w:p>
        </w:tc>
      </w:tr>
      <w:tr>
        <w:trPr/>
        <w:tc>
          <w:tcPr>
            <w:tcW w:w="2228" w:type="pct"/>
            <w:vAlign w:val="center"/>
          </w:tcPr>
          <w:p w14:paraId="334FA011">
            <w:pPr>
              <w:ind w:firstLine="0" w:firstLineChars="0"/>
              <w:jc w:val="center"/>
              <w:rPr>
                <w:rFonts w:cs="Times New Roman"/>
                <w:sz w:val="21"/>
                <w:szCs w:val="21"/>
              </w:rPr>
            </w:pPr>
            <w:r>
              <w:rPr>
                <w:rFonts w:hint="eastAsia" w:cs="Times New Roman"/>
                <w:sz w:val="21"/>
                <w:szCs w:val="21"/>
              </w:rPr>
              <w:t>外业其他样品采集</w:t>
            </w:r>
          </w:p>
        </w:tc>
        <w:tc>
          <w:tcPr>
            <w:tcW w:w="1035" w:type="pct"/>
            <w:vAlign w:val="center"/>
          </w:tcPr>
          <w:p w14:paraId="5E167ADF">
            <w:pPr>
              <w:ind w:firstLine="0" w:firstLineChars="0"/>
              <w:jc w:val="center"/>
              <w:rPr>
                <w:rFonts w:cs="Times New Roman"/>
                <w:sz w:val="21"/>
                <w:szCs w:val="21"/>
              </w:rPr>
            </w:pPr>
            <w:r>
              <w:rPr>
                <w:rFonts w:cs="Times New Roman"/>
                <w:sz w:val="21"/>
                <w:szCs w:val="21"/>
              </w:rPr>
              <w:t>100</w:t>
            </w:r>
          </w:p>
        </w:tc>
        <w:tc>
          <w:tcPr>
            <w:tcW w:w="869" w:type="pct"/>
            <w:vAlign w:val="center"/>
          </w:tcPr>
          <w:p w14:paraId="1F74AB15">
            <w:pPr>
              <w:ind w:firstLine="0" w:firstLineChars="0"/>
              <w:jc w:val="center"/>
              <w:rPr>
                <w:rFonts w:cs="Times New Roman"/>
                <w:sz w:val="21"/>
                <w:szCs w:val="21"/>
              </w:rPr>
            </w:pPr>
            <w:r>
              <w:rPr>
                <w:rFonts w:hint="eastAsia" w:cs="Times New Roman"/>
                <w:sz w:val="21"/>
                <w:szCs w:val="21"/>
              </w:rPr>
              <w:t>无</w:t>
            </w:r>
          </w:p>
        </w:tc>
        <w:tc>
          <w:tcPr>
            <w:tcW w:w="868" w:type="pct"/>
            <w:vAlign w:val="center"/>
          </w:tcPr>
          <w:p w14:paraId="59D417F3">
            <w:pPr>
              <w:ind w:firstLine="0" w:firstLineChars="0"/>
              <w:jc w:val="center"/>
              <w:rPr>
                <w:rFonts w:cs="Times New Roman"/>
                <w:sz w:val="21"/>
                <w:szCs w:val="21"/>
              </w:rPr>
            </w:pPr>
            <w:r>
              <w:rPr>
                <w:rFonts w:hint="eastAsia" w:cs="Times New Roman"/>
                <w:sz w:val="21"/>
                <w:szCs w:val="21"/>
              </w:rPr>
              <w:t>无</w:t>
            </w:r>
          </w:p>
        </w:tc>
      </w:tr>
      <w:tr>
        <w:trPr/>
        <w:tc>
          <w:tcPr>
            <w:tcW w:w="2228" w:type="pct"/>
            <w:vAlign w:val="center"/>
          </w:tcPr>
          <w:p w14:paraId="1179149C">
            <w:pPr>
              <w:ind w:firstLine="0" w:firstLineChars="0"/>
              <w:jc w:val="center"/>
              <w:rPr>
                <w:rFonts w:cs="Times New Roman"/>
                <w:sz w:val="21"/>
                <w:szCs w:val="21"/>
              </w:rPr>
            </w:pPr>
            <w:r>
              <w:rPr>
                <w:rFonts w:hint="eastAsia" w:cs="Times New Roman"/>
                <w:sz w:val="21"/>
                <w:szCs w:val="21"/>
              </w:rPr>
              <w:t>内业样品接收、风干、制备</w:t>
            </w:r>
          </w:p>
        </w:tc>
        <w:tc>
          <w:tcPr>
            <w:tcW w:w="1035" w:type="pct"/>
            <w:vAlign w:val="center"/>
          </w:tcPr>
          <w:p w14:paraId="5FEB8D3D">
            <w:pPr>
              <w:ind w:firstLine="0" w:firstLineChars="0"/>
              <w:jc w:val="center"/>
              <w:rPr>
                <w:rFonts w:cs="Times New Roman"/>
                <w:sz w:val="21"/>
                <w:szCs w:val="21"/>
              </w:rPr>
            </w:pPr>
            <w:r>
              <w:rPr>
                <w:rFonts w:cs="Times New Roman"/>
                <w:sz w:val="21"/>
                <w:szCs w:val="21"/>
              </w:rPr>
              <w:t>100</w:t>
            </w:r>
          </w:p>
        </w:tc>
        <w:tc>
          <w:tcPr>
            <w:tcW w:w="869" w:type="pct"/>
            <w:vAlign w:val="center"/>
          </w:tcPr>
          <w:p w14:paraId="6A963486">
            <w:pPr>
              <w:ind w:firstLine="0" w:firstLineChars="0"/>
              <w:jc w:val="center"/>
              <w:rPr>
                <w:rFonts w:cs="Times New Roman"/>
                <w:sz w:val="21"/>
                <w:szCs w:val="21"/>
              </w:rPr>
            </w:pPr>
            <w:r>
              <w:rPr>
                <w:rFonts w:hint="eastAsia" w:cs="Times New Roman"/>
                <w:sz w:val="21"/>
                <w:szCs w:val="21"/>
              </w:rPr>
              <w:t>无</w:t>
            </w:r>
          </w:p>
        </w:tc>
        <w:tc>
          <w:tcPr>
            <w:tcW w:w="868" w:type="pct"/>
            <w:vAlign w:val="center"/>
          </w:tcPr>
          <w:p w14:paraId="1F69F0F1">
            <w:pPr>
              <w:ind w:firstLine="0" w:firstLineChars="0"/>
              <w:jc w:val="center"/>
              <w:rPr>
                <w:rFonts w:cs="Times New Roman"/>
                <w:sz w:val="21"/>
                <w:szCs w:val="21"/>
              </w:rPr>
            </w:pPr>
            <w:r>
              <w:rPr>
                <w:rFonts w:hint="eastAsia" w:cs="Times New Roman"/>
                <w:sz w:val="21"/>
                <w:szCs w:val="21"/>
              </w:rPr>
              <w:t>无</w:t>
            </w:r>
          </w:p>
        </w:tc>
      </w:tr>
      <w:tr>
        <w:trPr/>
        <w:tc>
          <w:tcPr>
            <w:tcW w:w="2228" w:type="pct"/>
            <w:vAlign w:val="center"/>
          </w:tcPr>
          <w:p w14:paraId="2E3DF7E9">
            <w:pPr>
              <w:ind w:firstLine="0" w:firstLineChars="0"/>
              <w:jc w:val="center"/>
              <w:rPr>
                <w:rFonts w:cs="Times New Roman"/>
                <w:sz w:val="21"/>
                <w:szCs w:val="21"/>
              </w:rPr>
            </w:pPr>
            <w:r>
              <w:rPr>
                <w:rFonts w:hint="eastAsia" w:cs="Times New Roman"/>
                <w:sz w:val="21"/>
                <w:szCs w:val="21"/>
              </w:rPr>
              <w:t>内业样品检测</w:t>
            </w:r>
          </w:p>
        </w:tc>
        <w:tc>
          <w:tcPr>
            <w:tcW w:w="1035" w:type="pct"/>
            <w:vAlign w:val="center"/>
          </w:tcPr>
          <w:p w14:paraId="5681A226">
            <w:pPr>
              <w:ind w:firstLine="0" w:firstLineChars="0"/>
              <w:jc w:val="center"/>
              <w:rPr>
                <w:rFonts w:cs="Times New Roman"/>
                <w:sz w:val="21"/>
                <w:szCs w:val="21"/>
              </w:rPr>
            </w:pPr>
            <w:r>
              <w:rPr>
                <w:rFonts w:cs="Times New Roman"/>
                <w:sz w:val="21"/>
                <w:szCs w:val="21"/>
              </w:rPr>
              <w:t>100</w:t>
            </w:r>
          </w:p>
        </w:tc>
        <w:tc>
          <w:tcPr>
            <w:tcW w:w="869" w:type="pct"/>
            <w:vAlign w:val="center"/>
          </w:tcPr>
          <w:p w14:paraId="463665F2">
            <w:pPr>
              <w:ind w:firstLine="0" w:firstLineChars="0"/>
              <w:jc w:val="center"/>
              <w:rPr>
                <w:rFonts w:cs="Times New Roman"/>
                <w:sz w:val="21"/>
                <w:szCs w:val="21"/>
              </w:rPr>
            </w:pPr>
            <w:r>
              <w:rPr>
                <w:rFonts w:hint="eastAsia" w:cs="Times New Roman"/>
                <w:sz w:val="21"/>
                <w:szCs w:val="21"/>
              </w:rPr>
              <w:t>无</w:t>
            </w:r>
          </w:p>
        </w:tc>
        <w:tc>
          <w:tcPr>
            <w:tcW w:w="868" w:type="pct"/>
            <w:vAlign w:val="center"/>
          </w:tcPr>
          <w:p w14:paraId="2FF1BC19">
            <w:pPr>
              <w:ind w:firstLine="0" w:firstLineChars="0"/>
              <w:jc w:val="center"/>
              <w:rPr>
                <w:rFonts w:cs="Times New Roman"/>
                <w:sz w:val="21"/>
                <w:szCs w:val="21"/>
              </w:rPr>
            </w:pPr>
            <w:r>
              <w:rPr>
                <w:rFonts w:hint="eastAsia" w:cs="Times New Roman"/>
                <w:sz w:val="21"/>
                <w:szCs w:val="21"/>
              </w:rPr>
              <w:t>无</w:t>
            </w:r>
          </w:p>
        </w:tc>
      </w:tr>
    </w:tbl>
    <w:p w14:paraId="417265DA">
      <w:pPr>
        <w:pStyle w:val="000016"/>
        <w:spacing w:before="156" w:after="156"/>
        <w:ind w:firstLine="562"/>
        <w:rPr>
          <w:color w:val="auto"/>
        </w:rPr>
      </w:pPr>
      <w:bookmarkStart w:id="26" w:name="_Toc211164748"/>
      <w:r>
        <w:rPr>
          <w:rFonts w:hint="eastAsia"/>
          <w:color w:val="auto"/>
        </w:rPr>
        <w:t>（七）成果形成</w:t>
      </w:r>
      <w:bookmarkEnd w:id="26"/>
    </w:p>
    <w:p w14:paraId="5CBA3AD4">
      <w:pPr>
        <w:widowControl w:val="1"/>
        <w:ind w:firstLine="0" w:firstLineChars="0"/>
        <w:jc w:val="left"/>
        <w:rPr>
          <w:rFonts w:eastAsia="黑体" w:cs="Times New Roman"/>
          <w:sz w:val="21"/>
          <w:szCs w:val="21"/>
        </w:rPr>
      </w:pPr>
    </w:p>
    <w:p w14:paraId="6F6FC0A9">
      <w:pPr>
        <w:ind w:firstLine="0" w:firstLineChars="0"/>
        <w:jc w:val="center"/>
        <w:rPr>
          <w:rFonts w:eastAsia="黑体" w:cs="Times New Roman"/>
          <w:sz w:val="21"/>
          <w:szCs w:val="21"/>
        </w:rPr>
      </w:pPr>
      <w:r>
        <w:rPr>
          <w:rFonts w:hint="eastAsia" w:eastAsia="黑体" w:cs="Times New Roman"/>
          <w:sz w:val="21"/>
          <w:szCs w:val="21"/>
        </w:rPr>
        <w:t>表</w:t>
      </w:r>
      <w:r>
        <w:rPr>
          <w:rFonts w:hint="eastAsia" w:eastAsia="黑体" w:cs="Times New Roman"/>
          <w:sz w:val="21"/>
          <w:szCs w:val="21"/>
        </w:rPr>
        <w:t>3.</w:t>
      </w:r>
      <w:r>
        <w:rPr>
          <w:rFonts w:eastAsia="黑体" w:cs="Times New Roman"/>
          <w:sz w:val="21"/>
          <w:szCs w:val="21"/>
        </w:rPr>
        <w:t xml:space="preserve">5 </w:t>
      </w:r>
      <w:r>
        <w:rPr>
          <w:rFonts w:hint="eastAsia" w:eastAsia="黑体" w:cs="Times New Roman"/>
          <w:sz w:val="21"/>
          <w:szCs w:val="21"/>
        </w:rPr>
        <w:t>沧州市黄骅市</w:t>
      </w:r>
      <w:r>
        <w:rPr>
          <w:rFonts w:hint="eastAsia" w:eastAsia="黑体" w:cs="Times New Roman"/>
          <w:sz w:val="21"/>
          <w:szCs w:val="21"/>
        </w:rPr>
        <w:t>土壤三普成果清单汇总</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2072"/>
        <w:gridCol w:w="1423"/>
        <w:gridCol w:w="1463"/>
        <w:gridCol w:w="3338"/>
      </w:tblGrid>
      <w:tr>
        <w:trPr>
          <w:trHeight w:val="270"/>
        </w:trPr>
        <w:tc>
          <w:tcPr>
            <w:tcW w:w="1248" w:type="pct"/>
            <w:vAlign w:val="center"/>
            <w:hideMark w:val="1"/>
          </w:tcPr>
          <w:p w14:paraId="4C20451E">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成果名称</w:t>
            </w:r>
          </w:p>
        </w:tc>
        <w:tc>
          <w:tcPr>
            <w:tcW w:w="857" w:type="pct"/>
            <w:vAlign w:val="center"/>
            <w:hideMark w:val="1"/>
          </w:tcPr>
          <w:p w14:paraId="0D087907">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编制单位</w:t>
            </w:r>
          </w:p>
        </w:tc>
        <w:tc>
          <w:tcPr>
            <w:tcW w:w="882" w:type="pct"/>
            <w:vAlign w:val="center"/>
            <w:hideMark w:val="1"/>
          </w:tcPr>
          <w:p w14:paraId="3C9F7CF7">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成果类型</w:t>
            </w:r>
          </w:p>
        </w:tc>
        <w:tc>
          <w:tcPr>
            <w:tcW w:w="2012" w:type="pct"/>
            <w:vAlign w:val="center"/>
            <w:hideMark w:val="1"/>
          </w:tcPr>
          <w:p w14:paraId="4D89DDA8">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概要内容</w:t>
            </w:r>
          </w:p>
        </w:tc>
      </w:tr>
      <w:tr>
        <w:trPr>
          <w:trHeight w:val="1020"/>
        </w:trPr>
        <w:tc>
          <w:tcPr>
            <w:tcW w:w="1248" w:type="pct"/>
            <w:vAlign w:val="center"/>
            <w:hideMark w:val="1"/>
          </w:tcPr>
          <w:p w14:paraId="28BFF5E5">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总体报告</w:t>
            </w:r>
          </w:p>
        </w:tc>
        <w:tc>
          <w:tcPr>
            <w:tcW w:w="857" w:type="pct"/>
            <w:vAlign w:val="center"/>
            <w:hideMark w:val="1"/>
          </w:tcPr>
          <w:p w14:paraId="67490B36">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4948DB0B">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w:t>
            </w:r>
          </w:p>
        </w:tc>
        <w:tc>
          <w:tcPr>
            <w:tcW w:w="2012" w:type="pct"/>
            <w:vAlign w:val="center"/>
            <w:hideMark w:val="1"/>
          </w:tcPr>
          <w:p w14:paraId="0B081F06">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土壤普查工作概况（普查样点布设、外业采样和内业化验）、三普成果概述</w:t>
            </w:r>
          </w:p>
        </w:tc>
      </w:tr>
      <w:tr>
        <w:trPr>
          <w:trHeight w:val="1275"/>
        </w:trPr>
        <w:tc>
          <w:tcPr>
            <w:tcW w:w="1248" w:type="pct"/>
            <w:vAlign w:val="center"/>
            <w:hideMark w:val="1"/>
          </w:tcPr>
          <w:p w14:paraId="3D2F8948">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工作报告</w:t>
            </w:r>
          </w:p>
        </w:tc>
        <w:tc>
          <w:tcPr>
            <w:tcW w:w="857" w:type="pct"/>
            <w:vAlign w:val="center"/>
            <w:hideMark w:val="1"/>
          </w:tcPr>
          <w:p w14:paraId="63B26193">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00734CEB">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w:t>
            </w:r>
          </w:p>
        </w:tc>
        <w:tc>
          <w:tcPr>
            <w:tcW w:w="2012" w:type="pct"/>
            <w:vAlign w:val="center"/>
            <w:hideMark w:val="1"/>
          </w:tcPr>
          <w:p w14:paraId="625A7C81">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主要是土壤普查工作组织情况、任务实施、外业采样、内业化验、质量控制、三普工作成效</w:t>
            </w:r>
          </w:p>
        </w:tc>
      </w:tr>
      <w:tr>
        <w:trPr>
          <w:trHeight w:val="1020"/>
        </w:trPr>
        <w:tc>
          <w:tcPr>
            <w:tcW w:w="1248" w:type="pct"/>
            <w:vAlign w:val="center"/>
            <w:hideMark w:val="1"/>
          </w:tcPr>
          <w:p w14:paraId="4B6898CE">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土壤资源评价与利用</w:t>
            </w:r>
          </w:p>
        </w:tc>
        <w:tc>
          <w:tcPr>
            <w:tcW w:w="857" w:type="pct"/>
            <w:vAlign w:val="center"/>
            <w:hideMark w:val="1"/>
          </w:tcPr>
          <w:p w14:paraId="06BAF613">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182C05D6">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w:t>
            </w:r>
          </w:p>
        </w:tc>
        <w:tc>
          <w:tcPr>
            <w:tcW w:w="2012" w:type="pct"/>
            <w:vAlign w:val="center"/>
            <w:hideMark w:val="1"/>
          </w:tcPr>
          <w:p w14:paraId="6BE8A593">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对属性制图、边界探勘、耕评的总结，并对出现的问题提出改良建议</w:t>
            </w:r>
          </w:p>
        </w:tc>
      </w:tr>
      <w:tr>
        <w:trPr>
          <w:trHeight w:val="765"/>
        </w:trPr>
        <w:tc>
          <w:tcPr>
            <w:tcW w:w="1248" w:type="pct"/>
            <w:vAlign w:val="center"/>
            <w:hideMark w:val="1"/>
          </w:tcPr>
          <w:p w14:paraId="4084A281">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土壤</w:t>
            </w:r>
          </w:p>
        </w:tc>
        <w:tc>
          <w:tcPr>
            <w:tcW w:w="857" w:type="pct"/>
            <w:vAlign w:val="center"/>
            <w:hideMark w:val="1"/>
          </w:tcPr>
          <w:p w14:paraId="3B5B0422">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61400ADF">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w:t>
            </w:r>
          </w:p>
        </w:tc>
        <w:tc>
          <w:tcPr>
            <w:tcW w:w="2012" w:type="pct"/>
            <w:vAlign w:val="center"/>
            <w:hideMark w:val="1"/>
          </w:tcPr>
          <w:p w14:paraId="70EDEABF">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对县域内土壤类型进行详细描述，以便于后期工作开展</w:t>
            </w:r>
          </w:p>
        </w:tc>
      </w:tr>
      <w:tr>
        <w:trPr>
          <w:trHeight w:val="510"/>
        </w:trPr>
        <w:tc>
          <w:tcPr>
            <w:tcW w:w="1248" w:type="pct"/>
            <w:vAlign w:val="center"/>
            <w:hideMark w:val="1"/>
          </w:tcPr>
          <w:p w14:paraId="09014282">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数据</w:t>
            </w:r>
          </w:p>
        </w:tc>
        <w:tc>
          <w:tcPr>
            <w:tcW w:w="857" w:type="pct"/>
            <w:vAlign w:val="center"/>
            <w:hideMark w:val="1"/>
          </w:tcPr>
          <w:p w14:paraId="10611839">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0AF36642">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w:t>
            </w:r>
          </w:p>
        </w:tc>
        <w:tc>
          <w:tcPr>
            <w:tcW w:w="2012" w:type="pct"/>
            <w:vAlign w:val="center"/>
            <w:hideMark w:val="1"/>
          </w:tcPr>
          <w:p w14:paraId="36A6BA95">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对三普内业化验数据审核</w:t>
            </w:r>
          </w:p>
        </w:tc>
      </w:tr>
      <w:tr>
        <w:trPr>
          <w:trHeight w:val="2040"/>
        </w:trPr>
        <w:tc>
          <w:tcPr>
            <w:tcW w:w="1248" w:type="pct"/>
            <w:vAlign w:val="center"/>
            <w:hideMark w:val="1"/>
          </w:tcPr>
          <w:p w14:paraId="75EFBE1E">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属性制图</w:t>
            </w:r>
          </w:p>
        </w:tc>
        <w:tc>
          <w:tcPr>
            <w:tcW w:w="857" w:type="pct"/>
            <w:vAlign w:val="center"/>
            <w:hideMark w:val="1"/>
          </w:tcPr>
          <w:p w14:paraId="095D700D">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00A7C4C2">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文字成果、图件成果、数据库成果</w:t>
            </w:r>
          </w:p>
        </w:tc>
        <w:tc>
          <w:tcPr>
            <w:tcW w:w="2012" w:type="pct"/>
            <w:vAlign w:val="center"/>
            <w:hideMark w:val="1"/>
          </w:tcPr>
          <w:p w14:paraId="3F33EFEA">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对土壤物理性质、化学性质、土壤有机质及氮磷钾养分、中微量元素含量的分级统计分析，并按不同土地利用类型、土壤类型、不同乡镇数据统计总结</w:t>
            </w:r>
          </w:p>
        </w:tc>
      </w:tr>
      <w:tr>
        <w:trPr>
          <w:trHeight w:val="510"/>
        </w:trPr>
        <w:tc>
          <w:tcPr>
            <w:tcW w:w="1248" w:type="pct"/>
            <w:vAlign w:val="center"/>
            <w:hideMark w:val="1"/>
          </w:tcPr>
          <w:p w14:paraId="5D5D8F91">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适宜性评价</w:t>
            </w:r>
          </w:p>
        </w:tc>
        <w:tc>
          <w:tcPr>
            <w:tcW w:w="857" w:type="pct"/>
            <w:vAlign w:val="center"/>
            <w:hideMark w:val="1"/>
          </w:tcPr>
          <w:p w14:paraId="69598E68">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76F67574">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文字成果、图件成果、数据库成果</w:t>
            </w:r>
          </w:p>
        </w:tc>
        <w:tc>
          <w:tcPr>
            <w:tcW w:w="2012" w:type="pct"/>
            <w:vAlign w:val="center"/>
            <w:hideMark w:val="1"/>
          </w:tcPr>
          <w:p w14:paraId="6804D3D5">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确定土地利用类型的适宜程度</w:t>
            </w:r>
          </w:p>
        </w:tc>
      </w:tr>
      <w:tr>
        <w:trPr>
          <w:trHeight w:val="510"/>
        </w:trPr>
        <w:tc>
          <w:tcPr>
            <w:tcW w:w="1248" w:type="pct"/>
            <w:vAlign w:val="center"/>
            <w:hideMark w:val="1"/>
          </w:tcPr>
          <w:p w14:paraId="493B659A">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耕地质量等级评价</w:t>
            </w:r>
          </w:p>
        </w:tc>
        <w:tc>
          <w:tcPr>
            <w:tcW w:w="857" w:type="pct"/>
            <w:vAlign w:val="center"/>
            <w:hideMark w:val="1"/>
          </w:tcPr>
          <w:p w14:paraId="06B5925A">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河北玛恩农业科技有限公司</w:t>
            </w:r>
          </w:p>
        </w:tc>
        <w:tc>
          <w:tcPr>
            <w:tcW w:w="882" w:type="pct"/>
            <w:vAlign w:val="center"/>
            <w:hideMark w:val="1"/>
          </w:tcPr>
          <w:p w14:paraId="13F6F3D8">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文字成果、图件成果、数据库成果</w:t>
            </w:r>
          </w:p>
        </w:tc>
        <w:tc>
          <w:tcPr>
            <w:tcW w:w="2012" w:type="pct"/>
            <w:vAlign w:val="center"/>
            <w:hideMark w:val="1"/>
          </w:tcPr>
          <w:p w14:paraId="03F55BF2">
            <w:pPr>
              <w:widowControl w:val="1"/>
              <w:ind w:firstLine="0" w:firstLineChars="0"/>
              <w:jc w:val="center"/>
              <w:rPr>
                <w:rFonts w:hint="eastAsia" w:ascii="宋体" w:hAnsi="宋体" w:cs="宋体"/>
                <w:kern w:val="0"/>
                <w:sz w:val="21"/>
                <w:szCs w:val="21"/>
              </w:rPr>
            </w:pPr>
            <w:r>
              <w:rPr>
                <w:rFonts w:hint="eastAsia" w:ascii="宋体" w:hAnsi="宋体" w:cs="宋体"/>
                <w:kern w:val="0"/>
                <w:sz w:val="21"/>
                <w:szCs w:val="21"/>
              </w:rPr>
              <w:t>对县域内耕地进行评价与统计</w:t>
            </w:r>
          </w:p>
        </w:tc>
      </w:tr>
    </w:tbl>
    <w:p w14:paraId="6644316A">
      <w:pPr>
        <w:ind w:firstLine="480"/>
      </w:pPr>
      <w:commentRangeStart w:id="24"/>
      <w:r>
        <w:rPr>
          <w:rFonts w:hint="eastAsia"/>
        </w:rPr>
        <w:t>根据该表格，沧州市黄骅市土壤三普成果清单如下</w:t>
      </w:r>
      <w:commentRangeEnd w:id="24"/>
      <w:r>
        <w:rPr>
          <w:rFonts w:hint="eastAsia"/>
        </w:rPr>
        <w:commentReference w:id="24"/>
      </w:r>
      <w:r>
        <w:rPr>
          <w:rFonts w:hint="eastAsia"/>
        </w:rPr>
        <w:t>，所有成果均由河北玛恩农业科技有限公司编制：</w:t>
      </w:r>
    </w:p>
    <w:p w14:paraId="6BAE270D">
      <w:pPr>
        <w:ind w:firstLine="480"/>
      </w:pPr>
      <w:r>
        <w:rPr>
          <w:rFonts w:hint="eastAsia"/>
        </w:rPr>
        <w:t>总体报告（文字成果）：概要包括土壤普查工作概况（普查样点布设、外业采样和内业化验）及三普成果概述。</w:t>
      </w:r>
    </w:p>
    <w:p w14:paraId="131D1FBA">
      <w:pPr>
        <w:ind w:firstLine="480"/>
      </w:pPr>
      <w:r>
        <w:rPr>
          <w:rFonts w:hint="eastAsia"/>
        </w:rPr>
        <w:t>工作报告（文字成果）：主要总结土壤普查工作组织情况、任务实施、外业采样、内业化验、质量控制及三普工作成效。</w:t>
      </w:r>
    </w:p>
    <w:p w14:paraId="5F56DBBD">
      <w:pPr>
        <w:ind w:firstLine="480"/>
      </w:pPr>
      <w:r>
        <w:rPr>
          <w:rFonts w:hint="eastAsia"/>
        </w:rPr>
        <w:t>土壤资源评价与利用（文字成果）：对属性制图、边界勘测、耕评进行总结，并对出现的问题提出改良建议。</w:t>
      </w:r>
    </w:p>
    <w:p w14:paraId="2238D234">
      <w:pPr>
        <w:ind w:firstLine="480"/>
      </w:pPr>
      <w:r>
        <w:rPr>
          <w:rFonts w:hint="eastAsia"/>
        </w:rPr>
        <w:t>土壤（文字成果）：对县域内土壤类型进行详细描述，便于后期工作开展。</w:t>
      </w:r>
    </w:p>
    <w:p w14:paraId="78E4E7FC">
      <w:pPr>
        <w:ind w:firstLine="480"/>
      </w:pPr>
      <w:r>
        <w:rPr>
          <w:rFonts w:hint="eastAsia"/>
        </w:rPr>
        <w:t>数据（文字成果）：对三普内业化验数据进行审核。</w:t>
      </w:r>
    </w:p>
    <w:p w14:paraId="00A49940">
      <w:pPr>
        <w:ind w:firstLine="480"/>
      </w:pPr>
      <w:r>
        <w:rPr>
          <w:rFonts w:hint="eastAsia"/>
        </w:rPr>
        <w:t>属性制图（文字成果、图件成果、数据库成果）：对土壤物理性质、化学性质、有机质及氮磷钾养分、中微量元素含量进行分级统计分析，并按不同土地利用类型、土壤类型、不同乡镇进行数据统计总结。</w:t>
      </w:r>
    </w:p>
    <w:p w14:paraId="4597D28A">
      <w:pPr>
        <w:ind w:firstLine="480"/>
      </w:pPr>
      <w:r>
        <w:rPr>
          <w:rFonts w:hint="eastAsia"/>
        </w:rPr>
        <w:t>适宜性评价（文字成果、图件成果、数据库成果）：确定土地利用类型的适宜程度。</w:t>
      </w:r>
    </w:p>
    <w:p w14:paraId="009DC7C0">
      <w:pPr>
        <w:ind w:firstLine="480"/>
      </w:pPr>
      <w:r>
        <w:rPr>
          <w:rFonts w:hint="eastAsia"/>
        </w:rPr>
        <w:t>耕地质量等级评价（文字成果、图件成果、数据库成果）：对县域内耕地进行评价与统计。</w:t>
      </w:r>
    </w:p>
    <w:p w14:paraId="67BAF0C9">
      <w:pPr>
        <w:keepNext w:val="1"/>
        <w:keepLines w:val="1"/>
        <w:numPr>
          <w:ilvl w:val="1"/>
          <w:numId w:val="0"/>
        </w:numPr>
        <w:spacing w:before="156" w:beforeLines="50" w:after="156" w:afterLines="50"/>
        <w:ind w:firstLine="562" w:firstLineChars="200"/>
        <w:outlineLvl w:val="1"/>
        <w:rPr>
          <w:rFonts w:cs="Times New Roman"/>
          <w:b w:val="1"/>
          <w:bCs w:val="1"/>
          <w:sz w:val="28"/>
          <w:szCs w:val="32"/>
        </w:rPr>
      </w:pPr>
      <w:commentRangeStart w:id="25"/>
      <w:bookmarkStart w:id="27" w:name="_Toc7355"/>
      <w:r>
        <w:rPr>
          <w:rFonts w:hint="eastAsia" w:cs="Times New Roman"/>
          <w:b w:val="1"/>
          <w:bCs w:val="1"/>
          <w:sz w:val="28"/>
          <w:szCs w:val="28"/>
        </w:rPr>
        <w:t>（八）</w:t>
      </w:r>
      <w:r>
        <w:rPr>
          <w:rFonts w:hint="eastAsia" w:cs="Times New Roman"/>
          <w:b w:val="1"/>
          <w:bCs w:val="1"/>
          <w:sz w:val="28"/>
          <w:szCs w:val="32"/>
        </w:rPr>
        <w:t>其他</w:t>
      </w:r>
      <w:commentRangeEnd w:id="25"/>
      <w:bookmarkEnd w:id="27"/>
      <w:r>
        <w:commentReference w:id="25"/>
      </w:r>
    </w:p>
    <w:p w14:paraId="09B42EA2">
      <w:pPr>
        <w:ind w:firstLine="480"/>
        <w:rPr>
          <w:rFonts w:cs="Times New Roman"/>
        </w:rPr>
      </w:pPr>
      <w:r>
        <w:rPr>
          <w:rFonts w:hint="eastAsia" w:cs="Times New Roman"/>
        </w:rPr>
        <w:t>黄骅市盐碱地工作由市第三次全国土壤普查领导小组办公室统筹组织，严格落实国家、省级三普部署。2022年，黄骅市被确定为河北省盐碱地调查试点县，率先在全省启动盐碱地专项调查，当年10月15日正式启动外业调查采样，共布设盐碱地野外调查样点860个，全面覆盖盐碱耕地、盐碱荒地、特色农产品种植区等关键区域。本次普查共完成表层取样1092个、剖面取样27个，覆盖全市11个乡镇、331个行政村，样点涵盖耕地、园地、林地、草地及盐碱荒地等多种土地利用类型，其中耕地样点以旱地和水浇地为主，旱地主要分布于西部和北部区域。委托河北谱尼测试科技有限公司、河北实朴检测技术服务有限公司等专业机构开展内业检测，严格执行密码平行样和质控样盲样检测机制，严控数据质量。整合多源数据，运用遥感、随机森林模型完成盐碱地分级制图与面积统计，成果经专家校准确认。治理实施上，长期联动河北农业大学等科研院校，采用挖沟排水淋盐压碱、秸秆覆盖抑制返盐、深耕改土、增施有机肥、种植耐盐作物等措施，累计治理盐碱地成效显著，同步完善监测预警、节水灌溉、政策资金保障等长效机制，推动盐碱地可持续利用。从盐碱地分布来看，黄骅市盐碱地以盐碱耕地为主，主要集中于东部沿海区域，向西逐渐过渡为轻度盐化潮土和非盐化潮土，盐渍土壤在耕地、园地、林地、草地均有分布，其中以耕地占比最大。</w:t>
      </w:r>
    </w:p>
    <w:p w14:paraId="26B8B4ED">
      <w:pPr>
        <w:ind w:firstLine="480"/>
        <w:rPr>
          <w:highlight w:val="yellow"/>
        </w:rPr>
      </w:pPr>
    </w:p>
    <w:p w14:paraId="7C628B63">
      <w:pPr>
        <w:pStyle w:val="000014"/>
        <w:spacing w:before="156" w:after="156"/>
        <w:rPr>
          <w:color w:val="auto"/>
        </w:rPr>
      </w:pPr>
      <w:bookmarkStart w:id="28" w:name="_Toc211164749"/>
      <w:r>
        <w:rPr>
          <w:rFonts w:hint="eastAsia"/>
          <w:color w:val="auto"/>
        </w:rPr>
        <w:t>四、</w:t>
      </w:r>
      <w:r>
        <w:rPr>
          <w:rFonts w:hint="eastAsia"/>
          <w:color w:val="auto"/>
        </w:rPr>
        <w:t>土壤普查工作成效</w:t>
      </w:r>
      <w:bookmarkEnd w:id="28"/>
    </w:p>
    <w:p w14:paraId="6B8A4894">
      <w:pPr>
        <w:pStyle w:val="000016"/>
        <w:spacing w:before="156" w:after="156"/>
        <w:ind w:firstLine="562"/>
        <w:rPr>
          <w:color w:val="auto"/>
        </w:rPr>
      </w:pPr>
      <w:bookmarkStart w:id="29" w:name="_Toc211164750"/>
      <w:r>
        <w:rPr>
          <w:rFonts w:hint="eastAsia"/>
          <w:color w:val="auto"/>
        </w:rPr>
        <w:t>（一）土壤资源现状与变化</w:t>
      </w:r>
      <w:bookmarkEnd w:id="29"/>
    </w:p>
    <w:p w14:paraId="7AD0C082">
      <w:pPr>
        <w:ind w:firstLine="480"/>
      </w:pPr>
      <w:r>
        <w:rPr>
          <w:rFonts w:hint="eastAsia"/>
        </w:rPr>
        <w:t>黄骅市地处滨海盐碱地区，土壤资源以盐成土、潜育土、雏形土为主。本次普查共完成表层样点1092个、剖面样点27个，采集表层样品1092件、剖面样品130件、水稳性大团聚体样品270件、容重样品1065件。普查结果显示：</w:t>
      </w:r>
    </w:p>
    <w:p w14:paraId="11ECF2A4">
      <w:pPr>
        <w:ind w:firstLine="480"/>
      </w:pPr>
      <w:commentRangeStart w:id="26"/>
      <w:r>
        <w:rPr>
          <w:rFonts w:hint="eastAsia"/>
        </w:rPr>
        <w:t>1.土壤类型与分布</w:t>
      </w:r>
      <w:commentRangeEnd w:id="26"/>
      <w:r>
        <w:rPr>
          <w:rFonts w:hint="eastAsia"/>
        </w:rPr>
        <w:commentReference w:id="26"/>
      </w:r>
      <w:r>
        <w:rPr>
          <w:rFonts w:hint="eastAsia"/>
        </w:rPr>
        <w:t>：黄骅市土壤类型主要为盐化潮土、滨海盐土、沼泽土等，呈带状或斑块状分布。盐碱地主要集中于东部沿海区域，向西逐渐过渡为轻度盐化潮土和非盐化潮土。与第二次土壤普查（二普）相比，由于长期灌溉压盐、秸秆还田等改良措施，中度以上盐碱地面积有所减少，但局部区域因地下水咸化出现次生盐渍化风险。</w:t>
      </w:r>
    </w:p>
    <w:p w14:paraId="4A254476">
      <w:pPr>
        <w:ind w:firstLine="480"/>
      </w:pPr>
      <w:r>
        <w:rPr>
          <w:rFonts w:hint="eastAsia"/>
        </w:rPr>
        <w:t>2.耕地质量等级：依据《第三次全国土壤普查耕地质量等级评价技术规范》，</w:t>
      </w:r>
      <w:commentRangeStart w:id="27"/>
      <w:r>
        <w:rPr>
          <w:rFonts w:hint="eastAsia"/>
        </w:rPr>
        <w:t>全市耕地质量等级平均为6.31，较2023年评价结果（6.34）提升0.03</w:t>
      </w:r>
      <w:commentRangeEnd w:id="27"/>
      <w:r>
        <w:rPr>
          <w:rFonts w:hint="eastAsia"/>
        </w:rPr>
        <w:commentReference w:id="27"/>
      </w:r>
      <w:r>
        <w:rPr>
          <w:rFonts w:hint="eastAsia"/>
        </w:rPr>
        <w:t>。全市耕地总面积1414761亩（约141.48万亩），主要分布于三至九等地，无一等地、二等地和十等地。其中，高等级耕地6946亩、占0.49%，中等级耕地753210亩、占53.24%，低等级耕地654606亩、占46.27%，总体呈“中低等级主导、高等级稀缺”的格局；六等地543126亩、占38.39%，七等地580785亩、占41.05%，合计占79.44%，是全市耕地主体。各等级耕地粮食生产潜力由三等地1074.29kg/亩递减至九等地615.43kg/亩，全市加权平均年度粮食生产潜力约788.90kg/亩。主要障碍因子为盐渍化突出（盐渍化耕地占81.33%，其中轻度占72.11%）、灌排条件不足（灌溉不满足占81.81%、排水不满足占89.11%）、有机质含量偏低（10.0-15.0g/kg占64.59%）、耕层偏薄（耕层≤20cm占93.83%）、土壤紧实（容重1.35-1.45g/cm³占52.58%）及质地偏砂（砂质壤土占45.13%）。旱碱麦主产区土壤pH值多在8.0-8.5之间，全盐含量0.2%-0.6%。</w:t>
      </w:r>
    </w:p>
    <w:p w14:paraId="12C03644">
      <w:pPr>
        <w:ind w:firstLine="480"/>
      </w:pPr>
      <w:r>
        <w:rPr>
          <w:rFonts w:hint="eastAsia"/>
        </w:rPr>
        <w:t>3.土壤属性变化：与二普时期相比，经过四十余年高强度利用，黄骅市土壤有机质、全氮等指标总体呈稳中有升趋势：</w:t>
      </w:r>
      <w:commentRangeStart w:id="28"/>
      <w:r>
        <w:rPr>
          <w:rFonts w:hint="eastAsia"/>
        </w:rPr>
        <w:t>有机质均值由9.49g/kg提升至14.53g/kg</w:t>
      </w:r>
      <w:commentRangeEnd w:id="28"/>
      <w:r>
        <w:rPr>
          <w:rFonts w:hint="eastAsia"/>
        </w:rPr>
        <w:commentReference w:id="28"/>
      </w:r>
      <w:r>
        <w:rPr>
          <w:rFonts w:hint="eastAsia"/>
        </w:rPr>
        <w:t>，全氮由0.6g/kg提升至0.93g/kg，有效磷由6.57mg/kg提升至13.46mg/kg，速效钾由121.7mg/kg提升至177.87mg/kg；同时有效磷、速效钾样点含量跨度较大，空间变异增大；盐碱地土壤盐分垂直分布表现为表层积盐明显，剖面中下部盐分下降。湿地土壤有机碳储量较高，具有较强的碳汇功能。</w:t>
      </w:r>
    </w:p>
    <w:p w14:paraId="39E071C3">
      <w:pPr>
        <w:ind w:firstLine="480"/>
      </w:pPr>
      <w:r>
        <w:rPr>
          <w:rFonts w:hint="eastAsia"/>
        </w:rPr>
        <w:t>4.特色土壤资源：旱碱麦种植区形成了独特的“轻盐碱-有机质积累”微域环境，土壤微生物多样性丰富。南大港湿地土壤以泥炭土、沼泽土为主，生态保护价值突出。</w:t>
      </w:r>
    </w:p>
    <w:p w14:paraId="330F3A19">
      <w:pPr>
        <w:pStyle w:val="000016"/>
        <w:spacing w:before="156" w:after="156"/>
        <w:ind w:firstLine="562"/>
        <w:rPr>
          <w:color w:val="auto"/>
        </w:rPr>
      </w:pPr>
      <w:bookmarkStart w:id="30" w:name="_Toc211164754"/>
      <w:r>
        <w:rPr>
          <w:rFonts w:hint="eastAsia"/>
          <w:color w:val="auto"/>
        </w:rPr>
        <w:t>（二）土壤资源优化利用对策</w:t>
      </w:r>
      <w:bookmarkEnd w:id="30"/>
    </w:p>
    <w:p w14:paraId="26D118D7">
      <w:pPr>
        <w:ind w:firstLine="480"/>
      </w:pPr>
      <w:r>
        <w:rPr>
          <w:rFonts w:hint="eastAsia"/>
        </w:rPr>
        <w:t>基于普查数据和土壤障碍因子诊断，提出以下对策建议：</w:t>
      </w:r>
    </w:p>
    <w:p w14:paraId="380ADF3F">
      <w:pPr>
        <w:ind w:firstLine="480"/>
      </w:pPr>
      <w:r>
        <w:rPr>
          <w:rFonts w:hint="eastAsia"/>
        </w:rPr>
        <w:t>1.盐碱地分类治理与综合利用</w:t>
      </w:r>
    </w:p>
    <w:p w14:paraId="12F69D3C">
      <w:pPr>
        <w:ind w:firstLine="480"/>
      </w:pPr>
      <w:r>
        <w:rPr>
          <w:rFonts w:hint="eastAsia"/>
        </w:rPr>
        <w:t>轻度盐碱区（全盐&lt;0.3%）：推广耐盐作物品种（如捷麦19、捷麦20），配套秸秆覆盖抑盐、增施有机肥等农艺措施。</w:t>
      </w:r>
    </w:p>
    <w:p w14:paraId="19FAAF7C">
      <w:pPr>
        <w:ind w:firstLine="480"/>
      </w:pPr>
      <w:r>
        <w:rPr>
          <w:rFonts w:hint="eastAsia"/>
        </w:rPr>
        <w:t>中度盐碱区（全盐0.3%-0.6%）：实施“暗管排盐+生物改良”，种植田菁、苜蓿等绿肥作物，降低土壤盐分。</w:t>
      </w:r>
    </w:p>
    <w:p w14:paraId="412AF3BA">
      <w:pPr>
        <w:ind w:firstLine="480"/>
      </w:pPr>
      <w:r>
        <w:rPr>
          <w:rFonts w:hint="eastAsia"/>
        </w:rPr>
        <w:t>重度盐碱区（全盐&gt;0.6%）及盐碱荒地：探索“以渔改碱”或耐盐经济植物（碱蓬、柽柳）种植，发展生态产业。</w:t>
      </w:r>
    </w:p>
    <w:p w14:paraId="27D4EB95">
      <w:pPr>
        <w:ind w:firstLine="480"/>
      </w:pPr>
      <w:r>
        <w:rPr>
          <w:rFonts w:hint="eastAsia"/>
        </w:rPr>
        <w:t>2.耕地质量提升与地力培肥</w:t>
      </w:r>
    </w:p>
    <w:p w14:paraId="2E5E71C5">
      <w:pPr>
        <w:ind w:firstLine="480"/>
      </w:pPr>
      <w:r>
        <w:rPr>
          <w:rFonts w:hint="eastAsia"/>
        </w:rPr>
        <w:t>推广测土配方施肥，根据养分分级结果优化氮磷钾配比，增施有机肥和微生物菌剂，提高土壤有机质。</w:t>
      </w:r>
    </w:p>
    <w:p w14:paraId="783F66B5">
      <w:pPr>
        <w:ind w:firstLine="480"/>
      </w:pPr>
      <w:r>
        <w:rPr>
          <w:rFonts w:hint="eastAsia"/>
        </w:rPr>
        <w:t>在高标准农田建设中，统筹排灌设施完善与土壤改良，降低地下水位，阻断盐分上移。</w:t>
      </w:r>
    </w:p>
    <w:p w14:paraId="33542D48">
      <w:pPr>
        <w:ind w:firstLine="480"/>
      </w:pPr>
      <w:r>
        <w:rPr>
          <w:rFonts w:hint="eastAsia"/>
        </w:rPr>
        <w:t>建立耕地质量长期定位监测点，跟踪盐分、养分动态变化。</w:t>
      </w:r>
    </w:p>
    <w:p w14:paraId="44AFD5AD">
      <w:pPr>
        <w:ind w:firstLine="480"/>
      </w:pPr>
      <w:r>
        <w:rPr>
          <w:rFonts w:hint="eastAsia"/>
        </w:rPr>
        <w:t>根据耕地质量等级评价结果，实行分级分类利用：三、四等地以保护为主，巩固灌溉排水条件，防止质量下降；五等地提升灌排和培肥水平；六、七等地作为全市粮食产能主体，优先建设高标准农田，重点增厚耕层、降低容重、抑盐培肥、提高灌溉保证率；八、九等地集中开展盐碱地治理，实施排盐洗盐、客土改良和耐盐作物布局，逐步提升耕地等级。</w:t>
      </w:r>
    </w:p>
    <w:p w14:paraId="3F5A02FD">
      <w:pPr>
        <w:ind w:firstLine="480"/>
      </w:pPr>
      <w:r>
        <w:rPr>
          <w:rFonts w:hint="eastAsia"/>
        </w:rPr>
        <w:t>3.旱碱麦特色产业提质增效</w:t>
      </w:r>
    </w:p>
    <w:p w14:paraId="7B3189F6">
      <w:pPr>
        <w:ind w:firstLine="480"/>
      </w:pPr>
      <w:r>
        <w:rPr>
          <w:rFonts w:hint="eastAsia"/>
        </w:rPr>
        <w:t>依据土壤属性制图，划定旱碱麦最适宜区、适宜区和次适宜区，引导种植布局优化。</w:t>
      </w:r>
    </w:p>
    <w:p w14:paraId="36868B58">
      <w:pPr>
        <w:ind w:firstLine="480"/>
      </w:pPr>
      <w:r>
        <w:rPr>
          <w:rFonts w:hint="eastAsia"/>
        </w:rPr>
        <w:t>推广“土壤调理剂+水肥一体化”技术，调控根区微环境。</w:t>
      </w:r>
    </w:p>
    <w:p w14:paraId="629C74E0">
      <w:pPr>
        <w:ind w:firstLine="480"/>
      </w:pPr>
      <w:r>
        <w:rPr>
          <w:rFonts w:hint="eastAsia"/>
        </w:rPr>
        <w:t>结合土壤普查数据，建立旱碱麦产地土壤质量档案，支撑品牌认证和溯源。</w:t>
      </w:r>
    </w:p>
    <w:p w14:paraId="273CA146">
      <w:pPr>
        <w:ind w:firstLine="480"/>
      </w:pPr>
      <w:r>
        <w:rPr>
          <w:rFonts w:hint="eastAsia"/>
        </w:rPr>
        <w:t>4.生态保护与土壤可持续利用</w:t>
      </w:r>
    </w:p>
    <w:p w14:paraId="5C03C37C">
      <w:pPr>
        <w:ind w:firstLine="480"/>
      </w:pPr>
      <w:r>
        <w:rPr>
          <w:rFonts w:hint="eastAsia"/>
        </w:rPr>
        <w:t>南大港湿地及滨海盐碱荒地实施严格保护，禁止盲目开垦，维持土壤生态功能。</w:t>
      </w:r>
    </w:p>
    <w:p w14:paraId="2D8193B6">
      <w:pPr>
        <w:ind w:firstLine="480"/>
      </w:pPr>
      <w:r>
        <w:rPr>
          <w:rFonts w:hint="eastAsia"/>
        </w:rPr>
        <w:t>在林地、草地土壤区推行植被恢复与土壤保育，提升碳汇能力。</w:t>
      </w:r>
    </w:p>
    <w:p w14:paraId="6A348CF3">
      <w:pPr>
        <w:pStyle w:val="000016"/>
        <w:spacing w:before="156" w:after="156"/>
        <w:ind w:firstLine="562"/>
        <w:rPr>
          <w:color w:val="auto"/>
        </w:rPr>
      </w:pPr>
      <w:bookmarkStart w:id="31" w:name="_Toc211164755"/>
      <w:r>
        <w:rPr>
          <w:rFonts w:hint="eastAsia"/>
          <w:color w:val="auto"/>
        </w:rPr>
        <w:t>（三）提高队伍能力与公众意识</w:t>
      </w:r>
      <w:bookmarkEnd w:id="31"/>
    </w:p>
    <w:p w14:paraId="24FDAC82">
      <w:pPr>
        <w:ind w:firstLine="480"/>
      </w:pPr>
      <w:r>
        <w:rPr>
          <w:rFonts w:hint="eastAsia"/>
        </w:rPr>
        <w:t>通过本次土壤普查，黄骅市在技术队伍建设与公众认知提升方面取得显著成效：</w:t>
      </w:r>
    </w:p>
    <w:p w14:paraId="68D3B383">
      <w:pPr>
        <w:ind w:firstLine="480"/>
      </w:pPr>
      <w:r>
        <w:rPr>
          <w:rFonts w:hint="eastAsia"/>
        </w:rPr>
        <w:t>1.技术队伍能力提升</w:t>
      </w:r>
    </w:p>
    <w:p w14:paraId="1C9A898D">
      <w:pPr>
        <w:ind w:firstLine="480"/>
      </w:pPr>
      <w:r>
        <w:rPr>
          <w:rFonts w:hint="eastAsia"/>
        </w:rPr>
        <w:t>依托省、市专家指导组，黄骅市培养了一支熟悉盐碱地土壤调查的本地技术骨干队伍，涵盖外业采样、内业质控、数据审核等环节。累计开展专题培训8场次，培训基层农技人员、采样队员120余人次。</w:t>
      </w:r>
    </w:p>
    <w:p w14:paraId="6F9B9B58">
      <w:pPr>
        <w:ind w:firstLine="480"/>
      </w:pPr>
      <w:r>
        <w:rPr>
          <w:rFonts w:hint="eastAsia"/>
        </w:rPr>
        <w:t>河北农业大学等高校专家全程带班指导，采样人员熟练掌握了盐碱土剖面描述、样品采集规范及手持终端操作，外业质控合格率达100%。</w:t>
      </w:r>
    </w:p>
    <w:p w14:paraId="3FA376DB">
      <w:pPr>
        <w:ind w:firstLine="480"/>
      </w:pPr>
      <w:r>
        <w:rPr>
          <w:rFonts w:hint="eastAsia"/>
        </w:rPr>
        <w:t>内业检测机构严格执行“制检分离”与盲样质控，检测人员技术能力通过省级能力验证。</w:t>
      </w:r>
    </w:p>
    <w:p w14:paraId="7D137B02">
      <w:pPr>
        <w:ind w:firstLine="480"/>
      </w:pPr>
      <w:r>
        <w:rPr>
          <w:rFonts w:hint="eastAsia"/>
        </w:rPr>
        <w:t>2.公众意识与参与度提高</w:t>
      </w:r>
    </w:p>
    <w:p w14:paraId="6F62F88E">
      <w:pPr>
        <w:ind w:firstLine="480"/>
      </w:pPr>
      <w:r>
        <w:rPr>
          <w:rFonts w:hint="eastAsia"/>
        </w:rPr>
        <w:t>通过传统媒体与新媒体结合宣传，重点解读“盐碱地普查与旱碱麦产业”的关联，农户对土壤保护的认知明显提升。</w:t>
      </w:r>
      <w:commentRangeStart w:id="29"/>
      <w:r>
        <w:rPr>
          <w:rFonts w:hint="eastAsia"/>
        </w:rPr>
        <w:t>宣传覆盖全市11个乡镇、300余个行政村</w:t>
      </w:r>
      <w:commentRangeEnd w:id="29"/>
      <w:r>
        <w:rPr>
          <w:rFonts w:hint="eastAsia"/>
        </w:rPr>
        <w:commentReference w:id="29"/>
      </w:r>
      <w:r>
        <w:rPr>
          <w:rFonts w:hint="eastAsia"/>
        </w:rPr>
        <w:t>，发放宣传资料5000余份。</w:t>
      </w:r>
    </w:p>
    <w:p w14:paraId="42E6511A">
      <w:pPr>
        <w:ind w:firstLine="480"/>
      </w:pPr>
      <w:r>
        <w:rPr>
          <w:rFonts w:hint="eastAsia"/>
        </w:rPr>
        <w:t>在外业采样过程中，基层村干部和农户主动提供地块历史利用信息，协助采样队完成点位校核与信息填报，形成了“政府主导、社会参与”的良好氛围。</w:t>
      </w:r>
    </w:p>
    <w:p w14:paraId="7A3B695E">
      <w:pPr>
        <w:ind w:firstLine="480"/>
      </w:pPr>
      <w:r>
        <w:rPr>
          <w:rFonts w:hint="eastAsia"/>
        </w:rPr>
        <w:t>三普成果初步发布后，农业企业、合作社咨询盐碱地改良技术的意愿增强，推动了科技成果转化。</w:t>
      </w:r>
    </w:p>
    <w:p w14:paraId="7D102522">
      <w:pPr>
        <w:pStyle w:val="000016"/>
        <w:spacing w:before="156" w:after="156"/>
        <w:ind w:firstLine="562"/>
        <w:rPr>
          <w:color w:val="auto"/>
        </w:rPr>
      </w:pPr>
      <w:bookmarkStart w:id="32" w:name="_Toc211164756"/>
      <w:r>
        <w:rPr>
          <w:rFonts w:hint="eastAsia"/>
          <w:color w:val="auto"/>
        </w:rPr>
        <w:t>（四）问题与建议</w:t>
      </w:r>
      <w:bookmarkEnd w:id="32"/>
    </w:p>
    <w:p w14:paraId="559F6881">
      <w:pPr>
        <w:ind w:firstLine="480"/>
      </w:pPr>
      <w:r>
        <w:rPr>
          <w:rFonts w:hint="eastAsia"/>
        </w:rPr>
        <w:t>尽管黄骅市土壤三普工作整体进展顺利，但仍存在以下问题：</w:t>
      </w:r>
    </w:p>
    <w:p w14:paraId="3E04CFEB">
      <w:pPr>
        <w:ind w:firstLine="480"/>
      </w:pPr>
      <w:r>
        <w:rPr>
          <w:rFonts w:hint="eastAsia"/>
        </w:rPr>
        <w:t>1.资金支付进度偏慢</w:t>
      </w:r>
    </w:p>
    <w:p w14:paraId="59A937FF">
      <w:pPr>
        <w:ind w:firstLine="480"/>
      </w:pPr>
      <w:r>
        <w:rPr>
          <w:rFonts w:hint="eastAsia"/>
        </w:rPr>
        <w:t>部分环节（如成果编制后期）经费拨付与实际工作进度存在一定滞后，影响第三方单位工作积极性。建议优化资金申请与审批流程，建立分阶段按绩效拨付机制。</w:t>
      </w:r>
    </w:p>
    <w:p w14:paraId="4BD6125E">
      <w:pPr>
        <w:ind w:firstLine="480"/>
      </w:pPr>
      <w:r>
        <w:rPr>
          <w:rFonts w:hint="eastAsia"/>
        </w:rPr>
        <w:t>2.盐碱地动态监测体系尚不完善</w:t>
      </w:r>
    </w:p>
    <w:p w14:paraId="6E8B8D17">
      <w:pPr>
        <w:ind w:firstLine="480"/>
      </w:pPr>
      <w:r>
        <w:rPr>
          <w:rFonts w:hint="eastAsia"/>
        </w:rPr>
        <w:t>本次普查为一次性全面调查，缺乏长期定位监测数据。建议依托三普样点，筛选代表性点位建立盐碱地长期监测网络，每5-10年复测一次，跟踪盐分演变趋势。</w:t>
      </w:r>
    </w:p>
    <w:p w14:paraId="7AB0AF9A">
      <w:pPr>
        <w:ind w:firstLine="480"/>
      </w:pPr>
      <w:r>
        <w:rPr>
          <w:rFonts w:hint="eastAsia"/>
        </w:rPr>
        <w:t>3.成果转化应用有待深化</w:t>
      </w:r>
    </w:p>
    <w:p w14:paraId="674D97B6">
      <w:pPr>
        <w:ind w:firstLine="480"/>
      </w:pPr>
      <w:r>
        <w:rPr>
          <w:rFonts w:hint="eastAsia"/>
        </w:rPr>
        <w:t>普查形成了大量图件与数据，但基层农户和新型经营主体对成果的获取与理解存在门槛。建议开发简明易懂的“土壤养分地图”或手机APP查询系统，推动因土施肥、因土种植落地。</w:t>
      </w:r>
    </w:p>
    <w:p w14:paraId="26C20932">
      <w:pPr>
        <w:ind w:firstLine="480"/>
      </w:pPr>
      <w:r>
        <w:rPr>
          <w:rFonts w:hint="eastAsia"/>
        </w:rPr>
        <w:t>4.部分技术难点仍需攻关</w:t>
      </w:r>
    </w:p>
    <w:p w14:paraId="7CE7821A">
      <w:pPr>
        <w:ind w:firstLine="480"/>
      </w:pPr>
      <w:r>
        <w:rPr>
          <w:rFonts w:hint="eastAsia"/>
        </w:rPr>
        <w:t>滨海盐碱地土壤盐分空间异质性强，且受地下水位、季节影响波动大。建议联合科研院所开展“水盐运动规律与作物响应”专项研究，优化盐碱地治理阈值和农艺参数。</w:t>
      </w:r>
    </w:p>
    <w:p w14:paraId="58770F76">
      <w:pPr>
        <w:ind w:firstLine="480"/>
      </w:pPr>
      <w:r>
        <w:rPr>
          <w:rFonts w:hint="eastAsia"/>
        </w:rPr>
        <w:t>5.多部门数据共享机制需健全</w:t>
      </w:r>
    </w:p>
    <w:p w14:paraId="25EF76FA">
      <w:pPr>
        <w:ind w:firstLine="480"/>
      </w:pPr>
      <w:r>
        <w:rPr>
          <w:rFonts w:hint="eastAsia"/>
        </w:rPr>
        <w:t>土壤普查成果与国土“三调”、耕地质量等级评价等数据尚未完全融合。建议建立县级土壤资源数据中心，实现农业农村、自然资源、生态环境等部门数据互通共享，支撑综合决策。</w:t>
      </w:r>
    </w:p>
    <w:p w14:paraId="27B1CAD8">
      <w:pPr>
        <w:ind w:firstLine="480"/>
      </w:pPr>
    </w:p>
    <w:p w14:paraId="4E28F894">
      <w:pPr>
        <w:ind w:firstLine="480"/>
      </w:pPr>
    </w:p>
    <w:p w14:paraId="24F56495">
      <w:pPr>
        <w:ind w:firstLine="480"/>
      </w:pPr>
    </w:p>
    <w:p w14:paraId="5C3D4D27">
      <w:pPr>
        <w:ind w:firstLine="480"/>
      </w:pPr>
    </w:p>
    <w:p w14:paraId="13FB1FB5">
      <w:pPr>
        <w:ind w:firstLine="480"/>
      </w:pPr>
    </w:p>
    <w:p w14:paraId="7978018E">
      <w:pPr>
        <w:ind w:firstLine="480"/>
      </w:pPr>
    </w:p>
    <w:p w14:paraId="3D864A98">
      <w:pPr>
        <w:ind w:firstLine="480"/>
      </w:pPr>
    </w:p>
    <w:p w14:paraId="4D32F6A2">
      <w:pPr>
        <w:ind w:firstLine="480"/>
      </w:pPr>
    </w:p>
    <w:p w14:paraId="5DCBD8EC">
      <w:pPr>
        <w:ind w:firstLine="480"/>
      </w:pPr>
    </w:p>
    <w:p w14:paraId="22089338">
      <w:pPr>
        <w:ind w:firstLine="480"/>
      </w:pPr>
    </w:p>
    <w:p w14:paraId="1F048B43">
      <w:pPr>
        <w:ind w:firstLine="480"/>
      </w:pPr>
    </w:p>
    <w:p w14:paraId="3306AD65">
      <w:pPr>
        <w:ind w:firstLine="480"/>
      </w:pPr>
    </w:p>
    <w:p w14:paraId="31B7E855">
      <w:pPr>
        <w:ind w:firstLine="480"/>
      </w:pPr>
    </w:p>
    <w:p w14:paraId="46FF6A92">
      <w:pPr>
        <w:ind w:firstLine="480"/>
      </w:pPr>
    </w:p>
    <w:p w14:paraId="4E167A40">
      <w:pPr>
        <w:ind w:firstLine="480"/>
      </w:pPr>
    </w:p>
    <w:p w14:paraId="70ECB572">
      <w:pPr>
        <w:ind w:firstLine="480"/>
      </w:pPr>
    </w:p>
    <w:p w14:paraId="7F299A76">
      <w:pPr>
        <w:ind w:firstLine="480"/>
      </w:pPr>
    </w:p>
    <w:p w14:paraId="3619B83E">
      <w:pPr>
        <w:ind w:firstLine="480"/>
      </w:pPr>
    </w:p>
    <w:p w14:paraId="54AC2918">
      <w:pPr>
        <w:ind w:firstLine="480"/>
      </w:pPr>
    </w:p>
    <w:p w14:paraId="5803A12D">
      <w:pPr>
        <w:pStyle w:val="000014"/>
        <w:spacing w:before="156" w:after="156"/>
        <w:rPr>
          <w:color w:val="auto"/>
        </w:rPr>
      </w:pPr>
      <w:bookmarkStart w:id="33" w:name="_Toc211164757"/>
      <w:r>
        <w:rPr>
          <w:rFonts w:hint="eastAsia"/>
          <w:color w:val="auto"/>
        </w:rPr>
        <w:t>附件</w:t>
      </w:r>
      <w:bookmarkEnd w:id="33"/>
    </w:p>
    <w:p w14:paraId="1E4B29B8">
      <w:pPr>
        <w:ind w:firstLine="0" w:firstLineChars="0"/>
        <w:jc w:val="center"/>
        <w:rPr>
          <w:rFonts w:eastAsia="黑体" w:cs="Times New Roman"/>
          <w:sz w:val="21"/>
          <w:szCs w:val="21"/>
        </w:rPr>
      </w:pPr>
      <w:r>
        <w:rPr>
          <w:rFonts w:hint="eastAsia" w:eastAsia="黑体" w:cs="Times New Roman"/>
          <w:sz w:val="21"/>
          <w:szCs w:val="21"/>
        </w:rPr>
        <w:t xml:space="preserve">附件1  </w:t>
      </w:r>
      <w:r>
        <w:rPr>
          <w:rFonts w:hint="eastAsia" w:eastAsia="黑体" w:cs="Times New Roman"/>
          <w:sz w:val="21"/>
          <w:szCs w:val="21"/>
        </w:rPr>
        <w:t>沧州市黄骅市</w:t>
      </w:r>
      <w:r>
        <w:rPr>
          <w:rFonts w:hint="eastAsia" w:eastAsia="黑体" w:cs="Times New Roman"/>
          <w:sz w:val="21"/>
          <w:szCs w:val="21"/>
        </w:rPr>
        <w:t>土壤三普工作主要业绩</w:t>
      </w:r>
    </w:p>
    <w:tbl>
      <w:tblPr>
        <w:tblStyle w:val="000033"/>
        <w:tblW w:w="5000" w:type="pct"/>
        <w:tblLook w:firstRow="1" w:lastRow="0" w:firstColumn="1" w:lastColumn="0" w:noHBand="0" w:noVBand="1" w:val="04A0"/>
      </w:tblPr>
      <w:tblGrid>
        <w:gridCol w:w="2074"/>
        <w:gridCol w:w="2074"/>
        <w:gridCol w:w="2074"/>
        <w:gridCol w:w="2074"/>
      </w:tblGrid>
      <w:tr>
        <w:trPr/>
        <w:tc>
          <w:tcPr>
            <w:tcW w:w="1250" w:type="pct"/>
            <w:vAlign w:val="center"/>
          </w:tcPr>
          <w:p w14:paraId="448C40AD">
            <w:pPr>
              <w:ind w:firstLine="0" w:firstLineChars="0"/>
              <w:jc w:val="center"/>
              <w:rPr>
                <w:rFonts w:cs="Times New Roman"/>
                <w:sz w:val="21"/>
                <w:szCs w:val="21"/>
              </w:rPr>
            </w:pPr>
            <w:r>
              <w:rPr>
                <w:rFonts w:hint="eastAsia" w:cs="Times New Roman"/>
                <w:sz w:val="21"/>
                <w:szCs w:val="21"/>
              </w:rPr>
              <w:t>业绩名称</w:t>
            </w:r>
          </w:p>
        </w:tc>
        <w:tc>
          <w:tcPr>
            <w:tcW w:w="1250" w:type="pct"/>
            <w:vAlign w:val="center"/>
          </w:tcPr>
          <w:p w14:paraId="5399F59A">
            <w:pPr>
              <w:ind w:firstLine="0" w:firstLineChars="0"/>
              <w:jc w:val="center"/>
              <w:rPr>
                <w:rFonts w:cs="Times New Roman"/>
                <w:sz w:val="21"/>
                <w:szCs w:val="21"/>
              </w:rPr>
            </w:pPr>
            <w:r>
              <w:rPr>
                <w:rFonts w:hint="eastAsia" w:cs="Times New Roman"/>
                <w:sz w:val="21"/>
                <w:szCs w:val="21"/>
              </w:rPr>
              <w:t>业绩内容</w:t>
            </w:r>
          </w:p>
        </w:tc>
        <w:tc>
          <w:tcPr>
            <w:tcW w:w="1250" w:type="pct"/>
            <w:vAlign w:val="center"/>
          </w:tcPr>
          <w:p w14:paraId="546FFD18">
            <w:pPr>
              <w:ind w:firstLine="0" w:firstLineChars="0"/>
              <w:jc w:val="center"/>
              <w:rPr>
                <w:rFonts w:cs="Times New Roman"/>
                <w:sz w:val="21"/>
                <w:szCs w:val="21"/>
              </w:rPr>
            </w:pPr>
            <w:r>
              <w:rPr>
                <w:rFonts w:hint="eastAsia" w:cs="Times New Roman"/>
                <w:sz w:val="21"/>
                <w:szCs w:val="21"/>
              </w:rPr>
              <w:t>业绩数量</w:t>
            </w:r>
          </w:p>
        </w:tc>
        <w:tc>
          <w:tcPr>
            <w:tcW w:w="1250" w:type="pct"/>
            <w:vAlign w:val="center"/>
          </w:tcPr>
          <w:p w14:paraId="674D6DFD">
            <w:pPr>
              <w:ind w:firstLine="0" w:firstLineChars="0"/>
              <w:jc w:val="center"/>
              <w:rPr>
                <w:rFonts w:cs="Times New Roman"/>
                <w:sz w:val="21"/>
                <w:szCs w:val="21"/>
              </w:rPr>
            </w:pPr>
            <w:r>
              <w:rPr>
                <w:rFonts w:hint="eastAsia" w:cs="Times New Roman"/>
                <w:sz w:val="21"/>
                <w:szCs w:val="21"/>
              </w:rPr>
              <w:t>备注</w:t>
            </w:r>
          </w:p>
        </w:tc>
      </w:tr>
      <w:tr>
        <w:trPr/>
        <w:tc>
          <w:tcPr>
            <w:tcW w:w="1250" w:type="pct"/>
            <w:vAlign w:val="center"/>
          </w:tcPr>
          <w:p w14:paraId="2084C442">
            <w:pPr>
              <w:ind w:firstLine="0" w:firstLineChars="0"/>
              <w:jc w:val="center"/>
              <w:rPr>
                <w:rFonts w:cs="Times New Roman"/>
                <w:sz w:val="21"/>
                <w:szCs w:val="21"/>
              </w:rPr>
            </w:pPr>
            <w:r>
              <w:rPr>
                <w:rFonts w:hint="eastAsia" w:cs="Times New Roman"/>
                <w:sz w:val="21"/>
                <w:szCs w:val="21"/>
              </w:rPr>
              <w:t>样点校核</w:t>
            </w:r>
          </w:p>
        </w:tc>
        <w:tc>
          <w:tcPr>
            <w:tcW w:w="1250" w:type="pct"/>
            <w:vAlign w:val="center"/>
          </w:tcPr>
          <w:p w14:paraId="2069CF47">
            <w:pPr>
              <w:ind w:firstLine="0" w:firstLineChars="0"/>
              <w:jc w:val="center"/>
              <w:rPr>
                <w:rFonts w:cs="Times New Roman"/>
                <w:sz w:val="21"/>
                <w:szCs w:val="21"/>
              </w:rPr>
            </w:pPr>
            <w:r>
              <w:rPr>
                <w:rFonts w:hint="eastAsia" w:cs="Times New Roman"/>
                <w:sz w:val="21"/>
                <w:szCs w:val="21"/>
              </w:rPr>
              <w:t>表层样点实地校核，调整不符合采样要求样点</w:t>
            </w:r>
          </w:p>
        </w:tc>
        <w:tc>
          <w:tcPr>
            <w:tcW w:w="1250" w:type="pct"/>
            <w:vAlign w:val="center"/>
          </w:tcPr>
          <w:p w14:paraId="16418C38">
            <w:pPr>
              <w:ind w:firstLine="0" w:firstLineChars="0"/>
              <w:jc w:val="center"/>
              <w:rPr>
                <w:rFonts w:cs="Times New Roman"/>
                <w:sz w:val="21"/>
                <w:szCs w:val="21"/>
              </w:rPr>
            </w:pPr>
            <w:r>
              <w:rPr>
                <w:rFonts w:cs="Times New Roman"/>
                <w:sz w:val="21"/>
                <w:szCs w:val="21"/>
              </w:rPr>
              <w:t>16</w:t>
            </w:r>
          </w:p>
        </w:tc>
        <w:tc>
          <w:tcPr>
            <w:tcW w:w="1250" w:type="pct"/>
            <w:vAlign w:val="center"/>
          </w:tcPr>
          <w:p w14:paraId="6BAD0760">
            <w:pPr>
              <w:ind w:firstLine="0" w:firstLineChars="0"/>
              <w:jc w:val="center"/>
              <w:rPr>
                <w:rFonts w:cs="Times New Roman"/>
                <w:sz w:val="21"/>
                <w:szCs w:val="21"/>
              </w:rPr>
            </w:pPr>
            <w:r>
              <w:rPr>
                <w:rFonts w:hint="eastAsia" w:cs="Times New Roman"/>
                <w:sz w:val="21"/>
                <w:szCs w:val="21"/>
              </w:rPr>
              <w:t>校核单位：航天宏图信息技术股份有限公司</w:t>
            </w:r>
          </w:p>
        </w:tc>
      </w:tr>
      <w:tr>
        <w:trPr/>
        <w:tc>
          <w:tcPr>
            <w:tcW w:w="1250" w:type="pct"/>
            <w:vAlign w:val="center"/>
          </w:tcPr>
          <w:p w14:paraId="0219FC4C">
            <w:pPr>
              <w:ind w:firstLine="0" w:firstLineChars="0"/>
              <w:jc w:val="center"/>
              <w:rPr>
                <w:rFonts w:cs="Times New Roman"/>
                <w:sz w:val="21"/>
                <w:szCs w:val="21"/>
              </w:rPr>
            </w:pPr>
            <w:r>
              <w:rPr>
                <w:rFonts w:hint="eastAsia" w:cs="Times New Roman"/>
                <w:sz w:val="21"/>
                <w:szCs w:val="21"/>
              </w:rPr>
              <w:t>外业样点采集</w:t>
            </w:r>
          </w:p>
        </w:tc>
        <w:tc>
          <w:tcPr>
            <w:tcW w:w="1250" w:type="pct"/>
            <w:vAlign w:val="center"/>
          </w:tcPr>
          <w:p w14:paraId="39F0B37F">
            <w:pPr>
              <w:ind w:firstLine="0" w:firstLineChars="0"/>
              <w:jc w:val="center"/>
              <w:rPr>
                <w:rFonts w:cs="Times New Roman"/>
                <w:sz w:val="21"/>
                <w:szCs w:val="21"/>
              </w:rPr>
            </w:pPr>
            <w:r>
              <w:rPr>
                <w:rFonts w:hint="eastAsia" w:cs="Times New Roman"/>
                <w:sz w:val="21"/>
                <w:szCs w:val="21"/>
              </w:rPr>
              <w:t>完成表层样点采集</w:t>
            </w:r>
          </w:p>
        </w:tc>
        <w:tc>
          <w:tcPr>
            <w:tcW w:w="1250" w:type="pct"/>
            <w:vAlign w:val="center"/>
          </w:tcPr>
          <w:p w14:paraId="6222D858">
            <w:pPr>
              <w:ind w:firstLine="0" w:firstLineChars="0"/>
              <w:jc w:val="center"/>
              <w:rPr>
                <w:rFonts w:cs="Times New Roman"/>
                <w:sz w:val="21"/>
                <w:szCs w:val="21"/>
              </w:rPr>
            </w:pPr>
            <w:r>
              <w:rPr>
                <w:rFonts w:cs="Times New Roman"/>
                <w:sz w:val="21"/>
                <w:szCs w:val="21"/>
              </w:rPr>
              <w:t>1092</w:t>
            </w:r>
          </w:p>
        </w:tc>
        <w:commentRangeStart w:id="30"/>
        <w:tc>
          <w:tcPr>
            <w:tcW w:w="1250" w:type="pct"/>
            <w:vAlign w:val="center"/>
          </w:tcPr>
          <w:p w14:paraId="6DD28434">
            <w:pPr>
              <w:ind w:firstLine="0" w:firstLineChars="0"/>
              <w:jc w:val="center"/>
              <w:rPr>
                <w:rFonts w:cs="Times New Roman"/>
                <w:sz w:val="21"/>
                <w:szCs w:val="21"/>
              </w:rPr>
            </w:pPr>
            <w:r>
              <w:rPr>
                <w:rFonts w:hint="eastAsia" w:cs="Times New Roman"/>
                <w:sz w:val="21"/>
                <w:szCs w:val="21"/>
              </w:rPr>
              <w:t>承担单位：河北津尼测试科技有限公司</w:t>
            </w:r>
            <w:commentRangeEnd w:id="30"/>
            <w:r>
              <w:commentReference w:id="30"/>
            </w:r>
          </w:p>
        </w:tc>
      </w:tr>
      <w:tr>
        <w:trPr/>
        <w:tc>
          <w:tcPr>
            <w:tcW w:w="1250" w:type="pct"/>
            <w:vAlign w:val="center"/>
          </w:tcPr>
          <w:p w14:paraId="2730880E">
            <w:pPr>
              <w:ind w:firstLine="0" w:firstLineChars="0"/>
              <w:jc w:val="center"/>
              <w:rPr>
                <w:rFonts w:cs="Times New Roman"/>
                <w:sz w:val="21"/>
                <w:szCs w:val="21"/>
              </w:rPr>
            </w:pPr>
            <w:r>
              <w:rPr>
                <w:rFonts w:hint="eastAsia" w:cs="Times New Roman"/>
                <w:sz w:val="21"/>
                <w:szCs w:val="21"/>
              </w:rPr>
              <w:t>外业样点采集</w:t>
            </w:r>
          </w:p>
        </w:tc>
        <w:tc>
          <w:tcPr>
            <w:tcW w:w="1250" w:type="pct"/>
            <w:vAlign w:val="center"/>
          </w:tcPr>
          <w:p w14:paraId="0BE042E0">
            <w:pPr>
              <w:ind w:firstLine="0" w:firstLineChars="0"/>
              <w:jc w:val="center"/>
              <w:rPr>
                <w:rFonts w:cs="Times New Roman"/>
                <w:sz w:val="21"/>
                <w:szCs w:val="21"/>
              </w:rPr>
            </w:pPr>
            <w:r>
              <w:rPr>
                <w:rFonts w:hint="eastAsia" w:cs="Times New Roman"/>
                <w:sz w:val="21"/>
                <w:szCs w:val="21"/>
              </w:rPr>
              <w:t>完成剖面样点采集</w:t>
            </w:r>
          </w:p>
        </w:tc>
        <w:tc>
          <w:tcPr>
            <w:tcW w:w="1250" w:type="pct"/>
            <w:vAlign w:val="center"/>
          </w:tcPr>
          <w:p w14:paraId="35725149">
            <w:pPr>
              <w:ind w:firstLine="0" w:firstLineChars="0"/>
              <w:jc w:val="center"/>
              <w:rPr>
                <w:rFonts w:cs="Times New Roman"/>
                <w:sz w:val="21"/>
                <w:szCs w:val="21"/>
              </w:rPr>
            </w:pPr>
            <w:r>
              <w:rPr>
                <w:rFonts w:cs="Times New Roman"/>
                <w:sz w:val="21"/>
                <w:szCs w:val="21"/>
              </w:rPr>
              <w:t>27</w:t>
            </w:r>
          </w:p>
        </w:tc>
        <w:tc>
          <w:tcPr>
            <w:tcW w:w="1250" w:type="pct"/>
            <w:vAlign w:val="center"/>
          </w:tcPr>
          <w:p w14:paraId="7DA5230D">
            <w:pPr>
              <w:ind w:firstLine="0" w:firstLineChars="0"/>
              <w:jc w:val="center"/>
              <w:rPr>
                <w:rFonts w:cs="Times New Roman"/>
                <w:sz w:val="21"/>
                <w:szCs w:val="21"/>
              </w:rPr>
            </w:pPr>
            <w:r>
              <w:rPr>
                <w:rFonts w:hint="eastAsia" w:cs="Times New Roman"/>
                <w:sz w:val="21"/>
                <w:szCs w:val="21"/>
              </w:rPr>
              <w:t>承担单位：河北实朴检测技术服务有限公司</w:t>
            </w:r>
          </w:p>
        </w:tc>
      </w:tr>
      <w:tr>
        <w:trPr/>
        <w:tc>
          <w:tcPr>
            <w:tcW w:w="1250" w:type="pct"/>
            <w:vAlign w:val="center"/>
          </w:tcPr>
          <w:p w14:paraId="226E8932">
            <w:pPr>
              <w:ind w:firstLine="0" w:firstLineChars="0"/>
              <w:jc w:val="center"/>
              <w:rPr>
                <w:rFonts w:cs="Times New Roman"/>
                <w:sz w:val="21"/>
                <w:szCs w:val="21"/>
              </w:rPr>
            </w:pPr>
            <w:r>
              <w:rPr>
                <w:rFonts w:hint="eastAsia" w:cs="Times New Roman"/>
                <w:sz w:val="21"/>
                <w:szCs w:val="21"/>
              </w:rPr>
              <w:t>外业样点采集</w:t>
            </w:r>
          </w:p>
        </w:tc>
        <w:tc>
          <w:tcPr>
            <w:tcW w:w="1250" w:type="pct"/>
            <w:vAlign w:val="center"/>
          </w:tcPr>
          <w:p w14:paraId="05921058">
            <w:pPr>
              <w:ind w:firstLine="0" w:firstLineChars="0"/>
              <w:jc w:val="center"/>
              <w:rPr>
                <w:rFonts w:cs="Times New Roman"/>
                <w:sz w:val="21"/>
                <w:szCs w:val="21"/>
              </w:rPr>
            </w:pPr>
            <w:r>
              <w:rPr>
                <w:rFonts w:hint="eastAsia" w:cs="Times New Roman"/>
                <w:sz w:val="21"/>
                <w:szCs w:val="21"/>
              </w:rPr>
              <w:t>完成表层样品、剖面样品、水稳性大团聚体样品、容重样品采集</w:t>
            </w:r>
          </w:p>
        </w:tc>
        <w:tc>
          <w:tcPr>
            <w:tcW w:w="1250" w:type="pct"/>
            <w:vAlign w:val="center"/>
          </w:tcPr>
          <w:p w14:paraId="4F89B6E4">
            <w:pPr>
              <w:ind w:firstLine="0" w:firstLineChars="0"/>
              <w:jc w:val="center"/>
              <w:rPr>
                <w:rFonts w:cs="Times New Roman"/>
                <w:sz w:val="21"/>
                <w:szCs w:val="21"/>
              </w:rPr>
            </w:pPr>
            <w:r>
              <w:rPr>
                <w:rFonts w:hint="eastAsia" w:cs="Times New Roman"/>
                <w:sz w:val="21"/>
                <w:szCs w:val="21"/>
              </w:rPr>
              <w:t>表层1092件、剖面130件、团聚体270件、容重1065件</w:t>
            </w:r>
          </w:p>
        </w:tc>
        <w:tc>
          <w:tcPr>
            <w:tcW w:w="1250" w:type="pct"/>
            <w:vAlign w:val="center"/>
          </w:tcPr>
          <w:p w14:paraId="713A2822">
            <w:pPr>
              <w:ind w:firstLine="0" w:firstLineChars="0"/>
              <w:jc w:val="center"/>
              <w:rPr>
                <w:rFonts w:cs="Times New Roman"/>
                <w:sz w:val="21"/>
                <w:szCs w:val="21"/>
              </w:rPr>
            </w:pPr>
            <w:r>
              <w:rPr>
                <w:rFonts w:hint="eastAsia" w:cs="Times New Roman"/>
                <w:sz w:val="21"/>
                <w:szCs w:val="21"/>
              </w:rPr>
              <w:t>承担单位：河北谱尼测试科技有限公司（表层）、河北实朴检测技术服务有限公司（剖面）</w:t>
            </w:r>
          </w:p>
        </w:tc>
      </w:tr>
      <w:tr>
        <w:trPr/>
        <w:tc>
          <w:tcPr>
            <w:tcW w:w="1250" w:type="pct"/>
            <w:vAlign w:val="center"/>
          </w:tcPr>
          <w:p w14:paraId="09262CE7">
            <w:pPr>
              <w:ind w:firstLine="0" w:firstLineChars="0"/>
              <w:jc w:val="center"/>
              <w:rPr>
                <w:rFonts w:cs="Times New Roman"/>
                <w:sz w:val="21"/>
                <w:szCs w:val="21"/>
              </w:rPr>
            </w:pPr>
            <w:r>
              <w:rPr>
                <w:rFonts w:hint="eastAsia" w:cs="Times New Roman"/>
                <w:sz w:val="21"/>
                <w:szCs w:val="21"/>
              </w:rPr>
              <w:t>质量控制</w:t>
            </w:r>
          </w:p>
        </w:tc>
        <w:tc>
          <w:tcPr>
            <w:tcW w:w="1250" w:type="pct"/>
            <w:vAlign w:val="center"/>
          </w:tcPr>
          <w:p w14:paraId="189557BD">
            <w:pPr>
              <w:ind w:firstLine="0" w:firstLineChars="0"/>
              <w:jc w:val="center"/>
              <w:rPr>
                <w:rFonts w:cs="Times New Roman"/>
                <w:sz w:val="21"/>
                <w:szCs w:val="21"/>
              </w:rPr>
            </w:pPr>
            <w:r>
              <w:rPr>
                <w:rFonts w:hint="eastAsia" w:cs="Times New Roman"/>
                <w:sz w:val="21"/>
                <w:szCs w:val="21"/>
              </w:rPr>
              <w:t>外业及内业各环节质控合格率</w:t>
            </w:r>
          </w:p>
        </w:tc>
        <w:tc>
          <w:tcPr>
            <w:tcW w:w="1250" w:type="pct"/>
            <w:vAlign w:val="center"/>
          </w:tcPr>
          <w:p w14:paraId="34539B84">
            <w:pPr>
              <w:ind w:firstLine="0" w:firstLineChars="0"/>
              <w:jc w:val="center"/>
              <w:rPr>
                <w:rFonts w:cs="Times New Roman"/>
                <w:sz w:val="21"/>
                <w:szCs w:val="21"/>
              </w:rPr>
            </w:pPr>
            <w:r>
              <w:rPr>
                <w:rFonts w:cs="Times New Roman"/>
                <w:sz w:val="21"/>
                <w:szCs w:val="21"/>
              </w:rPr>
              <w:t>100%</w:t>
            </w:r>
          </w:p>
        </w:tc>
        <w:tc>
          <w:tcPr>
            <w:tcW w:w="1250" w:type="pct"/>
            <w:vAlign w:val="center"/>
          </w:tcPr>
          <w:p w14:paraId="0681F717">
            <w:pPr>
              <w:ind w:firstLine="0" w:firstLineChars="0"/>
              <w:jc w:val="center"/>
              <w:rPr>
                <w:rFonts w:cs="Times New Roman"/>
                <w:sz w:val="21"/>
                <w:szCs w:val="21"/>
              </w:rPr>
            </w:pPr>
            <w:r>
              <w:rPr>
                <w:rFonts w:hint="eastAsia" w:cs="Times New Roman"/>
                <w:sz w:val="21"/>
                <w:szCs w:val="21"/>
              </w:rPr>
              <w:t>未发现问题，无整改情况</w:t>
            </w:r>
          </w:p>
        </w:tc>
      </w:tr>
      <w:tr>
        <w:trPr/>
        <w:tc>
          <w:tcPr>
            <w:tcW w:w="1250" w:type="pct"/>
            <w:vAlign w:val="center"/>
          </w:tcPr>
          <w:p w14:paraId="279B11C3">
            <w:pPr>
              <w:ind w:firstLine="0" w:firstLineChars="0"/>
              <w:jc w:val="center"/>
              <w:rPr>
                <w:rFonts w:cs="Times New Roman"/>
                <w:sz w:val="21"/>
                <w:szCs w:val="21"/>
              </w:rPr>
            </w:pPr>
            <w:r>
              <w:rPr>
                <w:rFonts w:hint="eastAsia" w:cs="Times New Roman"/>
                <w:sz w:val="21"/>
                <w:szCs w:val="21"/>
              </w:rPr>
              <w:t>成果编制</w:t>
            </w:r>
          </w:p>
        </w:tc>
        <w:tc>
          <w:tcPr>
            <w:tcW w:w="1250" w:type="pct"/>
            <w:vAlign w:val="center"/>
          </w:tcPr>
          <w:p w14:paraId="03051B0B">
            <w:pPr>
              <w:ind w:firstLine="0" w:firstLineChars="0"/>
              <w:jc w:val="center"/>
              <w:rPr>
                <w:rFonts w:cs="Times New Roman"/>
                <w:sz w:val="21"/>
                <w:szCs w:val="21"/>
              </w:rPr>
            </w:pPr>
            <w:r>
              <w:rPr>
                <w:rFonts w:hint="eastAsia" w:cs="Times New Roman"/>
                <w:sz w:val="21"/>
                <w:szCs w:val="21"/>
              </w:rPr>
              <w:t>完成文字、图件、数据库等各类成果</w:t>
            </w:r>
          </w:p>
        </w:tc>
        <w:tc>
          <w:tcPr>
            <w:tcW w:w="1250" w:type="pct"/>
            <w:vAlign w:val="center"/>
          </w:tcPr>
          <w:p w14:paraId="75EB271F">
            <w:pPr>
              <w:ind w:firstLine="0" w:firstLineChars="0"/>
              <w:jc w:val="center"/>
              <w:rPr>
                <w:rFonts w:cs="Times New Roman"/>
                <w:sz w:val="21"/>
                <w:szCs w:val="21"/>
              </w:rPr>
            </w:pPr>
            <w:r>
              <w:rPr>
                <w:rFonts w:hint="eastAsia" w:cs="Times New Roman"/>
                <w:sz w:val="21"/>
                <w:szCs w:val="21"/>
              </w:rPr>
              <w:t>8项</w:t>
            </w:r>
          </w:p>
        </w:tc>
        <w:tc>
          <w:tcPr>
            <w:tcW w:w="1250" w:type="pct"/>
            <w:vAlign w:val="center"/>
          </w:tcPr>
          <w:p w14:paraId="5948BDF5">
            <w:pPr>
              <w:ind w:firstLine="0" w:firstLineChars="0"/>
              <w:jc w:val="center"/>
              <w:rPr>
                <w:rFonts w:cs="Times New Roman"/>
                <w:sz w:val="21"/>
                <w:szCs w:val="21"/>
              </w:rPr>
            </w:pPr>
            <w:r>
              <w:rPr>
                <w:rFonts w:hint="eastAsia" w:cs="Times New Roman"/>
                <w:sz w:val="21"/>
                <w:szCs w:val="21"/>
              </w:rPr>
              <w:t>编制单位：河北玛恩农业科技有限公司</w:t>
            </w:r>
          </w:p>
        </w:tc>
      </w:tr>
    </w:tbl>
    <w:p w14:paraId="5385D7D0">
      <w:pPr>
        <w:ind w:firstLine="480"/>
      </w:pPr>
    </w:p>
    <w:p w14:paraId="50B52951">
      <w:pPr>
        <w:ind w:firstLine="480"/>
      </w:pPr>
    </w:p>
    <w:p w14:paraId="50FEF1B3">
      <w:pPr>
        <w:ind w:firstLine="480"/>
      </w:pPr>
    </w:p>
    <w:p w14:paraId="5F8B41BB">
      <w:pPr>
        <w:ind w:firstLine="0" w:firstLineChars="0"/>
        <w:jc w:val="center"/>
        <w:rPr>
          <w:rFonts w:eastAsia="黑体" w:cs="Times New Roman"/>
          <w:sz w:val="21"/>
          <w:szCs w:val="21"/>
        </w:rPr>
      </w:pPr>
      <w:r>
        <w:rPr>
          <w:rFonts w:hint="eastAsia" w:eastAsia="黑体" w:cs="Times New Roman"/>
          <w:sz w:val="21"/>
          <w:szCs w:val="21"/>
        </w:rPr>
        <w:t xml:space="preserve">附件2  </w:t>
      </w:r>
      <w:r>
        <w:rPr>
          <w:rFonts w:hint="eastAsia" w:eastAsia="黑体" w:cs="Times New Roman"/>
          <w:sz w:val="21"/>
          <w:szCs w:val="21"/>
        </w:rPr>
        <w:t>沧州市黄骅市</w:t>
      </w:r>
      <w:r>
        <w:rPr>
          <w:rFonts w:hint="eastAsia" w:eastAsia="黑体" w:cs="Times New Roman"/>
          <w:sz w:val="21"/>
          <w:szCs w:val="21"/>
        </w:rPr>
        <w:t>土壤三普工作大事记</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263"/>
        <w:gridCol w:w="4659"/>
        <w:gridCol w:w="2374"/>
      </w:tblGrid>
      <w:tr>
        <w:trPr>
          <w:trHeight w:val="270"/>
        </w:trPr>
        <w:tc>
          <w:tcPr>
            <w:tcW w:w="761" w:type="pct"/>
            <w:noWrap w:val="1"/>
            <w:vAlign w:val="center"/>
            <w:hideMark w:val="1"/>
          </w:tcPr>
          <w:p w14:paraId="7C511686">
            <w:pPr>
              <w:widowControl w:val="1"/>
              <w:ind w:firstLine="0" w:firstLineChars="0"/>
              <w:jc w:val="left"/>
              <w:rPr>
                <w:rFonts w:cs="Times New Roman"/>
                <w:kern w:val="0"/>
                <w:sz w:val="21"/>
                <w:szCs w:val="21"/>
              </w:rPr>
            </w:pPr>
            <w:r>
              <w:rPr>
                <w:rFonts w:hint="eastAsia" w:cs="Times New Roman"/>
                <w:kern w:val="0"/>
                <w:sz w:val="21"/>
                <w:szCs w:val="21"/>
              </w:rPr>
              <w:t>时间</w:t>
            </w:r>
          </w:p>
        </w:tc>
        <w:tc>
          <w:tcPr>
            <w:tcW w:w="2808" w:type="pct"/>
            <w:noWrap w:val="1"/>
            <w:vAlign w:val="center"/>
            <w:hideMark w:val="1"/>
          </w:tcPr>
          <w:p w14:paraId="4DDA1ECC">
            <w:pPr>
              <w:widowControl w:val="1"/>
              <w:ind w:firstLine="0" w:firstLineChars="0"/>
              <w:jc w:val="left"/>
              <w:rPr>
                <w:rFonts w:cs="Times New Roman"/>
                <w:kern w:val="0"/>
                <w:sz w:val="21"/>
                <w:szCs w:val="21"/>
              </w:rPr>
            </w:pPr>
            <w:r>
              <w:rPr>
                <w:rFonts w:hint="eastAsia" w:cs="Times New Roman"/>
                <w:kern w:val="0"/>
                <w:sz w:val="21"/>
                <w:szCs w:val="21"/>
              </w:rPr>
              <w:t>大事内容纪要</w:t>
            </w:r>
          </w:p>
        </w:tc>
        <w:tc>
          <w:tcPr>
            <w:tcW w:w="1431" w:type="pct"/>
            <w:noWrap w:val="1"/>
            <w:vAlign w:val="center"/>
            <w:hideMark w:val="1"/>
          </w:tcPr>
          <w:p w14:paraId="43DC455C">
            <w:pPr>
              <w:widowControl w:val="1"/>
              <w:ind w:firstLine="0" w:firstLineChars="0"/>
              <w:jc w:val="left"/>
              <w:rPr>
                <w:rFonts w:cs="Times New Roman"/>
                <w:kern w:val="0"/>
                <w:sz w:val="21"/>
                <w:szCs w:val="21"/>
              </w:rPr>
            </w:pPr>
            <w:r>
              <w:rPr>
                <w:rFonts w:hint="eastAsia" w:cs="Times New Roman"/>
                <w:kern w:val="0"/>
                <w:sz w:val="21"/>
                <w:szCs w:val="21"/>
              </w:rPr>
              <w:t>备注</w:t>
            </w:r>
          </w:p>
        </w:tc>
      </w:tr>
      <w:tr>
        <w:trPr>
          <w:trHeight w:val="270"/>
        </w:trPr>
        <w:tc>
          <w:tcPr>
            <w:tcW w:w="761" w:type="pct"/>
            <w:noWrap w:val="1"/>
            <w:vAlign w:val="center"/>
            <w:hideMark w:val="1"/>
          </w:tcPr>
          <w:p w14:paraId="4B68CE09">
            <w:pPr>
              <w:widowControl w:val="1"/>
              <w:ind w:firstLine="0" w:firstLineChars="0"/>
              <w:jc w:val="left"/>
              <w:rPr>
                <w:rFonts w:cs="Times New Roman"/>
                <w:kern w:val="0"/>
                <w:sz w:val="21"/>
                <w:szCs w:val="21"/>
              </w:rPr>
            </w:pPr>
            <w:r>
              <w:rPr>
                <w:rFonts w:hint="eastAsia" w:cs="Times New Roman"/>
                <w:kern w:val="0"/>
                <w:sz w:val="21"/>
                <w:szCs w:val="21"/>
              </w:rPr>
              <w:t>2023年10月18日</w:t>
            </w:r>
          </w:p>
        </w:tc>
        <w:tc>
          <w:tcPr>
            <w:tcW w:w="2808" w:type="pct"/>
            <w:noWrap w:val="1"/>
            <w:vAlign w:val="center"/>
            <w:hideMark w:val="1"/>
          </w:tcPr>
          <w:p w14:paraId="0EB50B5C">
            <w:pPr>
              <w:widowControl w:val="1"/>
              <w:ind w:firstLine="0" w:firstLineChars="0"/>
              <w:jc w:val="left"/>
              <w:rPr>
                <w:rFonts w:cs="Times New Roman"/>
                <w:kern w:val="0"/>
                <w:sz w:val="21"/>
                <w:szCs w:val="21"/>
              </w:rPr>
            </w:pPr>
            <w:r>
              <w:rPr>
                <w:rFonts w:hint="eastAsia" w:cs="Times New Roman"/>
                <w:kern w:val="0"/>
                <w:sz w:val="21"/>
                <w:szCs w:val="21"/>
              </w:rPr>
              <w:t>完成全部表层样点（1092个）外业采集工作</w:t>
            </w:r>
          </w:p>
        </w:tc>
        <w:tc>
          <w:tcPr>
            <w:tcW w:w="1431" w:type="pct"/>
            <w:noWrap w:val="1"/>
            <w:vAlign w:val="center"/>
            <w:hideMark w:val="1"/>
          </w:tcPr>
          <w:p w14:paraId="528184F7">
            <w:pPr>
              <w:widowControl w:val="1"/>
              <w:ind w:firstLine="0" w:firstLineChars="0"/>
              <w:jc w:val="left"/>
              <w:rPr>
                <w:rFonts w:cs="Times New Roman"/>
                <w:kern w:val="0"/>
                <w:sz w:val="21"/>
                <w:szCs w:val="21"/>
              </w:rPr>
            </w:pPr>
            <w:r>
              <w:rPr>
                <w:rFonts w:hint="eastAsia" w:cs="Times New Roman"/>
                <w:kern w:val="0"/>
                <w:sz w:val="21"/>
                <w:szCs w:val="21"/>
              </w:rPr>
              <w:t>由河北津尼测试科技有限公司承担</w:t>
            </w:r>
          </w:p>
        </w:tc>
      </w:tr>
      <w:tr>
        <w:trPr>
          <w:trHeight w:val="270"/>
        </w:trPr>
        <w:tc>
          <w:tcPr>
            <w:tcW w:w="761" w:type="pct"/>
            <w:noWrap w:val="1"/>
            <w:vAlign w:val="center"/>
            <w:hideMark w:val="1"/>
          </w:tcPr>
          <w:p w14:paraId="43D9AF3B">
            <w:pPr>
              <w:widowControl w:val="1"/>
              <w:ind w:firstLine="0" w:firstLineChars="0"/>
              <w:jc w:val="left"/>
              <w:rPr>
                <w:rFonts w:cs="Times New Roman"/>
                <w:kern w:val="0"/>
                <w:sz w:val="21"/>
                <w:szCs w:val="21"/>
              </w:rPr>
            </w:pPr>
            <w:r>
              <w:rPr>
                <w:rFonts w:hint="eastAsia" w:cs="Times New Roman"/>
                <w:kern w:val="0"/>
                <w:sz w:val="21"/>
                <w:szCs w:val="21"/>
              </w:rPr>
              <w:t>2024年4月1日</w:t>
            </w:r>
          </w:p>
        </w:tc>
        <w:tc>
          <w:tcPr>
            <w:tcW w:w="2808" w:type="pct"/>
            <w:noWrap w:val="1"/>
            <w:vAlign w:val="center"/>
            <w:hideMark w:val="1"/>
          </w:tcPr>
          <w:p w14:paraId="11243FA1">
            <w:pPr>
              <w:widowControl w:val="1"/>
              <w:ind w:firstLine="0" w:firstLineChars="0"/>
              <w:jc w:val="left"/>
              <w:rPr>
                <w:rFonts w:cs="Times New Roman"/>
                <w:kern w:val="0"/>
                <w:sz w:val="21"/>
                <w:szCs w:val="21"/>
              </w:rPr>
            </w:pPr>
            <w:r>
              <w:rPr>
                <w:rFonts w:hint="eastAsia" w:cs="Times New Roman"/>
                <w:kern w:val="0"/>
                <w:sz w:val="21"/>
                <w:szCs w:val="21"/>
              </w:rPr>
              <w:t>完成全部剖面样点（27个）外业采集工作</w:t>
            </w:r>
          </w:p>
        </w:tc>
        <w:tc>
          <w:tcPr>
            <w:tcW w:w="1431" w:type="pct"/>
            <w:noWrap w:val="1"/>
            <w:vAlign w:val="center"/>
            <w:hideMark w:val="1"/>
          </w:tcPr>
          <w:p w14:paraId="36A9CB1F">
            <w:pPr>
              <w:widowControl w:val="1"/>
              <w:ind w:firstLine="0" w:firstLineChars="0"/>
              <w:jc w:val="left"/>
              <w:rPr>
                <w:rFonts w:cs="Times New Roman"/>
                <w:kern w:val="0"/>
                <w:sz w:val="21"/>
                <w:szCs w:val="21"/>
              </w:rPr>
            </w:pPr>
            <w:r>
              <w:rPr>
                <w:rFonts w:hint="eastAsia" w:cs="Times New Roman"/>
                <w:kern w:val="0"/>
                <w:sz w:val="21"/>
                <w:szCs w:val="21"/>
              </w:rPr>
              <w:t>由河北实朴检测技术服务有限公司承担</w:t>
            </w:r>
          </w:p>
        </w:tc>
      </w:tr>
      <w:tr>
        <w:trPr>
          <w:trHeight w:val="270"/>
        </w:trPr>
        <w:tc>
          <w:tcPr>
            <w:tcW w:w="761" w:type="pct"/>
            <w:noWrap w:val="1"/>
            <w:vAlign w:val="center"/>
            <w:hideMark w:val="1"/>
          </w:tcPr>
          <w:p w14:paraId="426FD465">
            <w:pPr>
              <w:widowControl w:val="1"/>
              <w:ind w:firstLine="0" w:firstLineChars="0"/>
              <w:jc w:val="left"/>
              <w:rPr>
                <w:rFonts w:cs="Times New Roman"/>
                <w:kern w:val="0"/>
                <w:sz w:val="21"/>
                <w:szCs w:val="21"/>
              </w:rPr>
            </w:pPr>
            <w:r>
              <w:rPr>
                <w:rFonts w:hint="eastAsia" w:cs="Times New Roman"/>
                <w:kern w:val="0"/>
                <w:sz w:val="21"/>
                <w:szCs w:val="21"/>
              </w:rPr>
              <w:t>2024年10月25日</w:t>
            </w:r>
          </w:p>
        </w:tc>
        <w:commentRangeStart w:id="31"/>
        <w:tc>
          <w:tcPr>
            <w:tcW w:w="2808" w:type="pct"/>
            <w:noWrap w:val="1"/>
            <w:vAlign w:val="center"/>
            <w:hideMark w:val="1"/>
          </w:tcPr>
          <w:p w14:paraId="57340CF8">
            <w:pPr>
              <w:widowControl w:val="1"/>
              <w:ind w:firstLine="0" w:firstLineChars="0"/>
              <w:jc w:val="left"/>
              <w:rPr>
                <w:rFonts w:cs="Times New Roman"/>
                <w:kern w:val="0"/>
                <w:sz w:val="21"/>
                <w:szCs w:val="21"/>
              </w:rPr>
            </w:pPr>
            <w:r>
              <w:rPr>
                <w:rFonts w:hint="eastAsia" w:cs="Times New Roman"/>
                <w:kern w:val="0"/>
                <w:sz w:val="21"/>
                <w:szCs w:val="21"/>
              </w:rPr>
              <w:t>完成剖面样品（130件）及容重样品（1065件）的测试化验</w:t>
            </w:r>
            <w:commentRangeEnd w:id="31"/>
            <w:r>
              <w:commentReference w:id="31"/>
            </w:r>
          </w:p>
        </w:tc>
        <w:tc>
          <w:tcPr>
            <w:tcW w:w="1431" w:type="pct"/>
            <w:noWrap w:val="1"/>
            <w:vAlign w:val="center"/>
            <w:hideMark w:val="1"/>
          </w:tcPr>
          <w:p w14:paraId="02E25D9D">
            <w:pPr>
              <w:widowControl w:val="1"/>
              <w:ind w:firstLine="0" w:firstLineChars="0"/>
              <w:jc w:val="left"/>
              <w:rPr>
                <w:rFonts w:cs="Times New Roman"/>
                <w:kern w:val="0"/>
                <w:sz w:val="21"/>
                <w:szCs w:val="21"/>
              </w:rPr>
            </w:pPr>
            <w:r>
              <w:rPr>
                <w:rFonts w:hint="eastAsia" w:cs="Times New Roman"/>
                <w:kern w:val="0"/>
                <w:sz w:val="21"/>
                <w:szCs w:val="21"/>
              </w:rPr>
              <w:t>剖面检测由河北实朴完成</w:t>
            </w:r>
          </w:p>
        </w:tc>
      </w:tr>
      <w:tr>
        <w:trPr>
          <w:trHeight w:val="270"/>
        </w:trPr>
        <w:tc>
          <w:tcPr>
            <w:tcW w:w="761" w:type="pct"/>
            <w:noWrap w:val="1"/>
            <w:vAlign w:val="center"/>
            <w:hideMark w:val="1"/>
          </w:tcPr>
          <w:p w14:paraId="1E2F7FEC">
            <w:pPr>
              <w:widowControl w:val="1"/>
              <w:ind w:firstLine="0" w:firstLineChars="0"/>
              <w:jc w:val="left"/>
              <w:rPr>
                <w:rFonts w:cs="Times New Roman"/>
                <w:kern w:val="0"/>
                <w:sz w:val="21"/>
                <w:szCs w:val="21"/>
              </w:rPr>
            </w:pPr>
            <w:r>
              <w:rPr>
                <w:rFonts w:hint="eastAsia" w:cs="Times New Roman"/>
                <w:kern w:val="0"/>
                <w:sz w:val="21"/>
                <w:szCs w:val="21"/>
              </w:rPr>
              <w:t>2024年12月31日</w:t>
            </w:r>
          </w:p>
        </w:tc>
        <w:tc>
          <w:tcPr>
            <w:tcW w:w="2808" w:type="pct"/>
            <w:noWrap w:val="1"/>
            <w:vAlign w:val="center"/>
            <w:hideMark w:val="1"/>
          </w:tcPr>
          <w:p w14:paraId="1F4B33FD">
            <w:pPr>
              <w:widowControl w:val="1"/>
              <w:ind w:firstLine="0" w:firstLineChars="0"/>
              <w:jc w:val="left"/>
              <w:rPr>
                <w:rFonts w:cs="Times New Roman"/>
                <w:kern w:val="0"/>
                <w:sz w:val="21"/>
                <w:szCs w:val="21"/>
              </w:rPr>
            </w:pPr>
            <w:r>
              <w:rPr>
                <w:rFonts w:hint="eastAsia" w:cs="Times New Roman"/>
                <w:kern w:val="0"/>
                <w:sz w:val="21"/>
                <w:szCs w:val="21"/>
              </w:rPr>
              <w:t>完成水稳性大团聚体样品（270件）测试化验</w:t>
            </w:r>
          </w:p>
        </w:tc>
        <w:tc>
          <w:tcPr>
            <w:tcW w:w="1431" w:type="pct"/>
            <w:noWrap w:val="1"/>
            <w:vAlign w:val="center"/>
            <w:hideMark w:val="1"/>
          </w:tcPr>
          <w:p w14:paraId="23162DAE">
            <w:pPr>
              <w:widowControl w:val="1"/>
              <w:ind w:firstLine="0" w:firstLineChars="0"/>
              <w:jc w:val="left"/>
              <w:rPr>
                <w:rFonts w:cs="Times New Roman"/>
                <w:kern w:val="0"/>
                <w:sz w:val="21"/>
                <w:szCs w:val="21"/>
              </w:rPr>
            </w:pPr>
            <w:r>
              <w:rPr>
                <w:rFonts w:hint="eastAsia" w:cs="Times New Roman"/>
                <w:kern w:val="0"/>
                <w:sz w:val="21"/>
                <w:szCs w:val="21"/>
              </w:rPr>
              <w:t>检测单位涉及河北津尼、河北实朴等</w:t>
            </w:r>
          </w:p>
        </w:tc>
      </w:tr>
      <w:tr>
        <w:trPr>
          <w:trHeight w:val="270"/>
        </w:trPr>
        <w:tc>
          <w:tcPr>
            <w:tcW w:w="761" w:type="pct"/>
            <w:noWrap w:val="1"/>
            <w:vAlign w:val="center"/>
            <w:hideMark w:val="1"/>
          </w:tcPr>
          <w:p w14:paraId="3A0C800C">
            <w:pPr>
              <w:widowControl w:val="1"/>
              <w:ind w:firstLine="0" w:firstLineChars="0"/>
              <w:jc w:val="left"/>
              <w:rPr>
                <w:rFonts w:cs="Times New Roman"/>
                <w:kern w:val="0"/>
                <w:sz w:val="21"/>
                <w:szCs w:val="21"/>
              </w:rPr>
            </w:pPr>
            <w:r>
              <w:rPr>
                <w:rFonts w:hint="eastAsia" w:cs="Times New Roman"/>
                <w:kern w:val="0"/>
                <w:sz w:val="21"/>
                <w:szCs w:val="21"/>
              </w:rPr>
              <w:t>2025年8月6-7日</w:t>
            </w:r>
          </w:p>
        </w:tc>
        <w:tc>
          <w:tcPr>
            <w:tcW w:w="2808" w:type="pct"/>
            <w:noWrap w:val="1"/>
            <w:vAlign w:val="center"/>
            <w:hideMark w:val="1"/>
          </w:tcPr>
          <w:p w14:paraId="0C9922AE">
            <w:pPr>
              <w:widowControl w:val="1"/>
              <w:ind w:firstLine="0" w:firstLineChars="0"/>
              <w:jc w:val="left"/>
              <w:rPr>
                <w:rFonts w:cs="Times New Roman"/>
                <w:kern w:val="0"/>
                <w:sz w:val="21"/>
                <w:szCs w:val="21"/>
              </w:rPr>
            </w:pPr>
            <w:r>
              <w:rPr>
                <w:rFonts w:hint="eastAsia" w:cs="Times New Roman"/>
                <w:kern w:val="0"/>
                <w:sz w:val="21"/>
                <w:szCs w:val="21"/>
              </w:rPr>
              <w:t>完成表层样品（1092件）及容重样品的全部测试化验</w:t>
            </w:r>
          </w:p>
        </w:tc>
        <w:tc>
          <w:tcPr>
            <w:tcW w:w="1431" w:type="pct"/>
            <w:noWrap w:val="1"/>
            <w:vAlign w:val="center"/>
            <w:hideMark w:val="1"/>
          </w:tcPr>
          <w:p w14:paraId="69D42A46">
            <w:pPr>
              <w:widowControl w:val="1"/>
              <w:ind w:firstLine="0" w:firstLineChars="0"/>
              <w:jc w:val="left"/>
              <w:rPr>
                <w:rFonts w:cs="Times New Roman"/>
                <w:kern w:val="0"/>
                <w:sz w:val="21"/>
                <w:szCs w:val="21"/>
              </w:rPr>
            </w:pPr>
            <w:r>
              <w:rPr>
                <w:rFonts w:hint="eastAsia" w:cs="Times New Roman"/>
                <w:kern w:val="0"/>
                <w:sz w:val="21"/>
                <w:szCs w:val="21"/>
              </w:rPr>
              <w:t>由河北谱尼测试科技有限公司完成</w:t>
            </w:r>
          </w:p>
        </w:tc>
      </w:tr>
      <w:tr>
        <w:trPr>
          <w:trHeight w:val="270"/>
        </w:trPr>
        <w:tc>
          <w:tcPr>
            <w:tcW w:w="761" w:type="pct"/>
            <w:noWrap w:val="1"/>
            <w:vAlign w:val="center"/>
            <w:hideMark w:val="1"/>
          </w:tcPr>
          <w:p w14:paraId="00091912">
            <w:pPr>
              <w:widowControl w:val="1"/>
              <w:ind w:firstLine="0" w:firstLineChars="0"/>
              <w:jc w:val="left"/>
              <w:rPr>
                <w:rFonts w:cs="Times New Roman"/>
                <w:kern w:val="0"/>
                <w:sz w:val="21"/>
                <w:szCs w:val="21"/>
              </w:rPr>
            </w:pPr>
            <w:r>
              <w:rPr>
                <w:rFonts w:hint="eastAsia" w:cs="Times New Roman"/>
                <w:kern w:val="0"/>
                <w:sz w:val="21"/>
                <w:szCs w:val="21"/>
              </w:rPr>
              <w:t>2025年8月-12月</w:t>
            </w:r>
          </w:p>
        </w:tc>
        <w:tc>
          <w:tcPr>
            <w:tcW w:w="2808" w:type="pct"/>
            <w:noWrap w:val="1"/>
            <w:vAlign w:val="center"/>
            <w:hideMark w:val="1"/>
          </w:tcPr>
          <w:p w14:paraId="781378FD">
            <w:pPr>
              <w:widowControl w:val="1"/>
              <w:ind w:firstLine="0" w:firstLineChars="0"/>
              <w:jc w:val="left"/>
              <w:rPr>
                <w:rFonts w:cs="Times New Roman"/>
                <w:kern w:val="0"/>
                <w:sz w:val="21"/>
                <w:szCs w:val="21"/>
              </w:rPr>
            </w:pPr>
            <w:r>
              <w:rPr>
                <w:rFonts w:hint="eastAsia" w:cs="Times New Roman"/>
                <w:kern w:val="0"/>
                <w:sz w:val="21"/>
                <w:szCs w:val="21"/>
              </w:rPr>
              <w:t>开展成果编制，形成总体报告、工作报告、属性制图、耕地质量评价等8项成果</w:t>
            </w:r>
          </w:p>
        </w:tc>
        <w:tc>
          <w:tcPr>
            <w:tcW w:w="1431" w:type="pct"/>
            <w:noWrap w:val="1"/>
            <w:vAlign w:val="center"/>
            <w:hideMark w:val="1"/>
          </w:tcPr>
          <w:p w14:paraId="1E157D9F">
            <w:pPr>
              <w:widowControl w:val="1"/>
              <w:ind w:firstLine="0" w:firstLineChars="0"/>
              <w:jc w:val="left"/>
              <w:rPr>
                <w:rFonts w:cs="Times New Roman"/>
                <w:kern w:val="0"/>
                <w:sz w:val="21"/>
                <w:szCs w:val="21"/>
              </w:rPr>
            </w:pPr>
            <w:r>
              <w:rPr>
                <w:rFonts w:hint="eastAsia" w:cs="Times New Roman"/>
                <w:kern w:val="0"/>
                <w:sz w:val="21"/>
                <w:szCs w:val="21"/>
              </w:rPr>
              <w:t>编制单位：河北玛恩农业科技有限公司</w:t>
            </w:r>
          </w:p>
        </w:tc>
      </w:tr>
      <w:tr>
        <w:trPr>
          <w:trHeight w:val="270"/>
        </w:trPr>
        <w:tc>
          <w:tcPr>
            <w:tcW w:w="761" w:type="pct"/>
            <w:noWrap w:val="1"/>
            <w:vAlign w:val="center"/>
            <w:hideMark w:val="1"/>
          </w:tcPr>
          <w:p w14:paraId="23F7558A">
            <w:pPr>
              <w:widowControl w:val="1"/>
              <w:ind w:firstLine="0" w:firstLineChars="0"/>
              <w:jc w:val="left"/>
              <w:rPr>
                <w:rFonts w:cs="Times New Roman"/>
                <w:kern w:val="0"/>
                <w:sz w:val="21"/>
                <w:szCs w:val="21"/>
              </w:rPr>
            </w:pPr>
            <w:r>
              <w:rPr>
                <w:rFonts w:hint="eastAsia" w:cs="Times New Roman"/>
                <w:kern w:val="0"/>
                <w:sz w:val="21"/>
                <w:szCs w:val="21"/>
              </w:rPr>
              <w:t>2025年12月</w:t>
            </w:r>
          </w:p>
        </w:tc>
        <w:tc>
          <w:tcPr>
            <w:tcW w:w="2808" w:type="pct"/>
            <w:noWrap w:val="1"/>
            <w:vAlign w:val="center"/>
            <w:hideMark w:val="1"/>
          </w:tcPr>
          <w:p w14:paraId="629953FD">
            <w:pPr>
              <w:widowControl w:val="1"/>
              <w:ind w:firstLine="0" w:firstLineChars="0"/>
              <w:jc w:val="left"/>
              <w:rPr>
                <w:rFonts w:cs="Times New Roman"/>
                <w:kern w:val="0"/>
                <w:sz w:val="21"/>
                <w:szCs w:val="21"/>
              </w:rPr>
            </w:pPr>
            <w:r>
              <w:rPr>
                <w:rFonts w:hint="eastAsia" w:cs="Times New Roman"/>
                <w:kern w:val="0"/>
                <w:sz w:val="21"/>
                <w:szCs w:val="21"/>
              </w:rPr>
              <w:t>所有成果通过验收，质量控制合格率100%</w:t>
            </w:r>
          </w:p>
        </w:tc>
        <w:tc>
          <w:tcPr>
            <w:tcW w:w="1431" w:type="pct"/>
            <w:noWrap w:val="1"/>
            <w:vAlign w:val="center"/>
            <w:hideMark w:val="1"/>
          </w:tcPr>
          <w:p w14:paraId="2F380E57">
            <w:pPr>
              <w:widowControl w:val="1"/>
              <w:ind w:firstLine="0" w:firstLineChars="0"/>
              <w:jc w:val="left"/>
              <w:rPr>
                <w:rFonts w:cs="Times New Roman"/>
                <w:kern w:val="0"/>
                <w:sz w:val="21"/>
                <w:szCs w:val="21"/>
              </w:rPr>
            </w:pPr>
            <w:r>
              <w:rPr>
                <w:rFonts w:hint="eastAsia" w:cs="Times New Roman"/>
                <w:kern w:val="0"/>
                <w:sz w:val="21"/>
                <w:szCs w:val="21"/>
              </w:rPr>
              <w:t>无整改项</w:t>
            </w:r>
          </w:p>
        </w:tc>
      </w:tr>
    </w:tbl>
    <w:p w14:paraId="0C09FA79">
      <w:pPr>
        <w:ind w:firstLine="480"/>
      </w:pPr>
    </w:p>
    <w:p w14:paraId="75DAAE06">
      <w:pPr>
        <w:ind w:firstLine="480"/>
      </w:pPr>
    </w:p>
    <w:p w14:paraId="6153139D">
      <w:pPr>
        <w:ind w:firstLine="0" w:firstLineChars="0"/>
      </w:pPr>
    </w:p>
    <w:p w14:paraId="4B245C8E">
      <w:pPr>
        <w:ind w:firstLine="0" w:firstLineChars="0"/>
        <w:jc w:val="center"/>
        <w:rPr>
          <w:rFonts w:eastAsia="黑体" w:cs="Times New Roman"/>
          <w:sz w:val="21"/>
          <w:szCs w:val="21"/>
        </w:rPr>
      </w:pPr>
      <w:r>
        <w:rPr>
          <w:rFonts w:hint="eastAsia" w:eastAsia="黑体" w:cs="Times New Roman"/>
          <w:sz w:val="21"/>
          <w:szCs w:val="21"/>
        </w:rPr>
        <w:t xml:space="preserve">附件3  </w:t>
      </w:r>
      <w:r>
        <w:rPr>
          <w:rFonts w:hint="eastAsia" w:eastAsia="黑体" w:cs="Times New Roman"/>
          <w:sz w:val="21"/>
          <w:szCs w:val="21"/>
        </w:rPr>
        <w:t>沧州市黄骅市</w:t>
      </w:r>
      <w:r>
        <w:rPr>
          <w:rFonts w:hint="eastAsia" w:eastAsia="黑体" w:cs="Times New Roman"/>
          <w:sz w:val="21"/>
          <w:szCs w:val="21"/>
        </w:rPr>
        <w:t>土壤三普文档卷目录</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593"/>
        <w:gridCol w:w="2816"/>
        <w:gridCol w:w="3887"/>
      </w:tblGrid>
      <w:tr>
        <w:trPr>
          <w:trHeight w:val="270"/>
        </w:trPr>
        <w:tc>
          <w:tcPr>
            <w:tcW w:w="877" w:type="pct"/>
            <w:noWrap w:val="1"/>
            <w:vAlign w:val="center"/>
            <w:hideMark w:val="1"/>
          </w:tcPr>
          <w:p w14:paraId="0E53E808">
            <w:pPr>
              <w:widowControl w:val="1"/>
              <w:ind w:firstLine="0" w:firstLineChars="0"/>
              <w:jc w:val="left"/>
              <w:rPr>
                <w:rFonts w:cs="Times New Roman"/>
                <w:kern w:val="0"/>
                <w:sz w:val="21"/>
                <w:szCs w:val="21"/>
              </w:rPr>
            </w:pPr>
            <w:r>
              <w:rPr>
                <w:rFonts w:hint="eastAsia" w:cs="Times New Roman"/>
                <w:kern w:val="0"/>
                <w:sz w:val="21"/>
                <w:szCs w:val="21"/>
              </w:rPr>
              <w:t>文档名称</w:t>
            </w:r>
          </w:p>
        </w:tc>
        <w:tc>
          <w:tcPr>
            <w:tcW w:w="1831" w:type="pct"/>
            <w:noWrap w:val="1"/>
            <w:vAlign w:val="center"/>
            <w:hideMark w:val="1"/>
          </w:tcPr>
          <w:p w14:paraId="43F945E9">
            <w:pPr>
              <w:widowControl w:val="1"/>
              <w:ind w:firstLine="0" w:firstLineChars="0"/>
              <w:jc w:val="left"/>
              <w:rPr>
                <w:rFonts w:cs="Times New Roman"/>
                <w:kern w:val="0"/>
                <w:sz w:val="21"/>
                <w:szCs w:val="21"/>
              </w:rPr>
            </w:pPr>
            <w:r>
              <w:rPr>
                <w:rFonts w:hint="eastAsia" w:cs="Times New Roman"/>
                <w:kern w:val="0"/>
                <w:sz w:val="21"/>
                <w:szCs w:val="21"/>
              </w:rPr>
              <w:t>文件名称</w:t>
            </w:r>
          </w:p>
        </w:tc>
        <w:tc>
          <w:tcPr>
            <w:tcW w:w="2292" w:type="pct"/>
            <w:noWrap w:val="1"/>
            <w:vAlign w:val="center"/>
            <w:hideMark w:val="1"/>
          </w:tcPr>
          <w:p w14:paraId="4CFBCEAA">
            <w:pPr>
              <w:widowControl w:val="1"/>
              <w:ind w:firstLine="0" w:firstLineChars="0"/>
              <w:jc w:val="left"/>
              <w:rPr>
                <w:rFonts w:cs="Times New Roman"/>
                <w:kern w:val="0"/>
                <w:sz w:val="21"/>
                <w:szCs w:val="21"/>
              </w:rPr>
            </w:pPr>
            <w:r>
              <w:rPr>
                <w:rFonts w:hint="eastAsia" w:cs="Times New Roman"/>
                <w:kern w:val="0"/>
                <w:sz w:val="21"/>
                <w:szCs w:val="21"/>
              </w:rPr>
              <w:t>备注</w:t>
            </w:r>
          </w:p>
        </w:tc>
      </w:tr>
      <w:tr>
        <w:trPr>
          <w:trHeight w:val="270"/>
        </w:trPr>
        <w:tc>
          <w:tcPr>
            <w:tcW w:w="877" w:type="pct"/>
            <w:noWrap w:val="1"/>
            <w:vAlign w:val="center"/>
            <w:hideMark w:val="1"/>
          </w:tcPr>
          <w:p w14:paraId="34A8132F">
            <w:pPr>
              <w:widowControl w:val="1"/>
              <w:ind w:firstLine="0" w:firstLineChars="0"/>
              <w:jc w:val="left"/>
              <w:rPr>
                <w:rFonts w:cs="Times New Roman"/>
                <w:kern w:val="0"/>
                <w:sz w:val="21"/>
                <w:szCs w:val="21"/>
              </w:rPr>
            </w:pPr>
            <w:r>
              <w:rPr>
                <w:rFonts w:hint="eastAsia" w:cs="Times New Roman"/>
                <w:kern w:val="0"/>
                <w:sz w:val="21"/>
                <w:szCs w:val="21"/>
              </w:rPr>
              <w:t>总体报告</w:t>
            </w:r>
          </w:p>
        </w:tc>
        <w:tc>
          <w:tcPr>
            <w:tcW w:w="1831" w:type="pct"/>
            <w:noWrap w:val="1"/>
            <w:vAlign w:val="center"/>
            <w:hideMark w:val="1"/>
          </w:tcPr>
          <w:p w14:paraId="2EF4C4B9">
            <w:pPr>
              <w:widowControl w:val="1"/>
              <w:ind w:firstLine="0" w:firstLineChars="0"/>
              <w:jc w:val="left"/>
              <w:rPr>
                <w:rFonts w:cs="Times New Roman"/>
                <w:kern w:val="0"/>
                <w:sz w:val="21"/>
                <w:szCs w:val="21"/>
              </w:rPr>
            </w:pPr>
            <w:r>
              <w:rPr>
                <w:rFonts w:hint="eastAsia" w:cs="Times New Roman"/>
                <w:kern w:val="0"/>
                <w:sz w:val="21"/>
                <w:szCs w:val="21"/>
              </w:rPr>
              <w:t>黄骅市土壤三普总体报告</w:t>
            </w:r>
          </w:p>
        </w:tc>
        <w:tc>
          <w:tcPr>
            <w:tcW w:w="2292" w:type="pct"/>
            <w:noWrap w:val="1"/>
            <w:vAlign w:val="center"/>
            <w:hideMark w:val="1"/>
          </w:tcPr>
          <w:p w14:paraId="7F2BAE17">
            <w:pPr>
              <w:widowControl w:val="1"/>
              <w:ind w:firstLine="0" w:firstLineChars="0"/>
              <w:jc w:val="left"/>
              <w:rPr>
                <w:rFonts w:cs="Times New Roman"/>
                <w:kern w:val="0"/>
                <w:sz w:val="21"/>
                <w:szCs w:val="21"/>
              </w:rPr>
            </w:pPr>
            <w:r>
              <w:rPr>
                <w:rFonts w:hint="eastAsia" w:cs="Times New Roman"/>
                <w:kern w:val="0"/>
                <w:sz w:val="21"/>
                <w:szCs w:val="21"/>
              </w:rPr>
              <w:t>含普查样点布设、外业采样、内业化验及成果概述</w:t>
            </w:r>
          </w:p>
        </w:tc>
      </w:tr>
      <w:tr>
        <w:trPr>
          <w:trHeight w:val="270"/>
        </w:trPr>
        <w:tc>
          <w:tcPr>
            <w:tcW w:w="877" w:type="pct"/>
            <w:noWrap w:val="1"/>
            <w:vAlign w:val="center"/>
            <w:hideMark w:val="1"/>
          </w:tcPr>
          <w:p w14:paraId="4D83F3C8">
            <w:pPr>
              <w:widowControl w:val="1"/>
              <w:ind w:firstLine="0" w:firstLineChars="0"/>
              <w:jc w:val="left"/>
              <w:rPr>
                <w:rFonts w:cs="Times New Roman"/>
                <w:kern w:val="0"/>
                <w:sz w:val="21"/>
                <w:szCs w:val="21"/>
              </w:rPr>
            </w:pPr>
            <w:r>
              <w:rPr>
                <w:rFonts w:hint="eastAsia" w:cs="Times New Roman"/>
                <w:kern w:val="0"/>
                <w:sz w:val="21"/>
                <w:szCs w:val="21"/>
              </w:rPr>
              <w:t>工作报告</w:t>
            </w:r>
          </w:p>
        </w:tc>
        <w:tc>
          <w:tcPr>
            <w:tcW w:w="1831" w:type="pct"/>
            <w:noWrap w:val="1"/>
            <w:vAlign w:val="center"/>
            <w:hideMark w:val="1"/>
          </w:tcPr>
          <w:p w14:paraId="5A2C0B2F">
            <w:pPr>
              <w:widowControl w:val="1"/>
              <w:ind w:firstLine="0" w:firstLineChars="0"/>
              <w:jc w:val="left"/>
              <w:rPr>
                <w:rFonts w:cs="Times New Roman"/>
                <w:kern w:val="0"/>
                <w:sz w:val="21"/>
                <w:szCs w:val="21"/>
              </w:rPr>
            </w:pPr>
            <w:r>
              <w:rPr>
                <w:rFonts w:hint="eastAsia" w:cs="Times New Roman"/>
                <w:kern w:val="0"/>
                <w:sz w:val="21"/>
                <w:szCs w:val="21"/>
              </w:rPr>
              <w:t>黄骅市土壤三普工作报告</w:t>
            </w:r>
          </w:p>
        </w:tc>
        <w:tc>
          <w:tcPr>
            <w:tcW w:w="2292" w:type="pct"/>
            <w:noWrap w:val="1"/>
            <w:vAlign w:val="center"/>
            <w:hideMark w:val="1"/>
          </w:tcPr>
          <w:p w14:paraId="66B5E782">
            <w:pPr>
              <w:widowControl w:val="1"/>
              <w:ind w:firstLine="0" w:firstLineChars="0"/>
              <w:jc w:val="left"/>
              <w:rPr>
                <w:rFonts w:cs="Times New Roman"/>
                <w:kern w:val="0"/>
                <w:sz w:val="21"/>
                <w:szCs w:val="21"/>
              </w:rPr>
            </w:pPr>
            <w:r>
              <w:rPr>
                <w:rFonts w:hint="eastAsia" w:cs="Times New Roman"/>
                <w:kern w:val="0"/>
                <w:sz w:val="21"/>
                <w:szCs w:val="21"/>
              </w:rPr>
              <w:t>含组织情况、任务实施、质量控制、工作成效</w:t>
            </w:r>
          </w:p>
        </w:tc>
      </w:tr>
      <w:tr>
        <w:trPr>
          <w:trHeight w:val="270"/>
        </w:trPr>
        <w:tc>
          <w:tcPr>
            <w:tcW w:w="877" w:type="pct"/>
            <w:noWrap w:val="1"/>
            <w:vAlign w:val="center"/>
            <w:hideMark w:val="1"/>
          </w:tcPr>
          <w:p w14:paraId="0EB21C5B">
            <w:pPr>
              <w:widowControl w:val="1"/>
              <w:ind w:firstLine="0" w:firstLineChars="0"/>
              <w:jc w:val="left"/>
              <w:rPr>
                <w:rFonts w:cs="Times New Roman"/>
                <w:kern w:val="0"/>
                <w:sz w:val="21"/>
                <w:szCs w:val="21"/>
              </w:rPr>
            </w:pPr>
            <w:r>
              <w:rPr>
                <w:rFonts w:hint="eastAsia" w:cs="Times New Roman"/>
                <w:kern w:val="0"/>
                <w:sz w:val="21"/>
                <w:szCs w:val="21"/>
              </w:rPr>
              <w:t>土壤资源评价与利用</w:t>
            </w:r>
          </w:p>
        </w:tc>
        <w:tc>
          <w:tcPr>
            <w:tcW w:w="1831" w:type="pct"/>
            <w:noWrap w:val="1"/>
            <w:vAlign w:val="center"/>
            <w:hideMark w:val="1"/>
          </w:tcPr>
          <w:p w14:paraId="61F688FA">
            <w:pPr>
              <w:widowControl w:val="1"/>
              <w:ind w:firstLine="0" w:firstLineChars="0"/>
              <w:jc w:val="left"/>
              <w:rPr>
                <w:rFonts w:cs="Times New Roman"/>
                <w:kern w:val="0"/>
                <w:sz w:val="21"/>
                <w:szCs w:val="21"/>
              </w:rPr>
            </w:pPr>
            <w:r>
              <w:rPr>
                <w:rFonts w:hint="eastAsia" w:cs="Times New Roman"/>
                <w:kern w:val="0"/>
                <w:sz w:val="21"/>
                <w:szCs w:val="21"/>
              </w:rPr>
              <w:t>黄骅市土壤资源评价与利用报告</w:t>
            </w:r>
          </w:p>
        </w:tc>
        <w:tc>
          <w:tcPr>
            <w:tcW w:w="2292" w:type="pct"/>
            <w:noWrap w:val="1"/>
            <w:vAlign w:val="center"/>
            <w:hideMark w:val="1"/>
          </w:tcPr>
          <w:p w14:paraId="49F1C852">
            <w:pPr>
              <w:widowControl w:val="1"/>
              <w:ind w:firstLine="0" w:firstLineChars="0"/>
              <w:jc w:val="left"/>
              <w:rPr>
                <w:rFonts w:cs="Times New Roman"/>
                <w:kern w:val="0"/>
                <w:sz w:val="21"/>
                <w:szCs w:val="21"/>
              </w:rPr>
            </w:pPr>
            <w:r>
              <w:rPr>
                <w:rFonts w:hint="eastAsia" w:cs="Times New Roman"/>
                <w:kern w:val="0"/>
                <w:sz w:val="21"/>
                <w:szCs w:val="21"/>
              </w:rPr>
              <w:t>含属性制图、边界勘测、耕评总结及改良建议</w:t>
            </w:r>
          </w:p>
        </w:tc>
      </w:tr>
      <w:tr>
        <w:trPr>
          <w:trHeight w:val="270"/>
        </w:trPr>
        <w:tc>
          <w:tcPr>
            <w:tcW w:w="877" w:type="pct"/>
            <w:noWrap w:val="1"/>
            <w:vAlign w:val="center"/>
            <w:hideMark w:val="1"/>
          </w:tcPr>
          <w:p w14:paraId="7486C1B6">
            <w:pPr>
              <w:widowControl w:val="1"/>
              <w:ind w:firstLine="0" w:firstLineChars="0"/>
              <w:jc w:val="left"/>
              <w:rPr>
                <w:rFonts w:cs="Times New Roman"/>
                <w:kern w:val="0"/>
                <w:sz w:val="21"/>
                <w:szCs w:val="21"/>
              </w:rPr>
            </w:pPr>
            <w:r>
              <w:rPr>
                <w:rFonts w:hint="eastAsia" w:cs="Times New Roman"/>
                <w:kern w:val="0"/>
                <w:sz w:val="21"/>
                <w:szCs w:val="21"/>
              </w:rPr>
              <w:t>土壤</w:t>
            </w:r>
          </w:p>
        </w:tc>
        <w:tc>
          <w:tcPr>
            <w:tcW w:w="1831" w:type="pct"/>
            <w:noWrap w:val="1"/>
            <w:vAlign w:val="center"/>
            <w:hideMark w:val="1"/>
          </w:tcPr>
          <w:p w14:paraId="70C25947">
            <w:pPr>
              <w:widowControl w:val="1"/>
              <w:ind w:firstLine="0" w:firstLineChars="0"/>
              <w:jc w:val="left"/>
              <w:rPr>
                <w:rFonts w:cs="Times New Roman"/>
                <w:kern w:val="0"/>
                <w:sz w:val="21"/>
                <w:szCs w:val="21"/>
              </w:rPr>
            </w:pPr>
            <w:r>
              <w:rPr>
                <w:rFonts w:hint="eastAsia" w:cs="Times New Roman"/>
                <w:kern w:val="0"/>
                <w:sz w:val="21"/>
                <w:szCs w:val="21"/>
              </w:rPr>
              <w:t>黄骅市土壤类型描述报告</w:t>
            </w:r>
          </w:p>
        </w:tc>
        <w:tc>
          <w:tcPr>
            <w:tcW w:w="2292" w:type="pct"/>
            <w:noWrap w:val="1"/>
            <w:vAlign w:val="center"/>
            <w:hideMark w:val="1"/>
          </w:tcPr>
          <w:p w14:paraId="6AE7E3DD">
            <w:pPr>
              <w:widowControl w:val="1"/>
              <w:ind w:firstLine="0" w:firstLineChars="0"/>
              <w:jc w:val="left"/>
              <w:rPr>
                <w:rFonts w:cs="Times New Roman"/>
                <w:kern w:val="0"/>
                <w:sz w:val="21"/>
                <w:szCs w:val="21"/>
              </w:rPr>
            </w:pPr>
            <w:r>
              <w:rPr>
                <w:rFonts w:hint="eastAsia" w:cs="Times New Roman"/>
                <w:kern w:val="0"/>
                <w:sz w:val="21"/>
                <w:szCs w:val="21"/>
              </w:rPr>
              <w:t>对县域内土壤类型进行详细描述</w:t>
            </w:r>
          </w:p>
        </w:tc>
      </w:tr>
      <w:tr>
        <w:trPr>
          <w:trHeight w:val="270"/>
        </w:trPr>
        <w:tc>
          <w:tcPr>
            <w:tcW w:w="877" w:type="pct"/>
            <w:noWrap w:val="1"/>
            <w:vAlign w:val="center"/>
            <w:hideMark w:val="1"/>
          </w:tcPr>
          <w:p w14:paraId="507E8ADE">
            <w:pPr>
              <w:widowControl w:val="1"/>
              <w:ind w:firstLine="0" w:firstLineChars="0"/>
              <w:jc w:val="left"/>
              <w:rPr>
                <w:rFonts w:cs="Times New Roman"/>
                <w:kern w:val="0"/>
                <w:sz w:val="21"/>
                <w:szCs w:val="21"/>
              </w:rPr>
            </w:pPr>
            <w:r>
              <w:rPr>
                <w:rFonts w:hint="eastAsia" w:cs="Times New Roman"/>
                <w:kern w:val="0"/>
                <w:sz w:val="21"/>
                <w:szCs w:val="21"/>
              </w:rPr>
              <w:t>数据</w:t>
            </w:r>
          </w:p>
        </w:tc>
        <w:tc>
          <w:tcPr>
            <w:tcW w:w="1831" w:type="pct"/>
            <w:noWrap w:val="1"/>
            <w:vAlign w:val="center"/>
            <w:hideMark w:val="1"/>
          </w:tcPr>
          <w:p w14:paraId="21A2412A">
            <w:pPr>
              <w:widowControl w:val="1"/>
              <w:ind w:firstLine="0" w:firstLineChars="0"/>
              <w:jc w:val="left"/>
              <w:rPr>
                <w:rFonts w:cs="Times New Roman"/>
                <w:kern w:val="0"/>
                <w:sz w:val="21"/>
                <w:szCs w:val="21"/>
              </w:rPr>
            </w:pPr>
            <w:r>
              <w:rPr>
                <w:rFonts w:hint="eastAsia" w:cs="Times New Roman"/>
                <w:kern w:val="0"/>
                <w:sz w:val="21"/>
                <w:szCs w:val="21"/>
              </w:rPr>
              <w:t>黄骅市土壤三普内业化验数据审核表</w:t>
            </w:r>
          </w:p>
        </w:tc>
        <w:tc>
          <w:tcPr>
            <w:tcW w:w="2292" w:type="pct"/>
            <w:noWrap w:val="1"/>
            <w:vAlign w:val="center"/>
            <w:hideMark w:val="1"/>
          </w:tcPr>
          <w:p w14:paraId="68AAABEA">
            <w:pPr>
              <w:widowControl w:val="1"/>
              <w:ind w:firstLine="0" w:firstLineChars="0"/>
              <w:jc w:val="left"/>
              <w:rPr>
                <w:rFonts w:cs="Times New Roman"/>
                <w:kern w:val="0"/>
                <w:sz w:val="21"/>
                <w:szCs w:val="21"/>
              </w:rPr>
            </w:pPr>
            <w:r>
              <w:rPr>
                <w:rFonts w:hint="eastAsia" w:cs="Times New Roman"/>
                <w:kern w:val="0"/>
                <w:sz w:val="21"/>
                <w:szCs w:val="21"/>
              </w:rPr>
              <w:t>含数据审核记录</w:t>
            </w:r>
          </w:p>
        </w:tc>
      </w:tr>
      <w:tr>
        <w:trPr>
          <w:trHeight w:val="270"/>
        </w:trPr>
        <w:tc>
          <w:tcPr>
            <w:tcW w:w="877" w:type="pct"/>
            <w:noWrap w:val="1"/>
            <w:vAlign w:val="center"/>
            <w:hideMark w:val="1"/>
          </w:tcPr>
          <w:p w14:paraId="616FF7DD">
            <w:pPr>
              <w:widowControl w:val="1"/>
              <w:ind w:firstLine="0" w:firstLineChars="0"/>
              <w:jc w:val="left"/>
              <w:rPr>
                <w:rFonts w:cs="Times New Roman"/>
                <w:kern w:val="0"/>
                <w:sz w:val="21"/>
                <w:szCs w:val="21"/>
              </w:rPr>
            </w:pPr>
            <w:r>
              <w:rPr>
                <w:rFonts w:hint="eastAsia" w:cs="Times New Roman"/>
                <w:kern w:val="0"/>
                <w:sz w:val="21"/>
                <w:szCs w:val="21"/>
              </w:rPr>
              <w:t>属性制图</w:t>
            </w:r>
          </w:p>
        </w:tc>
        <w:tc>
          <w:tcPr>
            <w:tcW w:w="1831" w:type="pct"/>
            <w:noWrap w:val="1"/>
            <w:vAlign w:val="center"/>
            <w:hideMark w:val="1"/>
          </w:tcPr>
          <w:p w14:paraId="1F84D226">
            <w:pPr>
              <w:widowControl w:val="1"/>
              <w:ind w:firstLine="0" w:firstLineChars="0"/>
              <w:jc w:val="left"/>
              <w:rPr>
                <w:rFonts w:cs="Times New Roman"/>
                <w:kern w:val="0"/>
                <w:sz w:val="21"/>
                <w:szCs w:val="21"/>
              </w:rPr>
            </w:pPr>
            <w:r>
              <w:rPr>
                <w:rFonts w:hint="eastAsia" w:cs="Times New Roman"/>
                <w:kern w:val="0"/>
                <w:sz w:val="21"/>
                <w:szCs w:val="21"/>
              </w:rPr>
              <w:t>黄骅市土壤属性制图报告及图件</w:t>
            </w:r>
          </w:p>
        </w:tc>
        <w:tc>
          <w:tcPr>
            <w:tcW w:w="2292" w:type="pct"/>
            <w:noWrap w:val="1"/>
            <w:vAlign w:val="center"/>
            <w:hideMark w:val="1"/>
          </w:tcPr>
          <w:p w14:paraId="457EAEC2">
            <w:pPr>
              <w:widowControl w:val="1"/>
              <w:ind w:firstLine="0" w:firstLineChars="0"/>
              <w:jc w:val="left"/>
              <w:rPr>
                <w:rFonts w:cs="Times New Roman"/>
                <w:kern w:val="0"/>
                <w:sz w:val="21"/>
                <w:szCs w:val="21"/>
              </w:rPr>
            </w:pPr>
            <w:r>
              <w:rPr>
                <w:rFonts w:hint="eastAsia" w:cs="Times New Roman"/>
                <w:kern w:val="0"/>
                <w:sz w:val="21"/>
                <w:szCs w:val="21"/>
              </w:rPr>
              <w:t>含物理性质、化学性质、养分等分级统计图件及数据库</w:t>
            </w:r>
          </w:p>
        </w:tc>
      </w:tr>
      <w:tr>
        <w:trPr>
          <w:trHeight w:val="270"/>
        </w:trPr>
        <w:tc>
          <w:tcPr>
            <w:tcW w:w="877" w:type="pct"/>
            <w:noWrap w:val="1"/>
            <w:vAlign w:val="center"/>
            <w:hideMark w:val="1"/>
          </w:tcPr>
          <w:p w14:paraId="187F6F2C">
            <w:pPr>
              <w:widowControl w:val="1"/>
              <w:ind w:firstLine="0" w:firstLineChars="0"/>
              <w:jc w:val="left"/>
              <w:rPr>
                <w:rFonts w:cs="Times New Roman"/>
                <w:kern w:val="0"/>
                <w:sz w:val="21"/>
                <w:szCs w:val="21"/>
              </w:rPr>
            </w:pPr>
            <w:r>
              <w:rPr>
                <w:rFonts w:hint="eastAsia" w:cs="Times New Roman"/>
                <w:kern w:val="0"/>
                <w:sz w:val="21"/>
                <w:szCs w:val="21"/>
              </w:rPr>
              <w:t>适宜性评价</w:t>
            </w:r>
          </w:p>
        </w:tc>
        <w:tc>
          <w:tcPr>
            <w:tcW w:w="1831" w:type="pct"/>
            <w:noWrap w:val="1"/>
            <w:vAlign w:val="center"/>
            <w:hideMark w:val="1"/>
          </w:tcPr>
          <w:p w14:paraId="6BD8B696">
            <w:pPr>
              <w:widowControl w:val="1"/>
              <w:ind w:firstLine="0" w:firstLineChars="0"/>
              <w:jc w:val="left"/>
              <w:rPr>
                <w:rFonts w:cs="Times New Roman"/>
                <w:kern w:val="0"/>
                <w:sz w:val="21"/>
                <w:szCs w:val="21"/>
              </w:rPr>
            </w:pPr>
            <w:r>
              <w:rPr>
                <w:rFonts w:hint="eastAsia" w:cs="Times New Roman"/>
                <w:kern w:val="0"/>
                <w:sz w:val="21"/>
                <w:szCs w:val="21"/>
              </w:rPr>
              <w:t>黄骅市土地利用适宜性评价报告及图件</w:t>
            </w:r>
          </w:p>
        </w:tc>
        <w:tc>
          <w:tcPr>
            <w:tcW w:w="2292" w:type="pct"/>
            <w:noWrap w:val="1"/>
            <w:vAlign w:val="center"/>
            <w:hideMark w:val="1"/>
          </w:tcPr>
          <w:p w14:paraId="73E17CE5">
            <w:pPr>
              <w:widowControl w:val="1"/>
              <w:ind w:firstLine="0" w:firstLineChars="0"/>
              <w:jc w:val="left"/>
              <w:rPr>
                <w:rFonts w:cs="Times New Roman"/>
                <w:kern w:val="0"/>
                <w:sz w:val="21"/>
                <w:szCs w:val="21"/>
              </w:rPr>
            </w:pPr>
            <w:r>
              <w:rPr>
                <w:rFonts w:hint="eastAsia" w:cs="Times New Roman"/>
                <w:kern w:val="0"/>
                <w:sz w:val="21"/>
                <w:szCs w:val="21"/>
              </w:rPr>
              <w:t>确定各土地利用类型的适宜程度</w:t>
            </w:r>
          </w:p>
        </w:tc>
      </w:tr>
      <w:tr>
        <w:trPr>
          <w:trHeight w:val="270"/>
        </w:trPr>
        <w:tc>
          <w:tcPr>
            <w:tcW w:w="877" w:type="pct"/>
            <w:noWrap w:val="1"/>
            <w:vAlign w:val="center"/>
            <w:hideMark w:val="1"/>
          </w:tcPr>
          <w:p w14:paraId="76736544">
            <w:pPr>
              <w:widowControl w:val="1"/>
              <w:ind w:firstLine="0" w:firstLineChars="0"/>
              <w:jc w:val="left"/>
              <w:rPr>
                <w:rFonts w:cs="Times New Roman"/>
                <w:kern w:val="0"/>
                <w:sz w:val="21"/>
                <w:szCs w:val="21"/>
              </w:rPr>
            </w:pPr>
            <w:r>
              <w:rPr>
                <w:rFonts w:hint="eastAsia" w:cs="Times New Roman"/>
                <w:kern w:val="0"/>
                <w:sz w:val="21"/>
                <w:szCs w:val="21"/>
              </w:rPr>
              <w:t>耕地质量等级评价</w:t>
            </w:r>
          </w:p>
        </w:tc>
        <w:tc>
          <w:tcPr>
            <w:tcW w:w="1831" w:type="pct"/>
            <w:noWrap w:val="1"/>
            <w:vAlign w:val="center"/>
            <w:hideMark w:val="1"/>
          </w:tcPr>
          <w:p w14:paraId="4400EBB9">
            <w:pPr>
              <w:widowControl w:val="1"/>
              <w:ind w:firstLine="0" w:firstLineChars="0"/>
              <w:jc w:val="left"/>
              <w:rPr>
                <w:rFonts w:cs="Times New Roman"/>
                <w:kern w:val="0"/>
                <w:sz w:val="21"/>
                <w:szCs w:val="21"/>
              </w:rPr>
            </w:pPr>
            <w:r>
              <w:rPr>
                <w:rFonts w:hint="eastAsia" w:cs="Times New Roman"/>
                <w:kern w:val="0"/>
                <w:sz w:val="21"/>
                <w:szCs w:val="21"/>
              </w:rPr>
              <w:t>黄骅市耕地质量等级评价报告及图件</w:t>
            </w:r>
          </w:p>
        </w:tc>
        <w:tc>
          <w:tcPr>
            <w:tcW w:w="2292" w:type="pct"/>
            <w:noWrap w:val="1"/>
            <w:vAlign w:val="center"/>
            <w:hideMark w:val="1"/>
          </w:tcPr>
          <w:p w14:paraId="725FE229">
            <w:pPr>
              <w:widowControl w:val="1"/>
              <w:ind w:firstLine="0" w:firstLineChars="0"/>
              <w:jc w:val="left"/>
              <w:rPr>
                <w:rFonts w:cs="Times New Roman"/>
                <w:kern w:val="0"/>
                <w:sz w:val="21"/>
                <w:szCs w:val="21"/>
              </w:rPr>
            </w:pPr>
            <w:r>
              <w:rPr>
                <w:rFonts w:hint="eastAsia" w:cs="Times New Roman"/>
                <w:kern w:val="0"/>
                <w:sz w:val="21"/>
                <w:szCs w:val="21"/>
              </w:rPr>
              <w:t>含县域内耕地评价与统计结果</w:t>
            </w:r>
          </w:p>
        </w:tc>
      </w:tr>
    </w:tbl>
    <w:p w14:paraId="1200BDAE">
      <w:pPr>
        <w:ind w:firstLine="480"/>
        <w:rPr>
          <w:highlight w:val="yellow"/>
        </w:rPr>
      </w:pPr>
    </w:p>
    <w:sectPr w:rsidRPr="00067104" w:rsidR="00A37183">
      <w:footerReference r:id="rId15" w:type="default"/>
      <w:pgSz w:w="11906" w:h="16838"/>
      <w:pgMar w:top="1440" w:right="1800" w:bottom="1440" w:left="1800" w:header="851" w:footer="992" w:gutter="0"/>
      <w:pgNumType w:start="1"/>
      <w:cols w:space="425"/>
      <w:docGrid w:type="lines" w:linePitch="312"/>
    </w:sectPr>
  </w:body>
</w:document>
</file>

<file path=word/comments.xml><?xml version="1.0" encoding="utf-8"?>
<w:comments xmlns:w="http://schemas.openxmlformats.org/wordprocessingml/2006/main" xmlns:w14="http://schemas.microsoft.com/office/word/2010/wordml" xmlns:mc="http://schemas.openxmlformats.org/markup-compatibility/2006" mc:Ignorable="w14">
  <w:comment w:id="31" w:author="质控审核" w:date="2026-09-23T17:40:51Z" w:initials="">
    <w:p w14:paraId="3F761FF4">
      <w:r>
        <w:rPr>
          <w:rFonts w:hint="eastAsia"/>
        </w:rPr>
        <w:t>【时间矛盾】本行称“2024年10月25日 完成剖面样品（130件）及容重样品（1065件）的测试化验”，而表3.2与[P0174]均载明容重样品完成时间为2025年8月6日，同行备注“剖面检测由河北实朴完成”也与表3.2中容重检测涉及多家单位不符。同一批容重样品不可能在两个时间完成，请核实并统一。另“2025年8月-12月 开展成果编制”与前言“2025年底成果汇总汇交高质量收官”宜核对时间衔接。</w:t>
      </w:r>
    </w:p>
  </w:comment>
  <w:comment w:id="30" w:author="质控审核" w:date="2026-09-23T17:40:52Z" w:initials="">
    <w:p w14:paraId="23D7A488">
      <w:r>
        <w:rPr>
          <w:rFonts w:hint="eastAsia"/>
        </w:rPr>
        <w:t>【错别字·单位张冠李戴】1）“河北津尼测试科技有限公司”应为“河北谱尼测试科技有限公司”（附件2大事记中同样写作“津尼”，请一并更正）；2）本行“外业样点采集—完成表层样点采集”的承担单位不应是内业检测机构，按表3.2应为航天宏图信息技术股份有限公司、中化地质矿山总局河北地质勘查院等外业单位；下一行“完成剖面样点采集（27个）”的承担单位应为河北省地质矿产勘查开发局第四地质大队（河北省水源涵养研究中心），而非河北实朴检测技术服务有限公司。请据实更正各环节承担单位，避免外业、内业单位混淆。</w:t>
      </w:r>
    </w:p>
  </w:comment>
  <w:comment w:id="29" w:author="质控审核" w:date="2026-09-23T17:40:54Z" w:initials="">
    <w:p w14:paraId="66C16FA0">
      <w:r>
        <w:rPr>
          <w:rFonts w:hint="eastAsia"/>
        </w:rPr>
        <w:t>【数据不一致】本段称宣传覆盖“300余个行政村”，与[P0085]、[P0200]“331个行政村”不一致，请统一为331个或注明“300余个”的统计口径。另“累计开展专题培训8场次，培训基层农技人员、采样队员120余人次”“发放宣传资料5000余份”宜注明统计时限与数据来源。</w:t>
      </w:r>
    </w:p>
  </w:comment>
  <w:comment w:id="28" w:author="质控审核" w:date="2026-09-23T17:40:55Z" w:initials="">
    <w:p w14:paraId="1541DFBB">
      <w:r>
        <w:rPr>
          <w:rFonts w:hint="eastAsia"/>
        </w:rPr>
        <w:t>【数据来源】本段二普与三普指标对比数据（有机质、全氮、有效磷、速效钾均值）建议注明三普统计口径（参与统计的样点数、取土层次、检测方法）及二普资料来源，说明可比性；同时“盐碱地土壤盐分垂直分布表现为表层积盐明显，剖面中下部盐分下降”宜补充代表点位或统计结果支撑。</w:t>
      </w:r>
    </w:p>
  </w:comment>
  <w:comment w:id="27" w:author="质控审核" w:date="2026-09-23T17:40:56Z" w:initials="">
    <w:p w14:paraId="74C34923">
      <w:r>
        <w:rPr>
          <w:rFonts w:hint="eastAsia"/>
        </w:rPr>
        <w:t>【表述严谨性】耕地质量等级数值越小代表质量越高，“平均为6.31，较2023年（6.34）提升0.03”易被误读为等级数值上升（即质量下降）。建议改为“平均等级由2023年的6.34等提升至6.31等（等级数值下降0.03），耕地质量略有提升”。另“全市耕地总面积1414761亩”与耕地质量等级评价专题报告中出现的1414760／1414762／1414763亩不一致，请统一面积口径。另本段“旱碱麦主产区土壤pH值多在8.0-8.5之间，全盐含量0.2%-0.6%”建议注明数据来源与样点数；盐碱地分级阈值（&lt;0.3%、0.3%-0.6%、&gt;0.6%）宜说明依据。</w:t>
      </w:r>
    </w:p>
  </w:comment>
  <w:comment w:id="26" w:author="质控审核" w:date="2026-09-23T17:40:57Z" w:initials="">
    <w:p w14:paraId="5FF53B9E">
      <w:r>
        <w:rPr>
          <w:rFonts w:hint="eastAsia"/>
        </w:rPr>
        <w:t>【目录与正文不一致】目录中“（一）土壤资源现状与变化”下为“1.土壤分布／2.土壤类型／3.土壤类型演变”三项，正文为“1.土壤类型与分布／2.耕地质量等级／3.土壤属性变化／4.特色土壤资源”四项，名称与数量均不一致，请统一目录与正文。另本段“主要障碍因子为盐渍化突出……”所引各项百分比应注明来源（引自耕地质量等级评价报告及其表号），便于核对。</w:t>
      </w:r>
    </w:p>
  </w:comment>
  <w:comment w:id="25" w:author="质控审核" w:date="2026-09-23T17:40:58Z" w:initials="">
    <w:p w14:paraId="0F72BD3D">
      <w:r>
        <w:rPr>
          <w:rFonts w:hint="eastAsia"/>
        </w:rPr>
        <w:t>【目录遗漏·标题样式缺失】正文设有“（八）其他”一节，但目录中未列出，请同步补充目录；该标题亦未套用与其他二级标题一致的标题样式，请统一。另本节内容系对普查范围、样点、检测、成果及盐碱地治理情况的综述，与前文各节大量重复（860个样点、1092个表层样点、11个乡镇331个行政村、盐碱地分布等），建议精简合并，仅保留前文未涉及的内容。</w:t>
      </w:r>
    </w:p>
  </w:comment>
  <w:comment w:id="24" w:author="质控审核" w:date="2026-09-23T17:40:59Z" w:initials="">
    <w:p w14:paraId="504798A7">
      <w:r>
        <w:rPr>
          <w:rFonts w:hint="eastAsia"/>
        </w:rPr>
        <w:t>【表格要素不全·指代不清·名称不规范】1）“根据该表格”指代不清，应改为“根据表3.5”；2）按《县级成果编制及验收导引》表5要求，成果清单应包含“成果名称／编制单位／编制负责人／成果类型／概要内容／编制工作组织”，表3.5缺“编制负责人”“编制工作组织”两列，请补充；3）表3.5中“土壤”“数据”两项成果名称过于简略，与附件3中的“黄骅市土壤类型描述报告”“黄骅市土壤三普内业化验数据审核表”不对应，建议统一为规范成果名称；4）“土壤资源评价与利用”在不同位置又写作“边界探勘”（表3.5）与“边界勘测”（[P0193]），用字不统一，应为“边界勘测”。</w:t>
      </w:r>
    </w:p>
  </w:comment>
  <w:comment w:id="23" w:author="质控审核" w:date="2026-09-23T17:41:00Z" w:initials="">
    <w:p w14:paraId="28E504FD">
      <w:r>
        <w:rPr>
          <w:rFonts w:hint="eastAsia"/>
        </w:rPr>
        <w:t>【编辑说明残留·表格要素不全】1）“外其他样品采集（应为外业其他样品采集）”中的括注系编辑说明残留，应删除，正文改为“外业其他样品采集”；2）按《第三次全国土壤普查县级成果编制及验收导引》表4要求，质量控制表应包含“环节／质控措施／质控项数／质控合格率／发现问题／整改情况”，表3.4缺“质控措施”“质控项数”两列，请补充；3）“质控合格率”列数值为“100”，建议补注单位“%”；4）本段先写“根据表3.4”，而表3.4位于其后的[P0186]，请将表格前移至首次引用位置之前。另“未发现问题，因此无整改情况”建议补充质控覆盖的环节数与质控项数，以支撑合格率100%的结论。</w:t>
      </w:r>
    </w:p>
  </w:comment>
  <w:comment w:id="22" w:author="质控审核" w:date="2026-09-23T17:41:01Z" w:initials="">
    <w:p w14:paraId="10A4D8AE">
      <w:r>
        <w:rPr>
          <w:rFonts w:hint="eastAsia"/>
        </w:rPr>
        <w:t>【编辑痕迹·表文口径混乱】1）“完成情况更新如下”中的“更新”为修改过程用语，定稿应为“完成情况如下”，请全文排查此类编辑痕迹；2）表3.2标题为“外业调查采样完成情况汇总”，但其“样品类型”栏（表层样品、剖面样品、水稳性大团聚体样品、容重样品）的完成时间为2025.8.7、2024.10.25、2024.12.31、2025.8.6，明显属于内业制备/检测完成时间，与表3.3“内业测试化验完成情况汇总”重复，也与样点类别的完成时间（2023.10.18、2024.4.1）口径不同。建议将样品相关行移入内业表，或明确各行的统计口径（采集/制备/检测），避免同一数据在两表中重复且含义歧义。</w:t>
      </w:r>
    </w:p>
  </w:comment>
  <w:comment w:id="21" w:author="质控审核" w:date="2026-09-23T17:41:02Z" w:initials="">
    <w:p w14:paraId="6F09266F">
      <w:r>
        <w:rPr>
          <w:rFonts w:hint="eastAsia"/>
        </w:rPr>
        <w:t>【机构名称前后不一致】表3.2存在同一批人员挂靠不同单位、同一名称混用异体字的问题：一是同表（乃至同一行）内“中化地质矿山总局河北地质勘察院”与“中化地质矿山总局河北地质勘查院”混用，“勘察”与“勘查”不统一；二是以李丰年、李亚南、王晓峰、张君4人署名的单位，在“表层样点/表层样品”行写作“中化地质矿山总局河北地质勘察院”，而在“水稳性大团聚体样品/容重样品”行又写作“中国冶金地质总局地球物理勘查院”，正文[P0173]、[P0174]亦采用“中国冶金地质总局地球物理勘查院”，三处互相矛盾；三是“中化地质矿山总局河北地质勘查院（陈卫东、刘松）”与“河北省地质矿产勘查开发局第四地质大队（河北省水源涵养研究中心）（王宇）”之间缺少顿号，两个单位粘连。请核实各环节实际承担单位，统一使用单位全称，确保表内各行及表、文完全一致。</w:t>
      </w:r>
    </w:p>
  </w:comment>
  <w:comment w:id="20" w:author="质控审核" w:date="2026-09-23T17:41:04Z" w:initials="">
    <w:p w14:paraId="1D891160">
      <w:r>
        <w:rPr>
          <w:rFonts w:hint="eastAsia"/>
        </w:rPr>
        <w:t>【错别字·前后不一致】本段作“白海宗”，而表3.1同一名单作“白海崇”；本段“侯德翼”在表3.2中又写作“候德翼”。人名用字前后不统一，请以身份证件或合同为准统一更正。另建议核定校核单位与校核人的对应关系（表3.1列两家单位、9名校核人，未标明各自对应关系）。</w:t>
      </w:r>
    </w:p>
  </w:comment>
  <w:comment w:id="19" w:author="质控审核" w:date="2026-09-23T17:41:05Z" w:initials="">
    <w:p w14:paraId="730B0400">
      <w:r>
        <w:rPr>
          <w:rFonts w:hint="eastAsia"/>
        </w:rPr>
        <w:t>【表格信息不完整】表3.1仅列出“表层样”一行，“下发样点”列未给出下发样点总数，且完全未列出剖面样点的校核情况（下发数量、校核方法、调整数量、调整原因）。请补充下发样点总数及剖面样点校核信息；若剖面样点无需校核或未作调整，应予以说明。另“调整样点数量16个”宜注明占下发样点总数的比例。</w:t>
      </w:r>
    </w:p>
  </w:comment>
  <w:comment w:id="18" w:author="质控审核" w:date="2026-09-23T17:41:06Z" w:initials="">
    <w:p w14:paraId="6F55E0F0">
      <w:r>
        <w:rPr>
          <w:rFonts w:hint="eastAsia"/>
        </w:rPr>
        <w:t>【表述前后矛盾】同一事实在文中出现三种表述：[P0024]“作为沧州市耕地面积最大的市之一”、本段“沧州市耕地面积最大的县之一”、[P0159]“沧州市耕地面积较大的县”，三者单位（市/县）与程度（最大/较大）均不一致，且黄骅市为县级市。建议统一为“黄骅市是沧州市耕地面积较大的县（市、区）之一”。另本段“其耕地面积占沧州市耕地总量近50%”应注明数据来源与年份，并与[P0159]“根据沧州市第三次全国国土调查主要数据公报”的口径核对（宜采用2023年度国土变更调查数据）。</w:t>
      </w:r>
    </w:p>
  </w:comment>
  <w:comment w:id="17" w:author="质控审核" w:date="2026-09-23T17:41:07Z" w:initials="">
    <w:p w14:paraId="033C9949">
      <w:r>
        <w:rPr>
          <w:rFonts w:hint="eastAsia"/>
        </w:rPr>
        <w:t>【格式·标点】“高层引领与政策背景宣传： 重点宣传了……”冒号后有多余空格，应删除；且“高层引领与政策背景宣传：”“专项进展与数据发布：”等提示语与后续内容未分段，与本章其他节的行文结构不一致，易造成阅读歧义。建议统一改为“1.高层引领与政策背景宣传。重点宣传了……”式表述。</w:t>
      </w:r>
    </w:p>
  </w:comment>
  <w:comment w:id="16" w:author="质控审核" w:date="2026-09-23T17:41:08Z" w:initials="">
    <w:p w14:paraId="1C5E5BD0">
      <w:r>
        <w:rPr>
          <w:rFonts w:hint="eastAsia"/>
        </w:rPr>
        <w:t>【章节与目录不一致】目录设有“（四）技术指导／（五）人员培训／（六）宣传工作／（七）保障情况”四节，正文却为“（四）技术指导／（五）宣传工作／（六）保障情况”三节：缺少“人员培训”一节（培训内容被并入“保障情况”的[P0155]），且“宣传工作”“保障情况”序号相对目录整体错位。请补充“（五）人员培训”专节或调整目录，使目录与正文完全对应。</w:t>
      </w:r>
    </w:p>
  </w:comment>
  <w:comment w:id="15" w:author="质控审核" w:date="2026-09-23T17:41:09Z" w:initials="">
    <w:p w14:paraId="64E48F58">
      <w:r>
        <w:rPr>
          <w:rFonts w:hint="eastAsia"/>
        </w:rPr>
        <w:t>【模板残留】本报告为黄骅市成果，“深入各县开展实地技术指导”中“各县”应改为“各乡镇”或“全市”，请全文统一。</w:t>
      </w:r>
    </w:p>
  </w:comment>
  <w:comment w:id="14" w:author="质控审核" w:date="2026-09-23T17:41:12Z" w:initials="">
    <w:p w14:paraId="2BD3DA61">
      <w:r>
        <w:rPr>
          <w:rFonts w:hint="eastAsia"/>
        </w:rPr>
        <w:t>【病句·漏字】本句缺少介词“由”，导致成分残缺。应改为“外业调查采样队伍由省级统一遴选的、具备资质的专业采样人员组成”。请全文通读校对同类成分残缺句。</w:t>
      </w:r>
    </w:p>
  </w:comment>
  <w:comment w:id="13" w:author="质控审核" w:date="2026-09-23T17:41:16Z" w:initials="">
    <w:p w14:paraId="228BC861">
      <w:r>
        <w:rPr>
          <w:rFonts w:hint="eastAsia"/>
        </w:rPr>
        <w:t>【病句·缺标点】“……信息填报完整性内业测试化验严格执行……”两句之间缺少标点，句子粘连不通，应在“信息填报完整性。”后断句。请全文排查同类标点缺失与句子粘连问题。</w:t>
      </w:r>
    </w:p>
  </w:comment>
  <w:comment w:id="12" w:author="质控审核" w:date="2026-09-23T17:41:20Z" w:initials="">
    <w:p w14:paraId="156D4CCC">
      <w:r>
        <w:rPr>
          <w:rFonts w:hint="eastAsia"/>
        </w:rPr>
        <w:t>【模板残留·口径不一致】“全县”应为“全市”（本报告对象为黄骅市），请全文排查“全县”“全县域”等表述。另本节所述成果“形成县级土壤普查数据库、土壤类型图、土壤养分图、盐碱地分布专题图等”与表3.5所列8项成果（总体报告、工作报告、土壤资源评价与利用、土壤、数据、属性制图、适宜性评价、耕地质量等级评价）口径和名称不一致，建议统一按表3.5的规范成果名称与数量表述。</w:t>
      </w:r>
    </w:p>
  </w:comment>
  <w:comment w:id="11" w:author="质控审核" w:date="2026-09-23T17:41:23Z" w:initials="">
    <w:p w14:paraId="1A1B09E4">
      <w:r>
        <w:rPr>
          <w:rFonts w:hint="eastAsia"/>
        </w:rPr>
        <w:t>【表述矛盾】“约40余项必测指标”中“约”与“余”语义重复，应改为“约40项”或“40余项”。另本段称内业测试化验由“具备相应资质的检测机构中标承担”却未写明单位，而表3.3已明确为河北谱尼测试科技有限公司、河北实朴检测技术服务有限公司，建议在此写明承担单位，并与表3.3、[P0200]保持一致。</w:t>
      </w:r>
    </w:p>
  </w:comment>
  <w:comment w:id="10" w:author="质控审核" w:date="2026-09-23T17:41:26Z" w:initials="">
    <w:p w14:paraId="55B9287C">
      <w:r>
        <w:rPr>
          <w:rFonts w:hint="eastAsia"/>
        </w:rPr>
        <w:t>【序号格式不统一】全文同级标题中“1、”“2、”与“1.”“3.”混用（如本处“1、夯实国家粮食安全根基”、[P0099]“2、”与[P0102]“3.促进生态文明建设”；[P0141]“1、”、[P0144]“2、”、[P0147]“3、”对照[P0105]“1.”），而目录中统一为“1.”。建议全文统一为“1.”“2.”“3.”形式（或统一用顿号），并同步更新目录。</w:t>
      </w:r>
    </w:p>
  </w:comment>
  <w:comment w:id="9" w:author="质控审核" w:date="2026-09-23T17:41:28Z" w:initials="">
    <w:p w14:paraId="2EC0CFAD">
      <w:r>
        <w:rPr>
          <w:rFonts w:hint="eastAsia"/>
        </w:rPr>
        <w:t>【标题序号缺失】目录中为“（二）土壤普查工作目的”，正文对应标题缺少“（二）”序号，其后[P0094]又直接出现“（三）土壤普查工作意义”，造成层级断裂。请补充“（二）”并核对全文各级标题序号的一致性。</w:t>
      </w:r>
    </w:p>
  </w:comment>
  <w:comment w:id="8" w:author="质控审核" w:date="2026-09-23T17:41:29Z" w:initials="">
    <w:p w14:paraId="7324CEC9">
      <w:r>
        <w:rPr>
          <w:rFonts w:hint="eastAsia"/>
        </w:rPr>
        <w:t>【数据对不上】“全市夏收旱碱麦185万亩”与本市耕地总面积约141.48万亩（本报告[P0206]）相互矛盾——旱碱麦收获面积不可能大于全市耕地总面积，疑误引沧州市域数据。请核实并更正为黄骅市实际旱碱麦收获面积，同时核对“亩产289.5公斤”“全产业链产值达到141亿元”的口径、年度与数据来源。</w:t>
      </w:r>
    </w:p>
  </w:comment>
  <w:comment w:id="7" w:author="质控审核" w:date="2026-09-23T17:41:31Z" w:initials="">
    <w:p w14:paraId="0FA44F02">
      <w:r>
        <w:rPr>
          <w:rFonts w:hint="eastAsia"/>
        </w:rPr>
        <w:t>【病句】“改善13万亩灌溉耕地面积”动宾搭配不当，面积无法“改善”，建议改为“改善13万亩灌溉耕地的灌溉条件”。另“争取专项资金2亿元用于治理2.596万亩盐碱耕地”“投入3.2亿元增发国债资金”宜明确资金来源、实施年度，便于核实。</w:t>
      </w:r>
    </w:p>
  </w:comment>
  <w:comment w:id="6" w:author="质控审核" w:date="2026-09-23T17:41:32Z" w:initials="">
    <w:p w14:paraId="5B0940A5">
      <w:r>
        <w:rPr>
          <w:rFonts w:hint="eastAsia"/>
        </w:rPr>
        <w:t>【数据来源】本段集中列示陆域面积、海域面积、海岸线长度、功能园区与乡镇村数量、常住人口等基础数据，建议逐项注明数据来源与统计年份（如年度国土变更调查、统计年鉴），并核对“常住人口63.8万”“5个功能园区、11个乡镇、331个行政村”与[P0200]“11个乡镇、331个行政村”的口径是否一致。</w:t>
      </w:r>
    </w:p>
  </w:comment>
  <w:comment w:id="5" w:author="质控审核" w:date="2026-09-23T17:41:36Z" w:initials="">
    <w:p w14:paraId="3A09B6E5">
      <w:r>
        <w:rPr>
          <w:rFonts w:hint="eastAsia"/>
        </w:rPr>
        <w:t>【标题体系混乱】正文一级标题为“一、土壤普查工作背景”，与目录中的“一、土壤三普梗概”不一致；且其下二级标题“（一）土壤普查工作背景”与一级标题完全同名，层级关系重复混乱。建议目录与正文标题统一，并将二级标题改为“（一）普查背景”或直接取消该级。</w:t>
      </w:r>
    </w:p>
  </w:comment>
  <w:comment w:id="4" w:author="质控审核" w:date="2026-09-23T17:41:38Z" w:initials="">
    <w:p w14:paraId="61364877">
      <w:r>
        <w:rPr>
          <w:rFonts w:hint="eastAsia"/>
        </w:rPr>
        <w:t>【缺项·篇幅】按《第三次全国土壤普查县级成果编制及验收导引》工作报告提纲要求，报告应包含“目录”和“图表目录”，本报告仅有目录，未见图表目录，请补充；同时请核对报告字数是否满足“不超过15000字”的要求——经统计，本报告正文约1.49万个汉字（含数字、标点约1.74万字符），已接近或超出15000字上限，建议精简重复内容（如“（八）其他”一节及各节重复表述的样点、面积、占比数据）。另报告中计量单位应统一（如“万亩”“公顷”“平方公里”混用），建议统一或加注换算关系。</w:t>
      </w:r>
    </w:p>
  </w:comment>
  <w:comment w:id="3" w:author="质控审核" w:date="2026-09-23T17:41:39Z" w:initials="">
    <w:p w14:paraId="04C19FB2">
      <w:r>
        <w:rPr>
          <w:rFonts w:hint="eastAsia"/>
        </w:rPr>
        <w:t>【前后矛盾】前言前段（[P0025]）表述为“从2022年10月15日采样正式启动，到2025年底成果汇总汇交高质量收官”，本段又称“已顺利转入成果编制与验收收尾阶段”，两处对工作阶段与完成状态的表述互相矛盾。请统一并明确报告时点口径（如统一为“目前正处于成果编制与验收收尾阶段”）。</w:t>
      </w:r>
    </w:p>
  </w:comment>
  <w:comment w:id="2" w:author="质控审核" w:date="2026-09-23T17:41:41Z" w:initials="">
    <w:p w14:paraId="563E7784">
      <w:r>
        <w:rPr>
          <w:rFonts w:hint="eastAsia"/>
        </w:rPr>
        <w:t>【称谓错误·模板套改】黄骅市为县级市，但文中多处使用“区政府”“区农业农村局”“区三普办”“全区”等表述（见本段及[P0120]“由区第三次土壤普查领导小组牵头制定”、[P0142]“区三普办配备了专职技术负责人，牵头负责全区土壤普查技术层面的统筹协调”、[P0154]“区政府分管负责同志任组长，区农业农村局主要负责同志任副组长……领导小组办公室设在区农业农村局”等），与本报告“黄骅市第三次土壤普查领导小组”的表述不符，系区级模板套改所致。请全文统一为“市政府（市三普办、市领导小组）”“市农业农村局”“全市”。</w:t>
      </w:r>
    </w:p>
  </w:comment>
  <w:comment w:id="1" w:author="质控审核" w:date="2026-09-23T17:41:43Z" w:initials="">
    <w:p w14:paraId="399CE3D6">
      <w:r>
        <w:rPr>
          <w:rFonts w:hint="eastAsia"/>
        </w:rPr>
        <w:t>【数据口径不清】本段称“全市共计布设野外调查样点860个”，而[P0200]、[P0204]及表3.2显示本次普查完成表层样点1092个、剖面样点27个；[P0106]则称2022年试点“采集县域内860个盐碱耕地及荒地土样”。三处口径不同，易被误读为普查样点总数。建议明确区分“2022年盐碱地试点调查样点860个”与“全面普查表层样点1092个、剖面样点27个”，并统一各处的样点表述。</w:t>
      </w:r>
    </w:p>
  </w:comment>
  <w:comment w:id="0" w:author="质控审核" w:date="2026-09-23T17:41:45Z" w:initials="">
    <w:p w14:paraId="43B6E01D">
      <w:r>
        <w:rPr>
          <w:rFonts w:hint="eastAsia"/>
        </w:rPr>
        <w:t>【封面命名规范·格式】封面标题为“黄骅市第三次土壤普查工作报告”，与《第三次全国土壤普查县级成果编制及验收导引》及本报告其他成果的命名习惯（“第三次全国土壤普查”）不够统一，建议规范为“黄骅市第三次全国土壤普查工作报告”；电子文件名亦宜按成果名称规范命名。另首页存在多余空格与空段落，请清理。</w:t>
      </w:r>
    </w:p>
  </w:comment>
</w:comments>
</file>

<file path=word/commentsExtended.xml><?xml version="1.0" encoding="utf-8"?>
<w15:commentsEx xmlns:w15="http://schemas.microsoft.com/office/word/2012/wordml" xmlns:mc="http://schemas.openxmlformats.org/markup-compatibility/2006" mc:Ignorable="w15">
  <w15:commentEx w15:paraId="3F761FF4"/>
  <w15:commentEx w15:paraId="23D7A488"/>
  <w15:commentEx w15:paraId="66C16FA0"/>
  <w15:commentEx w15:paraId="1541DFBB"/>
  <w15:commentEx w15:paraId="74C34923"/>
  <w15:commentEx w15:paraId="5FF53B9E"/>
  <w15:commentEx w15:paraId="0F72BD3D"/>
  <w15:commentEx w15:paraId="504798A7"/>
  <w15:commentEx w15:paraId="28E504FD"/>
  <w15:commentEx w15:paraId="10A4D8AE"/>
  <w15:commentEx w15:paraId="6F09266F"/>
  <w15:commentEx w15:paraId="1D891160"/>
  <w15:commentEx w15:paraId="730B0400"/>
  <w15:commentEx w15:paraId="6F55E0F0"/>
  <w15:commentEx w15:paraId="033C9949"/>
  <w15:commentEx w15:paraId="1C5E5BD0"/>
  <w15:commentEx w15:paraId="64E48F58"/>
  <w15:commentEx w15:paraId="2BD3DA61"/>
  <w15:commentEx w15:paraId="228BC861"/>
  <w15:commentEx w15:paraId="156D4CCC"/>
  <w15:commentEx w15:paraId="1A1B09E4"/>
  <w15:commentEx w15:paraId="55B9287C"/>
  <w15:commentEx w15:paraId="2EC0CFAD"/>
  <w15:commentEx w15:paraId="7324CEC9"/>
  <w15:commentEx w15:paraId="0FA44F02"/>
  <w15:commentEx w15:paraId="5B0940A5"/>
  <w15:commentEx w15:paraId="3A09B6E5"/>
  <w15:commentEx w15:paraId="61364877"/>
  <w15:commentEx w15:paraId="04C19FB2"/>
  <w15:commentEx w15:paraId="563E7784"/>
  <w15:commentEx w15:paraId="399CE3D6"/>
  <w15:commentEx w15:paraId="43B6E01D"/>
</w15:commentsEx>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18D71FBD">
      <w:pPr>
        <w:ind w:firstLine="480"/>
      </w:pPr>
      <w:r>
        <w:continuationSeparator/>
      </w:r>
    </w:p>
  </w:endnote>
  <w:endnote w:type="separator" w:id="1">
    <w:p w14:paraId="21F0F182">
      <w:pPr>
        <w:ind w:firstLine="480"/>
      </w:pPr>
      <w: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等线">
    <w:altName w:val="DengXian"/>
    <w:panose1 w:val="02010600030101010101"/>
    <w:charset w:val="86" w:characterSet="ISO-8859-1"/>
    <w:family w:val="auto"/>
    <w:pitch w:val="variable"/>
    <w:sig w:usb0="A00002BF" w:usb1="38CF7CFA" w:usb2="00000016" w:usb3="00000000" w:csb0="0004000F" w:csb1="00000000"/>
  </w:font>
  <w:font w:name="楷体">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Segoe UI">
    <w:panose1 w:val="020B0502040204020203"/>
    <w:charset w:val="00" w:characterSet="ISO-8859-1"/>
    <w:family w:val="swiss"/>
    <w:pitch w:val="variable"/>
    <w:sig w:usb0="E4002EFF" w:usb1="C000E47F" w:usb2="00000009" w:usb3="00000000" w:csb0="000001FF" w:csb1="00000000"/>
  </w:font>
  <w:font w:name="黑体">
    <w:altName w:val="SimHei"/>
    <w:panose1 w:val="02010609060101010101"/>
    <w:charset w:val="86" w:characterSet="ISO-8859-1"/>
    <w:family w:val="modern"/>
    <w:pitch w:val="fixed"/>
    <w:sig w:usb0="800002BF" w:usb1="38CF7CFA"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66BE346E">
    <w:pPr>
      <w:pStyle w:val="000006"/>
      <w:ind w:left="480" w:firstLine="360"/>
      <w:jc w:val="center"/>
    </w:pPr>
  </w:p>
  <w:p w14:paraId="29EE3BD3">
    <w:pPr>
      <w:pStyle w:val="000006"/>
      <w:ind w:firstLine="360"/>
    </w:pPr>
  </w:p>
</w:ftr>
</file>

<file path=word/footer2.xml><?xml version="1.0" encoding="utf-8"?>
<w:ftr xmlns:w="http://schemas.openxmlformats.org/wordprocessingml/2006/main" xmlns:w14="http://schemas.microsoft.com/office/word/2010/wordml" xmlns:mc="http://schemas.openxmlformats.org/markup-compatibility/2006" mc:Ignorable="w14">
  <w:p w14:paraId="4029B106">
    <w:pPr>
      <w:pStyle w:val="000006"/>
      <w:ind w:firstLine="360"/>
    </w:pPr>
  </w:p>
</w:ftr>
</file>

<file path=word/footer3.xml><?xml version="1.0" encoding="utf-8"?>
<w:ftr xmlns:w="http://schemas.openxmlformats.org/wordprocessingml/2006/main" xmlns:w14="http://schemas.microsoft.com/office/word/2010/wordml" xmlns:mc="http://schemas.openxmlformats.org/markup-compatibility/2006" mc:Ignorable="w14">
  <w:p w14:paraId="2219AC2D">
    <w:pPr>
      <w:pStyle w:val="000006"/>
      <w:ind w:firstLine="360"/>
    </w:pPr>
  </w:p>
</w:ftr>
</file>

<file path=word/footer4.xml><?xml version="1.0" encoding="utf-8"?>
<w:ftr xmlns:w="http://schemas.openxmlformats.org/wordprocessingml/2006/main" xmlns:w14="http://schemas.microsoft.com/office/word/2010/wordml" xmlns:mc="http://schemas.openxmlformats.org/markup-compatibility/2006" mc:Ignorable="w14">
  <w:sdt>
    <w:sdtPr>
      <w:id w:val="1789238268"/>
    </w:sdtPr>
    <w:sdtContent>
      <w:p w14:paraId="31BE8170">
        <w:pPr>
          <w:pStyle w:val="000006"/>
          <w:ind w:left="480" w:firstLine="360"/>
          <w:jc w:val="center"/>
        </w:pPr>
        <w:r>
          <w:fldChar w:fldCharType="begin"/>
        </w:r>
        <w:r>
          <w:instrText>PAGE   \* MERGEFORMAT</w:instrText>
        </w:r>
        <w:r>
          <w:fldChar w:fldCharType="separate"/>
        </w:r>
        <w:r>
          <w:rPr>
            <w:lang w:val="zh-CN"/>
          </w:rPr>
          <w:t>2</w:t>
        </w:r>
        <w:r>
          <w:fldChar w:fldCharType="end"/>
        </w:r>
      </w:p>
    </w:sdtContent>
  </w:sdt>
  <w:p w14:paraId="74786B25">
    <w:pPr>
      <w:pStyle w:val="000006"/>
      <w:ind w:firstLine="360"/>
    </w:pP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7ADEF81D">
      <w:pPr>
        <w:ind w:firstLine="480"/>
      </w:pPr>
      <w:r>
        <w:continuationSeparator/>
      </w:r>
    </w:p>
  </w:footnote>
  <w:footnote w:type="separator" w:id="1">
    <w:p w14:paraId="284E3484">
      <w:pPr>
        <w:ind w:firstLine="480"/>
      </w:pPr>
      <w:r>
        <w:separator/>
      </w:r>
    </w:p>
  </w:footnote>
</w:footnotes>
</file>

<file path=word/header1.xml><?xml version="1.0" encoding="utf-8"?>
<w:hdr xmlns:w="http://schemas.openxmlformats.org/wordprocessingml/2006/main" xmlns:w14="http://schemas.microsoft.com/office/word/2010/wordml" xmlns:mc="http://schemas.openxmlformats.org/markup-compatibility/2006" mc:Ignorable="w14">
  <w:p w14:paraId="64EC72E0">
    <w:pPr>
      <w:pStyle w:val="000002"/>
      <w:ind w:firstLine="360"/>
    </w:pPr>
  </w:p>
</w:hdr>
</file>

<file path=word/header2.xml><?xml version="1.0" encoding="utf-8"?>
<w:hdr xmlns:w="http://schemas.openxmlformats.org/wordprocessingml/2006/main" xmlns:w14="http://schemas.microsoft.com/office/word/2010/wordml" xmlns:mc="http://schemas.openxmlformats.org/markup-compatibility/2006" mc:Ignorable="w14">
  <w:p w14:paraId="42918369">
    <w:pPr>
      <w:pStyle w:val="000002"/>
      <w:ind w:firstLine="360"/>
    </w:pPr>
  </w:p>
</w:hdr>
</file>

<file path=word/header3.xml><?xml version="1.0" encoding="utf-8"?>
<w:hdr xmlns:w="http://schemas.openxmlformats.org/wordprocessingml/2006/main" xmlns:w14="http://schemas.microsoft.com/office/word/2010/wordml" xmlns:mc="http://schemas.openxmlformats.org/markup-compatibility/2006" mc:Ignorable="w14">
  <w:p w14:paraId="1CF2065B">
    <w:pPr>
      <w:pStyle w:val="000002"/>
      <w:ind w:firstLine="360"/>
    </w:pPr>
  </w:p>
</w:hdr>
</file>

<file path=word/numbering.xml><?xml version="1.0" encoding="utf-8"?>
<w:numbering xmlns:w="http://schemas.openxmlformats.org/wordprocessingml/2006/main">
  <w:abstractNum w:abstractNumId="0">
    <w:nsid w:val="FF6EA1DF"/>
    <w:multiLevelType w:val="singleLevel"/>
    <w:tmpl w:val="FF6EA1DF"/>
    <w:lvl w:ilvl="0">
      <w:start w:val="2"/>
      <w:numFmt w:val="chineseCounting"/>
      <w:suff w:val="nothing"/>
      <w:lvlText w:val="（%1）"/>
      <w:lvlJc w:val="left"/>
      <w:rPr>
        <w:rFonts w:hint="eastAsia"/>
      </w:rPr>
    </w:lvl>
  </w:abstractNum>
  <w:num w:numId="1">
    <w:abstractNumId w:val="0"/>
  </w:num>
</w:numbering>
</file>

<file path=word/settings.xml><?xml version="1.0" encoding="utf-8"?>
<w:settings xmlns:w="http://schemas.openxmlformats.org/wordprocessingml/2006/main" xmlns:w14="http://schemas.microsoft.com/office/word/2010/wordml" xmlns:w15="http://schemas.microsoft.com/office/word/2012/wordml" xmlns:mc="http://schemas.openxmlformats.org/markup-compatibility/2006" mc:Ignorable="w14 w15">
  <w:zoom w:percent="98"/>
  <w:bordersDoNotSurroundHeader w:val="1"/>
  <w:bordersDoNotSurroundFooter w:val="1"/>
  <w:defaultTabStop w:val="420"/>
  <w:drawingGridVerticalSpacing w:val="156"/>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useWord2013TrackBottomHyphenation" w:uri="http://schemas.microsoft.com/office/word" w:val="1"/>
  </w:compat>
  <w:rsids>
    <w:rsidRoot w:val="0040024C"/>
    <w:rsid w:val="00000582"/>
    <w:rsid w:val="000042CC"/>
    <w:rsid w:val="00017CE1"/>
    <w:rsid w:val="00023B58"/>
    <w:rsid w:val="00026381"/>
    <w:rsid w:val="00037A9C"/>
    <w:rsid w:val="00037FEE"/>
    <w:rsid w:val="000578B8"/>
    <w:rsid w:val="0005790F"/>
    <w:rsid w:val="00066A7E"/>
    <w:rsid w:val="00067104"/>
    <w:rsid w:val="000907DC"/>
    <w:rsid w:val="00096568"/>
    <w:rsid w:val="000A1453"/>
    <w:rsid w:val="000E3D68"/>
    <w:rsid w:val="000E5B83"/>
    <w:rsid w:val="000F7C21"/>
    <w:rsid w:val="00112155"/>
    <w:rsid w:val="001140CC"/>
    <w:rsid w:val="00114C40"/>
    <w:rsid w:val="00120C5A"/>
    <w:rsid w:val="00125CE8"/>
    <w:rsid w:val="00127B33"/>
    <w:rsid w:val="00150F7F"/>
    <w:rsid w:val="001762D2"/>
    <w:rsid w:val="0018682C"/>
    <w:rsid w:val="0019141B"/>
    <w:rsid w:val="00194252"/>
    <w:rsid w:val="001A5DDD"/>
    <w:rsid w:val="001C29B5"/>
    <w:rsid w:val="001E3FE7"/>
    <w:rsid w:val="001F20E1"/>
    <w:rsid w:val="00202A97"/>
    <w:rsid w:val="00205140"/>
    <w:rsid w:val="0020662F"/>
    <w:rsid w:val="00232FC2"/>
    <w:rsid w:val="0024177F"/>
    <w:rsid w:val="00241DA3"/>
    <w:rsid w:val="00251291"/>
    <w:rsid w:val="00283043"/>
    <w:rsid w:val="002B0A15"/>
    <w:rsid w:val="002B0BE2"/>
    <w:rsid w:val="002E36DA"/>
    <w:rsid w:val="002E4AA3"/>
    <w:rsid w:val="002F23CC"/>
    <w:rsid w:val="0030174A"/>
    <w:rsid w:val="0031049C"/>
    <w:rsid w:val="00312DFE"/>
    <w:rsid w:val="00317C60"/>
    <w:rsid w:val="00350120"/>
    <w:rsid w:val="00357850"/>
    <w:rsid w:val="0036695F"/>
    <w:rsid w:val="00392286"/>
    <w:rsid w:val="003D21BC"/>
    <w:rsid w:val="003D27D6"/>
    <w:rsid w:val="003D6E3D"/>
    <w:rsid w:val="003E6B34"/>
    <w:rsid w:val="003F38C1"/>
    <w:rsid w:val="003F6140"/>
    <w:rsid w:val="0040024C"/>
    <w:rsid w:val="00405E81"/>
    <w:rsid w:val="004074F4"/>
    <w:rsid w:val="00424986"/>
    <w:rsid w:val="00440DDC"/>
    <w:rsid w:val="00441D6D"/>
    <w:rsid w:val="00456329"/>
    <w:rsid w:val="004608E7"/>
    <w:rsid w:val="00460C85"/>
    <w:rsid w:val="0046181F"/>
    <w:rsid w:val="00462027"/>
    <w:rsid w:val="00474A69"/>
    <w:rsid w:val="00474CFC"/>
    <w:rsid w:val="0049250A"/>
    <w:rsid w:val="004953A3"/>
    <w:rsid w:val="004A24A4"/>
    <w:rsid w:val="004A70E3"/>
    <w:rsid w:val="004C3850"/>
    <w:rsid w:val="004C6FB3"/>
    <w:rsid w:val="004D5B21"/>
    <w:rsid w:val="004D72BB"/>
    <w:rsid w:val="004E1010"/>
    <w:rsid w:val="00512B39"/>
    <w:rsid w:val="00513261"/>
    <w:rsid w:val="0053546F"/>
    <w:rsid w:val="00547BDE"/>
    <w:rsid w:val="00564D1D"/>
    <w:rsid w:val="00574876"/>
    <w:rsid w:val="00582A27"/>
    <w:rsid w:val="00583D28"/>
    <w:rsid w:val="00592031"/>
    <w:rsid w:val="005932D2"/>
    <w:rsid w:val="005A12E6"/>
    <w:rsid w:val="005B428B"/>
    <w:rsid w:val="005C663D"/>
    <w:rsid w:val="005D6562"/>
    <w:rsid w:val="005E15F4"/>
    <w:rsid w:val="005E4A49"/>
    <w:rsid w:val="00630C04"/>
    <w:rsid w:val="00637F0F"/>
    <w:rsid w:val="00644339"/>
    <w:rsid w:val="00661060"/>
    <w:rsid w:val="00676C00"/>
    <w:rsid w:val="00694461"/>
    <w:rsid w:val="00695DFA"/>
    <w:rsid w:val="006C2178"/>
    <w:rsid w:val="006D50BC"/>
    <w:rsid w:val="006D6E54"/>
    <w:rsid w:val="006F3EBF"/>
    <w:rsid w:val="006F47F0"/>
    <w:rsid w:val="0070028B"/>
    <w:rsid w:val="0070559A"/>
    <w:rsid w:val="00707E7B"/>
    <w:rsid w:val="00716298"/>
    <w:rsid w:val="00731749"/>
    <w:rsid w:val="0075278D"/>
    <w:rsid w:val="00760C3D"/>
    <w:rsid w:val="00772689"/>
    <w:rsid w:val="007805CE"/>
    <w:rsid w:val="00780F36"/>
    <w:rsid w:val="00792030"/>
    <w:rsid w:val="007A1160"/>
    <w:rsid w:val="007C3DE7"/>
    <w:rsid w:val="007D43EA"/>
    <w:rsid w:val="007E04A6"/>
    <w:rsid w:val="007E1912"/>
    <w:rsid w:val="0083415A"/>
    <w:rsid w:val="00840548"/>
    <w:rsid w:val="008420B8"/>
    <w:rsid w:val="00844A0D"/>
    <w:rsid w:val="0084611E"/>
    <w:rsid w:val="00856409"/>
    <w:rsid w:val="008A0B88"/>
    <w:rsid w:val="008A3BCF"/>
    <w:rsid w:val="008B0C5A"/>
    <w:rsid w:val="008B5DEF"/>
    <w:rsid w:val="008B6780"/>
    <w:rsid w:val="008C36D8"/>
    <w:rsid w:val="008F5496"/>
    <w:rsid w:val="009155F5"/>
    <w:rsid w:val="00934E3C"/>
    <w:rsid w:val="00941261"/>
    <w:rsid w:val="00945FAF"/>
    <w:rsid w:val="009615A2"/>
    <w:rsid w:val="00962C95"/>
    <w:rsid w:val="009666D7"/>
    <w:rsid w:val="00975C95"/>
    <w:rsid w:val="00975D41"/>
    <w:rsid w:val="00980A9D"/>
    <w:rsid w:val="0098744B"/>
    <w:rsid w:val="009933D0"/>
    <w:rsid w:val="009A34E1"/>
    <w:rsid w:val="009B1679"/>
    <w:rsid w:val="009C2287"/>
    <w:rsid w:val="009D04AF"/>
    <w:rsid w:val="009D3AA0"/>
    <w:rsid w:val="009F0005"/>
    <w:rsid w:val="00A1459C"/>
    <w:rsid w:val="00A362C9"/>
    <w:rsid w:val="00A36B42"/>
    <w:rsid w:val="00A37183"/>
    <w:rsid w:val="00A377B5"/>
    <w:rsid w:val="00A44B31"/>
    <w:rsid w:val="00A6031D"/>
    <w:rsid w:val="00A64684"/>
    <w:rsid w:val="00A65179"/>
    <w:rsid w:val="00A660FE"/>
    <w:rsid w:val="00A93D5C"/>
    <w:rsid w:val="00AA3E72"/>
    <w:rsid w:val="00AA589D"/>
    <w:rsid w:val="00AC25B3"/>
    <w:rsid w:val="00AD20A2"/>
    <w:rsid w:val="00AD3B7A"/>
    <w:rsid w:val="00AF18F8"/>
    <w:rsid w:val="00AF7E9D"/>
    <w:rsid w:val="00B11730"/>
    <w:rsid w:val="00B21AFF"/>
    <w:rsid w:val="00B25F3E"/>
    <w:rsid w:val="00B27317"/>
    <w:rsid w:val="00B40C9D"/>
    <w:rsid w:val="00B46619"/>
    <w:rsid w:val="00B65D67"/>
    <w:rsid w:val="00B925E5"/>
    <w:rsid w:val="00BA0D42"/>
    <w:rsid w:val="00BA0D43"/>
    <w:rsid w:val="00BA38C1"/>
    <w:rsid w:val="00BA7FAB"/>
    <w:rsid w:val="00BD2E89"/>
    <w:rsid w:val="00C10F52"/>
    <w:rsid w:val="00C21F2F"/>
    <w:rsid w:val="00C30458"/>
    <w:rsid w:val="00C405F5"/>
    <w:rsid w:val="00C53516"/>
    <w:rsid w:val="00C6427E"/>
    <w:rsid w:val="00C90406"/>
    <w:rsid w:val="00C96352"/>
    <w:rsid w:val="00CA4A0B"/>
    <w:rsid w:val="00CC5EFD"/>
    <w:rsid w:val="00CC645D"/>
    <w:rsid w:val="00CD3F68"/>
    <w:rsid w:val="00CE02A0"/>
    <w:rsid w:val="00CE78DE"/>
    <w:rsid w:val="00CF0F72"/>
    <w:rsid w:val="00D211DF"/>
    <w:rsid w:val="00D2748C"/>
    <w:rsid w:val="00D33BEB"/>
    <w:rsid w:val="00D34BFF"/>
    <w:rsid w:val="00D615D6"/>
    <w:rsid w:val="00D678CC"/>
    <w:rsid w:val="00D701B9"/>
    <w:rsid w:val="00D707ED"/>
    <w:rsid w:val="00D81457"/>
    <w:rsid w:val="00D83277"/>
    <w:rsid w:val="00D91CE7"/>
    <w:rsid w:val="00D92853"/>
    <w:rsid w:val="00DA7D86"/>
    <w:rsid w:val="00DB0832"/>
    <w:rsid w:val="00DB70C3"/>
    <w:rsid w:val="00DC3575"/>
    <w:rsid w:val="00E00CB7"/>
    <w:rsid w:val="00E047BE"/>
    <w:rsid w:val="00E06E48"/>
    <w:rsid w:val="00E116D2"/>
    <w:rsid w:val="00E37DEC"/>
    <w:rsid w:val="00E936CF"/>
    <w:rsid w:val="00EB0444"/>
    <w:rsid w:val="00EB0EE1"/>
    <w:rsid w:val="00EC5BD2"/>
    <w:rsid w:val="00ED0D4F"/>
    <w:rsid w:val="00ED7A43"/>
    <w:rsid w:val="00EF2DBE"/>
    <w:rsid w:val="00EF638F"/>
    <w:rsid w:val="00F00C88"/>
    <w:rsid w:val="00F06481"/>
    <w:rsid w:val="00F20727"/>
    <w:rsid w:val="00F23D12"/>
    <w:rsid w:val="00F46186"/>
    <w:rsid w:val="00F47AC8"/>
    <w:rsid w:val="00F55535"/>
    <w:rsid w:val="00F5691B"/>
    <w:rsid w:val="00F7663F"/>
    <w:rsid w:val="00F77B2E"/>
    <w:rsid w:val="00F97EC9"/>
    <w:rsid w:val="00FB1312"/>
    <w:rsid w:val="00FE0206"/>
    <w:rsid w:val="023F2212"/>
    <w:rsid w:val="08E00E1D"/>
    <w:rsid w:val="1BB9498B"/>
    <w:rsid w:val="30FF47BD"/>
    <w:rsid w:val="38887767"/>
    <w:rsid w:val="41735DB4"/>
    <w:rsid w:val="43432C09"/>
    <w:rsid w:val="527276B4"/>
    <w:rsid w:val="5AC73CC7"/>
    <w:rsid w:val="5CDD3C76"/>
    <w:rsid w:val="6F697D59"/>
    <w:rsid w:val="727328E6"/>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C9977547"/>
  <w15:docId w15:val="{3B7AC926-014F-4DE1-B92F-E747B2896B18}"/>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List Number 4" w:semiHidden="1" w:unhideWhenUsed="1"/>
    <w:lsdException w:name="Light Grid Accent 3" w:uiPriority="62"/>
    <w:lsdException w:name="List 3" w:semiHidden="1" w:unhideWhenUsed="1"/>
    <w:lsdException w:name="List Table 5 Dark Accent 4" w:uiPriority="50"/>
    <w:lsdException w:name="Colorful Grid Accent 3" w:uiPriority="73"/>
    <w:lsdException w:name="Colorful Grid Accent 1" w:uiPriority="73"/>
    <w:lsdException w:name="Table Grid 7" w:semiHidden="1" w:unhideWhenUsed="1"/>
    <w:lsdException w:name="Medium Grid 1 Accent 5" w:uiPriority="67"/>
    <w:lsdException w:name="Colorful List Accent 5" w:uiPriority="72"/>
    <w:lsdException w:name="Date" w:semiHidden="1" w:unhideWhenUsed="1"/>
    <w:lsdException w:name="Medium Shading 2 Accent 3" w:uiPriority="64"/>
    <w:lsdException w:name="Medium List 1 Accent 5" w:uiPriority="65"/>
    <w:lsdException w:name="List Number" w:semiHidden="1" w:unhideWhenUsed="1"/>
    <w:lsdException w:name="Table List 7" w:semiHidden="1" w:unhideWhenUsed="1"/>
    <w:lsdException w:name="Table List 8" w:semiHidden="1" w:unhideWhenUsed="1"/>
    <w:lsdException w:name="Colorful Shading" w:uiPriority="71"/>
    <w:lsdException w:name="Light List Accent 4" w:uiPriority="61"/>
    <w:lsdException w:name="Hashtag" w:semiHidden="1" w:unhideWhenUsed="1"/>
    <w:lsdException w:name="Medium Shading 1 Accent 4" w:uiPriority="63"/>
    <w:lsdException w:name="Table Subtle 1" w:semiHidden="1" w:unhideWhenUsed="1"/>
    <w:lsdException w:name="List Table 2 Accent 5" w:uiPriority="47"/>
    <w:lsdException w:name="Table Web 3" w:semiHidden="1" w:unhideWhenUsed="1"/>
    <w:lsdException w:name="Grid Table 6 Colorful Accent 5" w:uiPriority="51"/>
    <w:lsdException w:name="Grid Table 6 Colorful Accent 6" w:uiPriority="51"/>
    <w:lsdException w:name="List Table 7 Colorful Accent 5" w:uiPriority="52"/>
    <w:lsdException w:name="Dark List" w:uiPriority="70"/>
    <w:lsdException w:name="List Table 7 Colorful Accent 4" w:uiPriority="52"/>
    <w:lsdException w:name="Table Simple 1" w:semiHidden="1" w:unhideWhenUsed="1"/>
    <w:lsdException w:name="Grid Table 7 Colorful Accent 2" w:uiPriority="52"/>
    <w:lsdException w:name="Table Classic 3" w:semiHidden="1" w:unhideWhenUsed="1"/>
    <w:lsdException w:name="toc 8" w:uiPriority="39" w:semiHidden="1" w:unhideWhenUsed="1"/>
    <w:lsdException w:name="Medium Grid 3 Accent 4" w:uiPriority="69"/>
    <w:lsdException w:name="Medium Shading 2 Accent 4" w:uiPriority="64"/>
    <w:lsdException w:name="List Number 2" w:semiHidden="1" w:unhideWhenUsed="1"/>
    <w:lsdException w:name="Table Colorful 3" w:semiHidden="1" w:unhideWhenUsed="1"/>
    <w:lsdException w:name="Table Grid 3" w:semiHidden="1" w:unhideWhenUsed="1"/>
    <w:lsdException w:name="Medium Grid 2 Accent 6" w:uiPriority="68"/>
    <w:lsdException w:name="Medium Grid 1 Accent 6" w:uiPriority="67"/>
    <w:lsdException w:name="Table Theme" w:semiHidden="1" w:unhideWhenUsed="1"/>
    <w:lsdException w:name="Colorful Shading Accent 5" w:uiPriority="71"/>
    <w:lsdException w:name="Normal Indent" w:semiHidden="1" w:unhideWhenUsed="1"/>
    <w:lsdException w:name="Table List 1" w:semiHidden="1" w:unhideWhenUsed="1"/>
    <w:lsdException w:name="Light Shading Accent 5" w:uiPriority="60"/>
    <w:lsdException w:name="Table Colorful 1" w:semiHidden="1" w:unhideWhenUsed="1"/>
    <w:lsdException w:name="Note Heading" w:semiHidden="1" w:unhideWhenUsed="1"/>
    <w:lsdException w:name="index 6" w:semiHidden="1" w:unhideWhenUsed="1"/>
    <w:lsdException w:name="footnote reference" w:semiHidden="1" w:unhideWhenUsed="1"/>
    <w:lsdException w:name="index 5" w:semiHidden="1" w:unhideWhenUsed="1"/>
    <w:lsdException w:name="index 7" w:semiHidden="1" w:unhideWhenUsed="1"/>
    <w:lsdException w:name="heading 8" w:uiPriority="9" w:semiHidden="1" w:unhideWhenUsed="1" w:qFormat="1"/>
    <w:lsdException w:name="Light Grid Accent 2" w:uiPriority="62"/>
    <w:lsdException w:name="Table List 5" w:semiHidden="1" w:unhideWhenUsed="1"/>
    <w:lsdException w:name="Colorful List Accent 3" w:uiPriority="72"/>
    <w:lsdException w:name="Table Columns 1" w:semiHidden="1" w:unhideWhenUsed="1"/>
    <w:lsdException w:name="List 2" w:semiHidden="1" w:unhideWhenUsed="1"/>
    <w:lsdException w:name="Medium List 2 Accent 6" w:uiPriority="66"/>
    <w:lsdException w:name="Grid Table 1 Light Accent 5" w:uiPriority="46"/>
    <w:lsdException w:name="heading 9" w:uiPriority="9" w:semiHidden="1" w:unhideWhenUsed="1" w:qFormat="1"/>
    <w:lsdException w:name="Colorful List Accent 1" w:uiPriority="72"/>
    <w:lsdException w:name="Medium List 2 Accent 4" w:uiPriority="66"/>
    <w:lsdException w:name="Table 3D effects 2" w:semiHidden="1" w:unhideWhenUsed="1"/>
    <w:lsdException w:name="Body Text Indent 3" w:semiHidden="1" w:unhideWhenUsed="1"/>
    <w:lsdException w:name="Colorful Shading Accent 1" w:uiPriority="71"/>
    <w:lsdException w:name="Body Text Indent" w:semiHidden="1" w:unhideWhenUsed="1"/>
    <w:lsdException w:name="Medium List 1 Accent 4" w:uiPriority="65"/>
    <w:lsdException w:name="Dark List Accent 6" w:uiPriority="70"/>
    <w:lsdException w:name="Table Professional" w:semiHidden="1" w:unhideWhenUsed="1"/>
    <w:lsdException w:name="Body Text Indent 2" w:semiHidden="1" w:unhideWhenUsed="1"/>
    <w:lsdException w:name="Table Web 2" w:semiHidden="1" w:unhideWhenUsed="1"/>
    <w:lsdException w:name="List Table 2 Accent 4" w:uiPriority="47"/>
    <w:lsdException w:name="annotation reference" w:semiHidden="1" w:unhideWhenUsed="1"/>
    <w:lsdException w:name="footer" w:unhideWhenUsed="1" w:qFormat="1"/>
    <w:lsdException w:name="toa heading" w:semiHidden="1" w:unhideWhenUsed="1"/>
    <w:lsdException w:name="Revision" w:semiHidden="1" w:unhideWhenUsed="1"/>
    <w:lsdException w:name="List Table 4 Accent 2" w:uiPriority="49"/>
    <w:lsdException w:name="List Table 6 Colorful Accent 5" w:uiPriority="51"/>
    <w:lsdException w:name="List Table 2 Accent 2" w:uiPriority="47"/>
    <w:lsdException w:name="List Table 6 Colorful Accent 6" w:uiPriority="51"/>
    <w:lsdException w:name="Medium Shading 2 Accent 6" w:uiPriority="64"/>
    <w:lsdException w:name="Table Columns 5" w:semiHidden="1" w:unhideWhenUsed="1"/>
    <w:lsdException w:name="List Table 1 Light Accent 2" w:uiPriority="46"/>
    <w:lsdException w:name="Light Shading Accent 3" w:uiPriority="60"/>
    <w:lsdException w:name="Light Shading Accent 1" w:uiPriority="60"/>
    <w:lsdException w:name="E-mail Signature" w:semiHidden="1" w:unhideWhenUsed="1"/>
    <w:lsdException w:name="List Number 3" w:semiHidden="1" w:unhideWhenUsed="1"/>
    <w:lsdException w:name="Colorful List" w:uiPriority="72"/>
    <w:lsdException w:name="Outline List 1" w:semiHidden="1" w:unhideWhenUsed="1"/>
    <w:lsdException w:name="heading 7" w:uiPriority="9" w:semiHidden="1" w:unhideWhenUsed="1" w:qFormat="1"/>
    <w:lsdException w:name="Grid Table 5 Dark Accent 2" w:uiPriority="50"/>
    <w:lsdException w:name="Smart Link" w:semiHidden="1" w:unhideWhenUsed="1"/>
    <w:lsdException w:name="Plain Table 3" w:uiPriority="43"/>
    <w:lsdException w:name="Grid Table 2 Accent 1" w:uiPriority="47"/>
    <w:lsdException w:name="Colorful Grid Accent 6" w:uiPriority="73"/>
    <w:lsdException w:name="Grid Table 7 Colorful Accent 4" w:uiPriority="52"/>
    <w:lsdException w:name="Light Shading" w:uiPriority="60"/>
    <w:lsdException w:name="Grid Table 5 Dark Accent 1" w:uiPriority="50"/>
    <w:lsdException w:name="Grid Table 7 Colorful Accent 5" w:uiPriority="52"/>
    <w:lsdException w:name="Medium List 1" w:uiPriority="65"/>
    <w:lsdException w:name="List Table 2 Accent 6" w:uiPriority="47"/>
    <w:lsdException w:name="List Table 3 Accent 4" w:uiPriority="48"/>
    <w:lsdException w:name="Colorful Grid" w:uiPriority="73"/>
    <w:lsdException w:name="annotation subject" w:semiHidden="1" w:unhideWhenUsed="1"/>
    <w:lsdException w:name="Body Text First Indent" w:semiHidden="1" w:unhideWhenUsed="1"/>
    <w:lsdException w:name="Light List Accent 2" w:uiPriority="61"/>
    <w:lsdException w:name="Table Classic 4" w:semiHidden="1" w:unhideWhenUsed="1"/>
    <w:lsdException w:name="Light List Accent 3" w:uiPriority="61"/>
    <w:lsdException w:name="Light List Accent 5" w:uiPriority="61"/>
    <w:lsdException w:name="Medium Shading 1 Accent 5" w:uiPriority="63"/>
    <w:lsdException w:name="No List" w:semiHidden="1" w:unhideWhenUsed="1"/>
    <w:lsdException w:name="List Table 7 Colorful Accent 1" w:uiPriority="52"/>
    <w:lsdException w:name="List Continue 4" w:semiHidden="1" w:unhideWhenUsed="1"/>
    <w:lsdException w:name="Grid Table 4 Accent 6" w:uiPriority="49"/>
    <w:lsdException w:name="Medium Grid 3 Accent 3" w:uiPriority="69"/>
    <w:lsdException w:name="Table List 3" w:semiHidden="1" w:unhideWhenUsed="1"/>
    <w:lsdException w:name="line number" w:semiHidden="1" w:unhideWhenUsed="1"/>
    <w:lsdException w:name="Medium Grid 2 Accent 5" w:uiPriority="68"/>
    <w:lsdException w:name="Subtle Emphasis" w:uiPriority="19" w:qFormat="1"/>
    <w:lsdException w:name="Body Text" w:semiHidden="1" w:unhideWhenUsed="1"/>
    <w:lsdException w:name="Placeholder Text" w:semiHidden="1" w:unhideWhenUsed="1"/>
    <w:lsdException w:name="Normal" w:uiPriority="0" w:qFormat="1"/>
    <w:lsdException w:name="macro" w:semiHidden="1" w:unhideWhenUsed="1"/>
    <w:lsdException w:name="endnote text" w:semiHidden="1" w:unhideWhenUsed="1"/>
    <w:lsdException w:name="Medium Grid 3 Accent 5" w:uiPriority="69"/>
    <w:lsdException w:name="List Table 7 Colorful" w:uiPriority="52"/>
    <w:lsdException w:name="toc 9" w:uiPriority="39" w:semiHidden="1" w:unhideWhenUsed="1"/>
    <w:lsdException w:name="Colorful Shading Accent 3" w:uiPriority="71"/>
    <w:lsdException w:name="index 8" w:semiHidden="1" w:unhideWhenUsed="1"/>
    <w:lsdException w:name="Grid Table 1 Light" w:uiPriority="46"/>
    <w:lsdException w:name="heading 6" w:uiPriority="9" w:semiHidden="1" w:unhideWhenUsed="1" w:qFormat="1"/>
    <w:lsdException w:name="List Table 3 Accent 6" w:uiPriority="48"/>
    <w:lsdException w:name="Table Subtle 2" w:semiHidden="1" w:unhideWhenUsed="1"/>
    <w:lsdException w:name="Light Grid Accent 5" w:uiPriority="62"/>
    <w:lsdException w:name="Colorful List Accent 6" w:uiPriority="72"/>
    <w:lsdException w:name="Medium List 2 Accent 3" w:uiPriority="66"/>
    <w:lsdException w:name="Subtitle" w:uiPriority="11" w:qFormat="1"/>
    <w:lsdException w:name="Medium Shading 1 Accent 3" w:uiPriority="63"/>
    <w:lsdException w:name="List Table 4 Accent 6" w:uiPriority="49"/>
    <w:lsdException w:name="Intense Emphasis" w:uiPriority="21" w:qFormat="1"/>
    <w:lsdException w:name="HTML Code" w:semiHidden="1" w:unhideWhenUsed="1"/>
    <w:lsdException w:name="Grid Table 3 Accent 4" w:uiPriority="48"/>
    <w:lsdException w:name="Table Colorful 2" w:semiHidden="1" w:unhideWhenUsed="1"/>
    <w:lsdException w:name="Grid Table 1 Light Accent 4" w:uiPriority="46"/>
    <w:lsdException w:name="Grid Table 4 Accent 2" w:uiPriority="49"/>
    <w:lsdException w:name="Intense Reference" w:uiPriority="32" w:qFormat="1"/>
    <w:lsdException w:name="List Table 7 Colorful Accent 3" w:uiPriority="52"/>
    <w:lsdException w:name="header" w:unhideWhenUsed="1" w:qFormat="1"/>
    <w:lsdException w:name="Title" w:uiPriority="10" w:qFormat="1"/>
    <w:lsdException w:name="Plain Text" w:semiHidden="1" w:unhideWhenUsed="1"/>
    <w:lsdException w:name="List 5" w:semiHidden="1" w:unhideWhenUsed="1"/>
    <w:lsdException w:name="Grid Table 4 Accent 4" w:uiPriority="49"/>
    <w:lsdException w:name="Light Grid" w:uiPriority="62"/>
    <w:lsdException w:name="Plain Table 5" w:uiPriority="45"/>
    <w:lsdException w:name="Grid Table 4" w:uiPriority="49"/>
    <w:lsdException w:name="HTML Keyboard" w:semiHidden="1" w:unhideWhenUsed="1"/>
    <w:lsdException w:name="Plain Table 4" w:uiPriority="44"/>
    <w:lsdException w:name="List Table 1 Light Accent 5" w:uiPriority="46"/>
    <w:lsdException w:name="envelope address" w:semiHidden="1" w:unhideWhenUsed="1"/>
    <w:lsdException w:name="List Table 5 Dark Accent 1" w:uiPriority="50"/>
    <w:lsdException w:name="Light Shading Accent 6" w:uiPriority="60"/>
    <w:lsdException w:name="Grid Table 6 Colorful" w:uiPriority="51"/>
    <w:lsdException w:name="List Table 4 Accent 3" w:uiPriority="49"/>
    <w:lsdException w:name="index 3" w:semiHidden="1" w:unhideWhenUsed="1"/>
    <w:lsdException w:name="List Table 2 Accent 3" w:uiPriority="47"/>
    <w:lsdException w:name="Outline List 3" w:semiHidden="1" w:unhideWhenUsed="1"/>
    <w:lsdException w:name="HTML Preformatted" w:semiHidden="1" w:unhideWhenUsed="1"/>
    <w:lsdException w:name="Grid Table 3 Accent 6" w:uiPriority="48"/>
    <w:lsdException w:name="List Table 3 Accent 1" w:uiPriority="48"/>
    <w:lsdException w:name="Outline List 2" w:semiHidden="1" w:unhideWhenUsed="1"/>
    <w:lsdException w:name="Grid Table 2 Accent 4" w:uiPriority="47"/>
    <w:lsdException w:name="Grid Table Light" w:uiPriority="40"/>
    <w:lsdException w:name="List Table 1 Light" w:uiPriority="46"/>
    <w:lsdException w:name="index heading" w:semiHidden="1" w:unhideWhenUsed="1"/>
    <w:lsdException w:name="List Table 4 Accent 5" w:uiPriority="49"/>
    <w:lsdException w:name="Table Web 1" w:semiHidden="1" w:unhideWhenUsed="1"/>
    <w:lsdException w:name="List Bullet 2" w:semiHidden="1" w:unhideWhenUsed="1"/>
    <w:lsdException w:name="Table Columns 2" w:semiHidden="1" w:unhideWhenUsed="1"/>
    <w:lsdException w:name="Quote" w:uiPriority="29" w:qFormat="1"/>
    <w:lsdException w:name="Medium Grid 2 Accent 1" w:uiPriority="68"/>
    <w:lsdException w:name="Medium Grid 2 Accent 2" w:uiPriority="68"/>
    <w:lsdException w:name="Medium Shading 2 Accent 2" w:uiPriority="64"/>
    <w:lsdException w:name="List Table 3 Accent 3" w:uiPriority="48"/>
    <w:lsdException w:name="Medium Shading 1" w:uiPriority="63"/>
    <w:lsdException w:name="List Table 1 Light Accent 3" w:uiPriority="46"/>
    <w:lsdException w:name="Dark List Accent 2" w:uiPriority="70"/>
    <w:lsdException w:name="List Continue 5" w:semiHidden="1" w:unhideWhenUsed="1"/>
    <w:lsdException w:name="List Table 6 Colorful Accent 1" w:uiPriority="51"/>
    <w:lsdException w:name="Medium Grid 3 Accent 6" w:uiPriority="69"/>
    <w:lsdException w:name="Signature" w:semiHidden="1" w:unhideWhenUsed="1"/>
    <w:lsdException w:name="Medium Grid 1 Accent 3" w:uiPriority="67"/>
    <w:lsdException w:name="Body Text 3" w:semiHidden="1" w:unhideWhenUsed="1"/>
    <w:lsdException w:name="HTML Variable" w:semiHidden="1" w:unhideWhenUsed="1"/>
    <w:lsdException w:name="Table Grid 6" w:semiHidden="1" w:unhideWhenUsed="1"/>
    <w:lsdException w:name="Grid Table 7 Colorful Accent 1" w:uiPriority="52"/>
    <w:lsdException w:name="List Table 5 Dark Accent 3" w:uiPriority="50"/>
    <w:lsdException w:name="List Table 5 Dark Accent 2" w:uiPriority="50"/>
    <w:lsdException w:name="Colorful Grid Accent 5" w:uiPriority="73"/>
    <w:lsdException w:name="List Table 6 Colorful" w:uiPriority="51"/>
    <w:lsdException w:name="Grid Table 5 Dark Accent 6" w:uiPriority="50"/>
    <w:lsdException w:name="table of authorities" w:semiHidden="1" w:unhideWhenUsed="1"/>
    <w:lsdException w:name="List Table 5 Dark" w:uiPriority="50"/>
    <w:lsdException w:name="Closing" w:semiHidden="1" w:unhideWhenUsed="1"/>
    <w:lsdException w:name="Grid Table 6 Colorful Accent 4" w:uiPriority="51"/>
    <w:lsdException w:name="Grid Table 3 Accent 1" w:uiPriority="48"/>
    <w:lsdException w:name="toc 4" w:uiPriority="39" w:semiHidden="1" w:unhideWhenUsed="1"/>
    <w:lsdException w:name="Body Text 2" w:semiHidden="1" w:unhideWhenUsed="1"/>
    <w:lsdException w:name="List Table 2 Accent 1" w:uiPriority="47"/>
    <w:lsdException w:name="Grid Table 6 Colorful Accent 2" w:uiPriority="51"/>
    <w:lsdException w:name="heading 1" w:uiPriority="9" w:qFormat="1"/>
    <w:lsdException w:name="List Table 7 Colorful Accent 6" w:uiPriority="52"/>
    <w:lsdException w:name="List Table 3 Accent 5" w:uiPriority="48"/>
    <w:lsdException w:name="Colorful List Accent 4" w:uiPriority="72"/>
    <w:lsdException w:name="Book Title" w:uiPriority="33" w:qFormat="1"/>
    <w:lsdException w:name="HTML Cite" w:semiHidden="1" w:unhideWhenUsed="1"/>
    <w:lsdException w:name="List Table 4" w:uiPriority="49"/>
    <w:lsdException w:name="Medium Shading 1 Accent 6" w:uiPriority="63"/>
    <w:lsdException w:name="index 9" w:semiHidden="1" w:unhideWhenUsed="1"/>
    <w:lsdException w:name="Table Columns 3" w:semiHidden="1" w:unhideWhenUsed="1"/>
    <w:lsdException w:name="annotation text" w:semiHidden="1" w:unhideWhenUsed="1"/>
    <w:lsdException w:name="caption" w:uiPriority="35" w:semiHidden="1" w:unhideWhenUsed="1" w:qFormat="1"/>
    <w:lsdException w:name="Light List Accent 1" w:uiPriority="61"/>
    <w:lsdException w:name="heading 2" w:uiPriority="9" w:unhideWhenUsed="1" w:qFormat="1"/>
    <w:lsdException w:name="Grid Table 1 Light Accent 1" w:uiPriority="46"/>
    <w:lsdException w:name="Medium List 2 Accent 2" w:uiPriority="66"/>
    <w:lsdException w:name="Table Grid 4" w:semiHidden="1" w:unhideWhenUsed="1"/>
    <w:lsdException w:name="Table Grid 5" w:semiHidden="1" w:unhideWhenUsed="1"/>
    <w:lsdException w:name="index 4" w:semiHidden="1" w:unhideWhenUsed="1"/>
    <w:lsdException w:name="Grid Table 7 Colorful" w:uiPriority="52"/>
    <w:lsdException w:name="Normal Table" w:semiHidden="1" w:unhideWhenUsed="1"/>
    <w:lsdException w:name="Medium List 2" w:uiPriority="66"/>
    <w:lsdException w:name="Plain Table 1" w:uiPriority="41"/>
    <w:lsdException w:name="index 1" w:semiHidden="1" w:unhideWhenUsed="1"/>
    <w:lsdException w:name="Medium Shading 1 Accent 1" w:uiPriority="63"/>
    <w:lsdException w:name="HTML Address" w:semiHidden="1" w:unhideWhenUsed="1"/>
    <w:lsdException w:name="Medium Grid 1 Accent 2" w:uiPriority="67"/>
    <w:lsdException w:name="Medium Grid 3" w:uiPriority="69"/>
    <w:lsdException w:name="Block Text" w:semiHidden="1" w:unhideWhenUsed="1"/>
    <w:lsdException w:name="Mention" w:semiHidden="1" w:unhideWhenUsed="1"/>
    <w:lsdException w:name="Light Shading Accent 4" w:uiPriority="60"/>
    <w:lsdException w:name="Grid Table 4 Accent 5" w:uiPriority="49"/>
    <w:lsdException w:name="Light Grid Accent 1" w:uiPriority="62"/>
    <w:lsdException w:name="Grid Table 3 Accent 5" w:uiPriority="48"/>
    <w:lsdException w:name="HTML Sample" w:semiHidden="1" w:unhideWhenUsed="1"/>
    <w:lsdException w:name="toc 6" w:uiPriority="39" w:semiHidden="1" w:unhideWhenUsed="1"/>
    <w:lsdException w:name="HTML Top of Form" w:semiHidden="1" w:unhideWhenUsed="1"/>
    <w:lsdException w:name="Grid Table 4 Accent 1" w:uiPriority="49"/>
    <w:lsdException w:name="List Table 1 Light Accent 6" w:uiPriority="46"/>
    <w:lsdException w:name="Table Simple 2" w:semiHidden="1" w:unhideWhenUsed="1"/>
    <w:lsdException w:name="Dark List Accent 1" w:uiPriority="70"/>
    <w:lsdException w:name="HTML Definition" w:semiHidden="1" w:unhideWhenUsed="1"/>
    <w:lsdException w:name="Grid Table 1 Light Accent 3" w:uiPriority="46"/>
    <w:lsdException w:name="List Table 6 Colorful Accent 4" w:uiPriority="51"/>
    <w:lsdException w:name="Table Columns 4" w:semiHidden="1" w:unhideWhenUsed="1"/>
    <w:lsdException w:name="Medium Shading 2 Accent 5" w:uiPriority="64"/>
    <w:lsdException w:name="Grid Table 2 Accent 5" w:uiPriority="47"/>
    <w:lsdException w:name="Medium List 1 Accent 2" w:uiPriority="65"/>
    <w:lsdException w:name="List Table 6 Colorful Accent 2" w:uiPriority="51"/>
    <w:lsdException w:name="Grid Table 6 Colorful Accent 1" w:uiPriority="51"/>
    <w:lsdException w:name="Grid Table 5 Dark Accent 3" w:uiPriority="50"/>
    <w:lsdException w:name="Grid Table 2 Accent 3" w:uiPriority="47"/>
    <w:lsdException w:name="Medium Grid 1 Accent 1" w:uiPriority="67"/>
    <w:lsdException w:name="List Table 4 Accent 1" w:uiPriority="49"/>
    <w:lsdException w:name="Medium Shading 2" w:uiPriority="64"/>
    <w:lsdException w:name="Emphasis" w:uiPriority="20" w:qFormat="1"/>
    <w:lsdException w:name="Dark List Accent 3" w:uiPriority="70"/>
    <w:lsdException w:name="List Table 5 Dark Accent 5" w:uiPriority="50"/>
    <w:lsdException w:name="List Continue" w:semiHidden="1" w:unhideWhenUsed="1"/>
    <w:lsdException w:name="Bibliography" w:uiPriority="37" w:semiHidden="1" w:unhideWhenUsed="1"/>
    <w:lsdException w:name="Grid Table 7 Colorful Accent 6" w:uiPriority="52"/>
    <w:lsdException w:name="Medium List 2 Accent 5" w:uiPriority="66"/>
    <w:lsdException w:name="Colorful Shading Accent 6" w:uiPriority="71"/>
    <w:lsdException w:name="Colorful Grid Accent 2" w:uiPriority="73"/>
    <w:lsdException w:name="Grid Table 3" w:uiPriority="48"/>
    <w:lsdException w:name="Message Header" w:semiHidden="1" w:unhideWhenUsed="1"/>
    <w:lsdException w:name="Table Grid" w:uiPriority="39" w:qFormat="1"/>
    <w:lsdException w:name="Table Classic 1" w:semiHidden="1" w:unhideWhenUsed="1"/>
    <w:lsdException w:name="Table List 6" w:semiHidden="1" w:unhideWhenUsed="1"/>
    <w:lsdException w:name="List Bullet 4" w:semiHidden="1" w:unhideWhenUsed="1"/>
    <w:lsdException w:name="List Bullet 3" w:semiHidden="1" w:unhideWhenUsed="1"/>
    <w:lsdException w:name="List Bullet 5" w:semiHidden="1" w:unhideWhenUsed="1"/>
    <w:lsdException w:name="List Paragraph" w:uiPriority="34" w:qFormat="1"/>
    <w:lsdException w:name="List Number 5" w:semiHidden="1" w:unhideWhenUsed="1"/>
    <w:lsdException w:name="endnote reference" w:semiHidden="1" w:unhideWhenUsed="1"/>
    <w:lsdException w:name="List" w:semiHidden="1" w:unhideWhenUsed="1"/>
    <w:lsdException w:name="FollowedHyperlink" w:semiHidden="1" w:unhideWhenUsed="1"/>
    <w:lsdException w:name="heading 4" w:uiPriority="9" w:unhideWhenUsed="1" w:qFormat="1"/>
    <w:lsdException w:name="Table List 2" w:semiHidden="1" w:unhideWhenUsed="1"/>
    <w:lsdException w:name="List Table 1 Light Accent 4" w:uiPriority="46"/>
    <w:lsdException w:name="List Continue 2" w:semiHidden="1" w:unhideWhenUsed="1"/>
    <w:lsdException w:name="Hyperlink" w:unhideWhenUsed="1" w:qFormat="1"/>
    <w:lsdException w:name="List Table 5 Dark Accent 6" w:uiPriority="50"/>
    <w:lsdException w:name="Unresolved Mention" w:semiHidden="1" w:unhideWhenUsed="1"/>
    <w:lsdException w:name="footnote text" w:semiHidden="1" w:unhideWhenUsed="1"/>
    <w:lsdException w:name="Grid Table 2 Accent 2" w:uiPriority="47"/>
    <w:lsdException w:name="Medium Grid 3 Accent 1" w:uiPriority="69"/>
    <w:lsdException w:name="Medium Grid 3 Accent 2" w:uiPriority="69"/>
    <w:lsdException w:name="Light List Accent 6" w:uiPriority="61"/>
    <w:lsdException w:name="index 2" w:semiHidden="1" w:unhideWhenUsed="1"/>
    <w:lsdException w:name="Table 3D effects 1" w:semiHidden="1" w:unhideWhenUsed="1"/>
    <w:lsdException w:name="Grid Table 6 Colorful Accent 3" w:uiPriority="51"/>
    <w:lsdException w:name="Medium List 2 Accent 1" w:uiPriority="66"/>
    <w:lsdException w:name="Colorful Shading Accent 2" w:uiPriority="71"/>
    <w:lsdException w:name="TOC Heading" w:uiPriority="39" w:semiHidden="1" w:unhideWhenUsed="1" w:qFormat="1"/>
    <w:lsdException w:name="Table Contemporary" w:semiHidden="1" w:unhideWhenUsed="1"/>
    <w:lsdException w:name="Colorful Grid Accent 4" w:uiPriority="73"/>
    <w:lsdException w:name="List Bullet" w:semiHidden="1" w:unhideWhenUsed="1"/>
    <w:lsdException w:name="List Table 7 Colorful Accent 2" w:uiPriority="52"/>
    <w:lsdException w:name="Table Grid 2" w:semiHidden="1" w:unhideWhenUsed="1"/>
    <w:lsdException w:name="heading 3" w:uiPriority="9" w:unhideWhenUsed="1" w:qFormat="1"/>
    <w:lsdException w:name="Subtle Reference" w:uiPriority="31" w:qFormat="1"/>
    <w:lsdException w:name="toc 5" w:uiPriority="39" w:semiHidden="1" w:unhideWhenUsed="1"/>
    <w:lsdException w:name="toc 3" w:uiPriority="39" w:unhideWhenUsed="1" w:qFormat="1"/>
    <w:lsdException w:name="Light Grid Accent 6" w:uiPriority="62"/>
    <w:lsdException w:name="Light Grid Accent 4" w:uiPriority="62"/>
    <w:lsdException w:name="toc 2" w:uiPriority="39" w:unhideWhenUsed="1" w:qFormat="1"/>
    <w:lsdException w:name="Default Paragraph Font" w:uiPriority="1" w:semiHidden="1" w:unhideWhenUsed="1"/>
    <w:lsdException w:name="Light List" w:uiPriority="61"/>
    <w:lsdException w:name="Table Grid 8" w:semiHidden="1" w:unhideWhenUsed="1"/>
    <w:lsdException w:name="Colorful Shading Accent 4" w:uiPriority="71"/>
    <w:lsdException w:name="Medium Shading 1 Accent 2" w:uiPriority="63"/>
    <w:lsdException w:name="List Table 3 Accent 2" w:uiPriority="48"/>
    <w:lsdException w:name="Grid Table 5 Dark Accent 4" w:uiPriority="50"/>
    <w:lsdException w:name="Table List 4" w:semiHidden="1" w:unhideWhenUsed="1"/>
    <w:lsdException w:name="Colorful List Accent 2" w:uiPriority="72"/>
    <w:lsdException w:name="Grid Table 4 Accent 3" w:uiPriority="49"/>
    <w:lsdException w:name="Grid Table 2" w:uiPriority="47"/>
    <w:lsdException w:name="List Table 2" w:uiPriority="47"/>
    <w:lsdException w:name="Medium List 1 Accent 6" w:uiPriority="65"/>
    <w:lsdException w:name="Medium List 1 Accent 1" w:uiPriority="65"/>
    <w:lsdException w:name="Grid Table 1 Light Accent 6" w:uiPriority="46"/>
    <w:lsdException w:name="List Table 3" w:uiPriority="48"/>
    <w:lsdException w:name="Table Grid 1" w:semiHidden="1" w:unhideWhenUsed="1"/>
    <w:lsdException w:name="heading 5" w:uiPriority="9" w:semiHidden="1" w:unhideWhenUsed="1" w:qFormat="1"/>
    <w:lsdException w:name="Medium Grid 2 Accent 4" w:uiPriority="68"/>
    <w:lsdException w:name="Medium Grid 2" w:uiPriority="68"/>
    <w:lsdException w:name="Grid Table 1 Light Accent 2" w:uiPriority="46"/>
    <w:lsdException w:name="HTML Bottom of Form" w:semiHidden="1" w:unhideWhenUsed="1"/>
    <w:lsdException w:name="page number" w:semiHidden="1" w:unhideWhenUsed="1"/>
    <w:lsdException w:name="Table 3D effects 3" w:semiHidden="1" w:unhideWhenUsed="1"/>
    <w:lsdException w:name="List Continue 3" w:semiHidden="1" w:unhideWhenUsed="1"/>
    <w:lsdException w:name="Grid Table 3 Accent 3" w:uiPriority="48"/>
    <w:lsdException w:name="Grid Table 2 Accent 6" w:uiPriority="47"/>
    <w:lsdException w:name="Grid Table 3 Accent 2" w:uiPriority="48"/>
    <w:lsdException w:name="Dark List Accent 4" w:uiPriority="70"/>
    <w:lsdException w:name="toc 7" w:uiPriority="39" w:semiHidden="1" w:unhideWhenUsed="1"/>
    <w:lsdException w:name="Intense Quote" w:uiPriority="30" w:qFormat="1"/>
    <w:lsdException w:name="Strong" w:uiPriority="22" w:qFormat="1"/>
    <w:lsdException w:name="Dark List Accent 5" w:uiPriority="70"/>
    <w:lsdException w:name="table of figures" w:semiHidden="1" w:unhideWhenUsed="1"/>
    <w:lsdException w:name="Balloon Text" w:semiHidden="1" w:unhideWhenUsed="1"/>
    <w:lsdException w:name="No Spacing" w:semiHidden="1" w:unhideWhenUsed="1"/>
    <w:lsdException w:name="List Table 1 Light Accent 1" w:uiPriority="46"/>
    <w:lsdException w:name="Body Text First Indent 2" w:semiHidden="1" w:unhideWhenUsed="1"/>
    <w:lsdException w:name="toc 1" w:uiPriority="39" w:unhideWhenUsed="1" w:qFormat="1"/>
    <w:lsdException w:name="Normal (Web)" w:semiHidden="1" w:unhideWhenUsed="1"/>
    <w:lsdException w:name="List 4" w:semiHidden="1" w:unhideWhenUsed="1"/>
    <w:lsdException w:name="HTML Typewriter" w:semiHidden="1" w:unhideWhenUsed="1"/>
    <w:lsdException w:name="Table Simple 3" w:semiHidden="1" w:unhideWhenUsed="1"/>
    <w:lsdException w:name="Grid Table 5 Dark" w:uiPriority="50"/>
    <w:lsdException w:name="Grid Table 7 Colorful Accent 3" w:uiPriority="52"/>
    <w:lsdException w:name="Table Elegant" w:semiHidden="1" w:unhideWhenUsed="1"/>
    <w:lsdException w:name="Light Shading Accent 2" w:uiPriority="60"/>
    <w:lsdException w:name="List Table 4 Accent 4" w:uiPriority="49"/>
    <w:lsdException w:name="Medium List 1 Accent 3" w:uiPriority="65"/>
    <w:lsdException w:name="Salutation" w:semiHidden="1" w:unhideWhenUsed="1"/>
    <w:lsdException w:name="Document Map" w:semiHidden="1" w:unhideWhenUsed="1"/>
    <w:lsdException w:name="Medium Grid 1" w:uiPriority="67"/>
    <w:lsdException w:name="HTML Acronym" w:semiHidden="1" w:unhideWhenUsed="1"/>
    <w:lsdException w:name="Medium Grid 1 Accent 4" w:uiPriority="67"/>
    <w:lsdException w:name="List Table 6 Colorful Accent 3" w:uiPriority="51"/>
    <w:lsdException w:name="Medium Shading 2 Accent 1" w:uiPriority="64"/>
    <w:lsdException w:name="Smart Hyperlink" w:semiHidden="1" w:unhideWhenUsed="1"/>
    <w:lsdException w:name="Plain Table 2" w:uiPriority="42"/>
    <w:lsdException w:name="Medium Grid 2 Accent 3" w:uiPriority="68"/>
    <w:lsdException w:name="envelope return" w:semiHidden="1" w:unhideWhenUsed="1"/>
    <w:lsdException w:name="Table Classic 2" w:semiHidden="1" w:unhideWhenUsed="1"/>
    <w:lsdException w:name="Grid Table 5 Dark Accent 5" w:uiPriority="50"/>
  </w:latentStyles>
  <w:style w:type="paragraph" w:styleId="000006">
    <w:name w:val="footer"/>
    <w:basedOn w:val="000013"/>
    <w:link w:val="00002a"/>
    <w:uiPriority w:val="99"/>
    <w:unhideWhenUsed w:val="1"/>
    <w:qFormat w:val="1"/>
    <w:pPr>
      <w:tabs>
        <w:tab w:val="center" w:pos="4153"/>
        <w:tab w:val="right" w:pos="8306"/>
      </w:tabs>
      <w:snapToGrid w:val="0"/>
      <w:jc w:val="left"/>
    </w:pPr>
    <w:rPr>
      <w:sz w:val="18"/>
      <w:szCs w:val="18"/>
    </w:rPr>
  </w:style>
  <w:style w:type="paragraph" w:styleId="000031">
    <w:name w:val="Title"/>
    <w:basedOn w:val="000013"/>
    <w:next w:val="000013"/>
    <w:link w:val="000032"/>
    <w:uiPriority w:val="10"/>
    <w:qFormat w:val="1"/>
    <w:pPr>
      <w:spacing w:before="50" w:beforeLines="50" w:after="50" w:afterLines="50"/>
      <w:contextualSpacing w:val="1"/>
      <w:jc w:val="center"/>
    </w:pPr>
    <w:rPr>
      <w:rFonts w:eastAsia="黑体" w:cstheme="majorBidi"/>
      <w:color w:val="000000" w:themeColor="text1"/>
      <w:spacing w:val="-10"/>
      <w:kern w:val="28"/>
      <w:szCs w:val="56"/>
    </w:rPr>
  </w:style>
  <w:style w:type="character" w:styleId="000039" w:customStyle="1">
    <w:name w:val="明显强调1"/>
    <w:basedOn w:val="000026"/>
    <w:uiPriority w:val="21"/>
    <w:qFormat w:val="1"/>
    <w:rPr>
      <w:i w:val="1"/>
      <w:iCs w:val="1"/>
      <w:color w:val="0F4761" w:themeColor="accent1" w:themeShade="BF"/>
    </w:rPr>
  </w:style>
  <w:style w:type="character" w:styleId="00001f" w:customStyle="1">
    <w:name w:val="标题 6 字符"/>
    <w:basedOn w:val="000026"/>
    <w:link w:val="00001e"/>
    <w:uiPriority w:val="9"/>
    <w:semiHidden w:val="1"/>
    <w:qFormat w:val="1"/>
    <w:rPr>
      <w:rFonts w:cstheme="majorBidi"/>
      <w:b w:val="1"/>
      <w:bCs w:val="1"/>
      <w:color w:val="0F4761" w:themeColor="accent1" w:themeShade="BF"/>
    </w:rPr>
  </w:style>
  <w:style w:type="paragraph" w:styleId="00003d" w:customStyle="1">
    <w:name w:val="TOC 标题1"/>
    <w:basedOn w:val="000014"/>
    <w:next w:val="000013"/>
    <w:uiPriority w:val="39"/>
    <w:unhideWhenUsed w:val="1"/>
    <w:qFormat w:val="1"/>
    <w:pPr>
      <w:widowControl w:val="1"/>
      <w:spacing w:before="240" w:beforeLines="0" w:after="0" w:afterLines="0" w:line="259" w:lineRule="auto"/>
      <w:jc w:val="left"/>
      <w:outlineLvl w:val="9"/>
    </w:pPr>
    <w:rPr>
      <w:rFonts w:asciiTheme="majorHAnsi" w:hAnsiTheme="majorHAnsi" w:eastAsiaTheme="majorEastAsia"/>
      <w:color w:val="0F4761" w:themeColor="accent1" w:themeShade="BF"/>
      <w:kern w:val="0"/>
      <w:szCs w:val="32"/>
    </w:rPr>
  </w:style>
  <w:style w:type="character" w:styleId="000026" w:default="1">
    <w:name w:val="Default Paragraph Font"/>
    <w:uiPriority w:val="1"/>
    <w:semiHidden w:val="1"/>
    <w:unhideWhenUsed w:val="1"/>
  </w:style>
  <w:style w:type="character" w:styleId="00003b" w:customStyle="1">
    <w:name w:val="明显引用 字符"/>
    <w:basedOn w:val="000026"/>
    <w:link w:val="00003a"/>
    <w:uiPriority w:val="30"/>
    <w:qFormat w:val="1"/>
    <w:rPr>
      <w:i w:val="1"/>
      <w:iCs w:val="1"/>
      <w:color w:val="0F4761" w:themeColor="accent1" w:themeShade="BF"/>
    </w:rPr>
  </w:style>
  <w:style w:type="character" w:styleId="000023" w:customStyle="1">
    <w:name w:val="标题 8 字符"/>
    <w:basedOn w:val="000026"/>
    <w:link w:val="000022"/>
    <w:uiPriority w:val="9"/>
    <w:semiHidden w:val="1"/>
    <w:qFormat w:val="1"/>
    <w:rPr>
      <w:rFonts w:cstheme="majorBidi"/>
      <w:color w:val="595959" w:themeColor="text1" w:themeTint="A6"/>
    </w:rPr>
  </w:style>
  <w:style w:type="character" w:styleId="000025" w:customStyle="1">
    <w:name w:val="标题 9 字符"/>
    <w:basedOn w:val="000026"/>
    <w:link w:val="000024"/>
    <w:uiPriority w:val="9"/>
    <w:semiHidden w:val="1"/>
    <w:qFormat w:val="1"/>
    <w:rPr>
      <w:rFonts w:eastAsiaTheme="majorEastAsia" w:cstheme="majorBidi"/>
      <w:color w:val="595959" w:themeColor="text1" w:themeTint="A6"/>
    </w:rPr>
  </w:style>
  <w:style w:type="character" w:styleId="000021" w:customStyle="1">
    <w:name w:val="标题 7 字符"/>
    <w:basedOn w:val="000026"/>
    <w:link w:val="000020"/>
    <w:uiPriority w:val="9"/>
    <w:semiHidden w:val="1"/>
    <w:qFormat w:val="1"/>
    <w:rPr>
      <w:rFonts w:cstheme="majorBidi"/>
      <w:b w:val="1"/>
      <w:bCs w:val="1"/>
      <w:color w:val="595959" w:themeColor="text1" w:themeTint="A6"/>
    </w:rPr>
  </w:style>
  <w:style w:type="paragraph" w:styleId="000002">
    <w:name w:val="header"/>
    <w:basedOn w:val="000013"/>
    <w:link w:val="00002b"/>
    <w:uiPriority w:val="99"/>
    <w:unhideWhenUsed w:val="1"/>
    <w:qFormat w:val="1"/>
    <w:pPr>
      <w:tabs>
        <w:tab w:val="center" w:pos="4153"/>
        <w:tab w:val="right" w:pos="8306"/>
      </w:tabs>
      <w:snapToGrid w:val="0"/>
      <w:jc w:val="center"/>
    </w:pPr>
    <w:rPr>
      <w:sz w:val="18"/>
      <w:szCs w:val="18"/>
    </w:rPr>
  </w:style>
  <w:style w:type="paragraph" w:styleId="000036">
    <w:name w:val="Quote"/>
    <w:basedOn w:val="000013"/>
    <w:next w:val="000013"/>
    <w:link w:val="000037"/>
    <w:uiPriority w:val="29"/>
    <w:qFormat w:val="1"/>
    <w:pPr>
      <w:spacing w:before="160" w:after="160"/>
      <w:jc w:val="center"/>
    </w:pPr>
    <w:rPr>
      <w:i w:val="1"/>
      <w:iCs w:val="1"/>
      <w:color w:val="404040" w:themeColor="text1" w:themeTint="BF"/>
    </w:rPr>
  </w:style>
  <w:style w:type="paragraph" w:styleId="000029">
    <w:name w:val="toc 3"/>
    <w:basedOn w:val="000013"/>
    <w:next w:val="000013"/>
    <w:autoRedefine w:val="1"/>
    <w:uiPriority w:val="39"/>
    <w:unhideWhenUsed w:val="1"/>
    <w:qFormat w:val="1"/>
    <w:pPr>
      <w:ind w:left="200" w:leftChars="200" w:firstLine="0" w:firstLineChars="0"/>
    </w:pPr>
  </w:style>
  <w:style w:type="character" w:styleId="000034">
    <w:name w:val="Strong"/>
    <w:basedOn w:val="000026"/>
    <w:uiPriority w:val="22"/>
    <w:qFormat w:val="1"/>
    <w:rPr>
      <w:b w:val="1"/>
      <w:bCs w:val="1"/>
    </w:rPr>
  </w:style>
  <w:style w:type="character" w:styleId="000032" w:customStyle="1">
    <w:name w:val="标题 字符"/>
    <w:basedOn w:val="000026"/>
    <w:link w:val="000031"/>
    <w:uiPriority w:val="10"/>
    <w:qFormat w:val="1"/>
    <w:rPr>
      <w:rFonts w:ascii="Times New Roman" w:hAnsi="Times New Roman" w:eastAsia="黑体" w:cstheme="majorBidi"/>
      <w:color w:val="000000" w:themeColor="text1"/>
      <w:spacing w:val="-10"/>
      <w:kern w:val="28"/>
      <w:sz w:val="24"/>
      <w:szCs w:val="56"/>
    </w:rPr>
  </w:style>
  <w:style w:type="paragraph" w:styleId="000038">
    <w:name w:val="List Paragraph"/>
    <w:basedOn w:val="000013"/>
    <w:uiPriority w:val="34"/>
    <w:qFormat w:val="1"/>
    <w:pPr>
      <w:ind w:left="720"/>
      <w:contextualSpacing w:val="1"/>
    </w:pPr>
  </w:style>
  <w:style w:type="paragraph" w:styleId="00001a">
    <w:name w:val="heading 4"/>
    <w:basedOn w:val="000013"/>
    <w:next w:val="000013"/>
    <w:link w:val="00001b"/>
    <w:uiPriority w:val="9"/>
    <w:unhideWhenUsed w:val="1"/>
    <w:qFormat w:val="1"/>
    <w:pPr>
      <w:keepNext w:val="1"/>
      <w:keepLines w:val="1"/>
      <w:spacing w:before="50" w:beforeLines="50" w:after="50" w:afterLines="50"/>
      <w:outlineLvl w:val="3"/>
    </w:pPr>
    <w:rPr>
      <w:rFonts w:cstheme="majorBidi"/>
      <w:b w:val="1"/>
      <w:color w:val="000000" w:themeColor="text1"/>
      <w:szCs w:val="28"/>
    </w:rPr>
  </w:style>
  <w:style w:type="character" w:styleId="000035">
    <w:name w:val="Hyperlink"/>
    <w:basedOn w:val="000026"/>
    <w:uiPriority w:val="99"/>
    <w:unhideWhenUsed w:val="1"/>
    <w:qFormat w:val="1"/>
    <w:rPr>
      <w:color w:val="467886" w:themeColor="hyperlink"/>
      <w:u w:val="single"/>
    </w:rPr>
  </w:style>
  <w:style w:type="character" w:styleId="00003c" w:customStyle="1">
    <w:name w:val="明显参考1"/>
    <w:basedOn w:val="000026"/>
    <w:uiPriority w:val="32"/>
    <w:qFormat w:val="1"/>
    <w:rPr>
      <w:b w:val="1"/>
      <w:bCs w:val="1"/>
      <w:smallCaps w:val="1"/>
      <w:color w:val="0F4761" w:themeColor="accent1" w:themeShade="BF"/>
      <w:spacing w:val="5"/>
    </w:rPr>
  </w:style>
  <w:style w:type="paragraph" w:styleId="000024">
    <w:name w:val="heading 9"/>
    <w:basedOn w:val="000013"/>
    <w:next w:val="000013"/>
    <w:link w:val="000025"/>
    <w:uiPriority w:val="9"/>
    <w:semiHidden w:val="1"/>
    <w:unhideWhenUsed w:val="1"/>
    <w:qFormat w:val="1"/>
    <w:pPr>
      <w:keepNext w:val="1"/>
      <w:keepLines w:val="1"/>
      <w:outlineLvl w:val="8"/>
    </w:pPr>
    <w:rPr>
      <w:rFonts w:eastAsiaTheme="majorEastAsia" w:cstheme="majorBidi"/>
      <w:color w:val="595959" w:themeColor="text1" w:themeTint="A6"/>
    </w:rPr>
  </w:style>
  <w:style w:type="paragraph" w:styleId="000014">
    <w:name w:val="heading 1"/>
    <w:basedOn w:val="000013"/>
    <w:next w:val="000013"/>
    <w:link w:val="000015"/>
    <w:uiPriority w:val="9"/>
    <w:qFormat w:val="1"/>
    <w:pPr>
      <w:keepNext w:val="1"/>
      <w:keepLines w:val="1"/>
      <w:spacing w:before="50" w:beforeLines="50" w:after="50" w:afterLines="50"/>
      <w:ind w:firstLine="0" w:firstLineChars="0"/>
      <w:outlineLvl w:val="0"/>
    </w:pPr>
    <w:rPr>
      <w:rFonts w:eastAsia="黑体" w:cstheme="majorBidi"/>
      <w:color w:val="000000" w:themeColor="text1"/>
      <w:sz w:val="32"/>
      <w:szCs w:val="48"/>
    </w:rPr>
  </w:style>
  <w:style w:type="paragraph" w:styleId="000020">
    <w:name w:val="heading 7"/>
    <w:basedOn w:val="000013"/>
    <w:next w:val="000013"/>
    <w:link w:val="000021"/>
    <w:uiPriority w:val="9"/>
    <w:semiHidden w:val="1"/>
    <w:unhideWhenUsed w:val="1"/>
    <w:qFormat w:val="1"/>
    <w:pPr>
      <w:keepNext w:val="1"/>
      <w:keepLines w:val="1"/>
      <w:spacing w:before="40"/>
      <w:outlineLvl w:val="6"/>
    </w:pPr>
    <w:rPr>
      <w:rFonts w:cstheme="majorBidi"/>
      <w:b w:val="1"/>
      <w:bCs w:val="1"/>
      <w:color w:val="595959" w:themeColor="text1" w:themeTint="A6"/>
    </w:rPr>
  </w:style>
  <w:style w:type="numbering" w:styleId="000028" w:default="1">
    <w:name w:val="No List"/>
    <w:uiPriority w:val="99"/>
    <w:semiHidden w:val="1"/>
    <w:unhideWhenUsed w:val="1"/>
  </w:style>
  <w:style w:type="paragraph" w:styleId="000013" w:default="1">
    <w:name w:val="Normal"/>
    <w:qFormat w:val="1"/>
    <w:pPr>
      <w:widowControl w:val="0"/>
      <w:ind w:firstLine="200" w:firstLineChars="200"/>
      <w:jc w:val="both"/>
    </w:pPr>
    <w:rPr>
      <w:rFonts w:cstheme="minorBidi"/>
      <w:kern w:val="2"/>
      <w:sz w:val="24"/>
      <w:szCs w:val="22"/>
    </w:rPr>
  </w:style>
  <w:style w:type="character" w:styleId="000017" w:customStyle="1">
    <w:name w:val="标题 2 字符"/>
    <w:basedOn w:val="000026"/>
    <w:link w:val="000016"/>
    <w:uiPriority w:val="9"/>
    <w:qFormat w:val="1"/>
    <w:rPr>
      <w:rFonts w:ascii="Times New Roman" w:hAnsi="Times New Roman" w:eastAsia="宋体" w:cstheme="majorBidi"/>
      <w:b w:val="1"/>
      <w:color w:val="000000" w:themeColor="text1"/>
      <w:sz w:val="28"/>
      <w:szCs w:val="40"/>
    </w:rPr>
  </w:style>
  <w:style w:type="paragraph" w:styleId="000022">
    <w:name w:val="heading 8"/>
    <w:basedOn w:val="000013"/>
    <w:next w:val="000013"/>
    <w:link w:val="000023"/>
    <w:uiPriority w:val="9"/>
    <w:semiHidden w:val="1"/>
    <w:unhideWhenUsed w:val="1"/>
    <w:qFormat w:val="1"/>
    <w:pPr>
      <w:keepNext w:val="1"/>
      <w:keepLines w:val="1"/>
      <w:outlineLvl w:val="7"/>
    </w:pPr>
    <w:rPr>
      <w:rFonts w:cstheme="majorBidi"/>
      <w:color w:val="595959" w:themeColor="text1" w:themeTint="A6"/>
    </w:rPr>
  </w:style>
  <w:style w:type="table" w:styleId="000033">
    <w:name w:val="Table Grid"/>
    <w:basedOn w:val="000027"/>
    <w:uiPriority w:val="39"/>
    <w:qFormat w:val="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5" w:customStyle="1">
    <w:name w:val="标题 1 字符"/>
    <w:basedOn w:val="000026"/>
    <w:link w:val="000014"/>
    <w:uiPriority w:val="9"/>
    <w:rPr>
      <w:rFonts w:ascii="Times New Roman" w:hAnsi="Times New Roman" w:eastAsia="黑体" w:cstheme="majorBidi"/>
      <w:color w:val="000000" w:themeColor="text1"/>
      <w:sz w:val="32"/>
      <w:szCs w:val="48"/>
    </w:rPr>
  </w:style>
  <w:style w:type="character" w:styleId="000037" w:customStyle="1">
    <w:name w:val="引用 字符"/>
    <w:basedOn w:val="000026"/>
    <w:link w:val="000036"/>
    <w:uiPriority w:val="29"/>
    <w:qFormat w:val="1"/>
    <w:rPr>
      <w:i w:val="1"/>
      <w:iCs w:val="1"/>
      <w:color w:val="404040" w:themeColor="text1" w:themeTint="BF"/>
    </w:rPr>
  </w:style>
  <w:style w:type="paragraph" w:styleId="000030">
    <w:name w:val="Normal (Web)"/>
    <w:basedOn w:val="000013"/>
    <w:uiPriority w:val="99"/>
    <w:semiHidden w:val="1"/>
    <w:unhideWhenUsed w:val="1"/>
  </w:style>
  <w:style w:type="paragraph" w:styleId="00002f">
    <w:name w:val="toc 2"/>
    <w:basedOn w:val="000013"/>
    <w:next w:val="000013"/>
    <w:autoRedefine w:val="1"/>
    <w:uiPriority w:val="39"/>
    <w:unhideWhenUsed w:val="1"/>
    <w:qFormat w:val="1"/>
    <w:pPr>
      <w:ind w:firstLine="0" w:firstLineChars="0"/>
    </w:pPr>
    <w:rPr>
      <w:rFonts w:eastAsia="楷体"/>
    </w:rPr>
  </w:style>
  <w:style w:type="table" w:styleId="000027" w:default="1">
    <w:name w:val="Normal Table"/>
    <w:uiPriority w:val="99"/>
    <w:semiHidden w:val="1"/>
    <w:unhideWhenUsed w:val="1"/>
    <w:tblPr>
      <w:tblInd w:w="0" w:type="dxa"/>
      <w:tblCellMar>
        <w:top w:w="0" w:type="dxa"/>
        <w:left w:w="108" w:type="dxa"/>
        <w:bottom w:w="0" w:type="dxa"/>
        <w:right w:w="108" w:type="dxa"/>
      </w:tblCellMar>
    </w:tblPr>
  </w:style>
  <w:style w:type="paragraph" w:styleId="00002c">
    <w:name w:val="toc 1"/>
    <w:basedOn w:val="000013"/>
    <w:next w:val="000013"/>
    <w:autoRedefine w:val="1"/>
    <w:uiPriority w:val="39"/>
    <w:unhideWhenUsed w:val="1"/>
    <w:qFormat w:val="1"/>
    <w:pPr>
      <w:ind w:firstLine="0" w:firstLineChars="0"/>
    </w:pPr>
    <w:rPr>
      <w:rFonts w:eastAsia="黑体"/>
    </w:rPr>
  </w:style>
  <w:style w:type="paragraph" w:styleId="000016">
    <w:name w:val="heading 2"/>
    <w:basedOn w:val="000013"/>
    <w:next w:val="000013"/>
    <w:link w:val="000017"/>
    <w:uiPriority w:val="9"/>
    <w:unhideWhenUsed w:val="1"/>
    <w:qFormat w:val="1"/>
    <w:pPr>
      <w:keepNext w:val="1"/>
      <w:keepLines w:val="1"/>
      <w:spacing w:before="50" w:beforeLines="50" w:after="50" w:afterLines="50"/>
      <w:outlineLvl w:val="1"/>
    </w:pPr>
    <w:rPr>
      <w:rFonts w:cstheme="majorBidi"/>
      <w:b w:val="1"/>
      <w:color w:val="000000" w:themeColor="text1"/>
      <w:sz w:val="28"/>
      <w:szCs w:val="40"/>
    </w:rPr>
  </w:style>
  <w:style w:type="character" w:styleId="00002a" w:customStyle="1">
    <w:name w:val="页脚 字符"/>
    <w:basedOn w:val="000026"/>
    <w:link w:val="000006"/>
    <w:uiPriority w:val="99"/>
    <w:qFormat w:val="1"/>
    <w:rPr>
      <w:sz w:val="18"/>
      <w:szCs w:val="18"/>
    </w:rPr>
  </w:style>
  <w:style w:type="character" w:styleId="00002e" w:customStyle="1">
    <w:name w:val="副标题 字符"/>
    <w:basedOn w:val="000026"/>
    <w:link w:val="00002d"/>
    <w:uiPriority w:val="11"/>
    <w:qFormat w:val="1"/>
    <w:rPr>
      <w:rFonts w:ascii="Times New Roman" w:hAnsi="Times New Roman" w:eastAsia="宋体" w:cstheme="majorBidi"/>
      <w:b w:val="1"/>
      <w:color w:val="000000" w:themeColor="text1"/>
      <w:spacing w:val="15"/>
      <w:sz w:val="24"/>
      <w:szCs w:val="28"/>
    </w:rPr>
  </w:style>
  <w:style w:type="character" w:styleId="00001b" w:customStyle="1">
    <w:name w:val="标题 4 字符"/>
    <w:basedOn w:val="000026"/>
    <w:link w:val="00001a"/>
    <w:uiPriority w:val="9"/>
    <w:rPr>
      <w:rFonts w:ascii="Times New Roman" w:hAnsi="Times New Roman" w:eastAsia="宋体" w:cstheme="majorBidi"/>
      <w:b w:val="1"/>
      <w:color w:val="000000" w:themeColor="text1"/>
      <w:sz w:val="24"/>
      <w:szCs w:val="28"/>
    </w:rPr>
  </w:style>
  <w:style w:type="paragraph" w:styleId="000018">
    <w:name w:val="heading 3"/>
    <w:basedOn w:val="000013"/>
    <w:next w:val="000013"/>
    <w:link w:val="000019"/>
    <w:uiPriority w:val="9"/>
    <w:unhideWhenUsed w:val="1"/>
    <w:qFormat w:val="1"/>
    <w:pPr>
      <w:keepNext w:val="1"/>
      <w:keepLines w:val="1"/>
      <w:spacing w:before="50" w:beforeLines="50" w:after="50" w:afterLines="50"/>
      <w:outlineLvl w:val="2"/>
    </w:pPr>
    <w:rPr>
      <w:rFonts w:eastAsia="黑体" w:cstheme="majorBidi"/>
      <w:color w:val="000000" w:themeColor="text1"/>
      <w:szCs w:val="32"/>
    </w:rPr>
  </w:style>
  <w:style w:type="paragraph" w:styleId="00002d">
    <w:name w:val="Subtitle"/>
    <w:basedOn w:val="000013"/>
    <w:next w:val="000013"/>
    <w:link w:val="00002e"/>
    <w:uiPriority w:val="11"/>
    <w:qFormat w:val="1"/>
    <w:pPr>
      <w:spacing w:before="50" w:beforeLines="50" w:after="50" w:afterLines="50"/>
      <w:jc w:val="center"/>
    </w:pPr>
    <w:rPr>
      <w:rFonts w:cstheme="majorBidi"/>
      <w:b w:val="1"/>
      <w:color w:val="000000" w:themeColor="text1"/>
      <w:spacing w:val="15"/>
      <w:szCs w:val="28"/>
    </w:rPr>
  </w:style>
  <w:style w:type="character" w:styleId="000019" w:customStyle="1">
    <w:name w:val="标题 3 字符"/>
    <w:basedOn w:val="000026"/>
    <w:link w:val="000018"/>
    <w:uiPriority w:val="9"/>
    <w:qFormat w:val="1"/>
    <w:rPr>
      <w:rFonts w:ascii="Times New Roman" w:hAnsi="Times New Roman" w:eastAsia="黑体" w:cstheme="majorBidi"/>
      <w:color w:val="000000" w:themeColor="text1"/>
      <w:sz w:val="24"/>
      <w:szCs w:val="32"/>
    </w:rPr>
  </w:style>
  <w:style w:type="character" w:styleId="00001d" w:customStyle="1">
    <w:name w:val="标题 5 字符"/>
    <w:basedOn w:val="000026"/>
    <w:link w:val="00001c"/>
    <w:uiPriority w:val="9"/>
    <w:semiHidden w:val="1"/>
    <w:qFormat w:val="1"/>
    <w:rPr>
      <w:rFonts w:cstheme="majorBidi"/>
      <w:color w:val="0F4761" w:themeColor="accent1" w:themeShade="BF"/>
      <w:sz w:val="24"/>
      <w:szCs w:val="24"/>
    </w:rPr>
  </w:style>
  <w:style w:type="paragraph" w:styleId="00001c">
    <w:name w:val="heading 5"/>
    <w:basedOn w:val="000013"/>
    <w:next w:val="000013"/>
    <w:link w:val="00001d"/>
    <w:uiPriority w:val="9"/>
    <w:semiHidden w:val="1"/>
    <w:unhideWhenUsed w:val="1"/>
    <w:qFormat w:val="1"/>
    <w:pPr>
      <w:keepNext w:val="1"/>
      <w:keepLines w:val="1"/>
      <w:spacing w:before="80" w:after="40"/>
      <w:outlineLvl w:val="4"/>
    </w:pPr>
    <w:rPr>
      <w:rFonts w:cstheme="majorBidi"/>
      <w:color w:val="0F4761" w:themeColor="accent1" w:themeShade="BF"/>
      <w:szCs w:val="24"/>
    </w:rPr>
  </w:style>
  <w:style w:type="character" w:styleId="00002b" w:customStyle="1">
    <w:name w:val="页眉 字符"/>
    <w:basedOn w:val="000026"/>
    <w:link w:val="000002"/>
    <w:uiPriority w:val="99"/>
    <w:qFormat w:val="1"/>
    <w:rPr>
      <w:sz w:val="18"/>
      <w:szCs w:val="18"/>
    </w:rPr>
  </w:style>
  <w:style w:type="paragraph" w:styleId="00001e">
    <w:name w:val="heading 6"/>
    <w:basedOn w:val="000013"/>
    <w:next w:val="000013"/>
    <w:link w:val="00001f"/>
    <w:uiPriority w:val="9"/>
    <w:semiHidden w:val="1"/>
    <w:unhideWhenUsed w:val="1"/>
    <w:qFormat w:val="1"/>
    <w:pPr>
      <w:keepNext w:val="1"/>
      <w:keepLines w:val="1"/>
      <w:spacing w:before="40"/>
      <w:outlineLvl w:val="5"/>
    </w:pPr>
    <w:rPr>
      <w:rFonts w:cstheme="majorBidi"/>
      <w:b w:val="1"/>
      <w:bCs w:val="1"/>
      <w:color w:val="0F4761" w:themeColor="accent1" w:themeShade="BF"/>
    </w:rPr>
  </w:style>
  <w:style w:type="paragraph" w:styleId="00003a">
    <w:name w:val="Intense Quote"/>
    <w:basedOn w:val="000013"/>
    <w:next w:val="000013"/>
    <w:link w:val="00003b"/>
    <w:uiPriority w:val="30"/>
    <w:qFormat w:val="1"/>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s>
</file>

<file path=word/_rels/document.xml.rels><?xml version="1.0" encoding="UTF-8" standalone="yes"?><Relationships xmlns="http://schemas.openxmlformats.org/package/2006/relationships"><Relationship Id="rId12" Type="http://schemas.openxmlformats.org/officeDocument/2006/relationships/footer" Target="footer1.xml" /><Relationship Id="rId0" Type="http://schemas.openxmlformats.org/officeDocument/2006/relationships/styles" Target="styles.xml" /><Relationship Id="rId13" Type="http://schemas.openxmlformats.org/officeDocument/2006/relationships/footer" Target="footer2.xml" /><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image" Target="media/image1.png" /><Relationship Id="rId2" Type="http://schemas.openxmlformats.org/officeDocument/2006/relationships/footnotes" Target="footnotes.xml" /><Relationship Id="rId3" Type="http://schemas.openxmlformats.org/officeDocument/2006/relationships/endnotes" Target="endnotes.xml" /><Relationship Id="rId9" Type="http://schemas.openxmlformats.org/officeDocument/2006/relationships/header" Target="header1.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comments" Target="comments.xml" /><Relationship Id="rId8" Type="http://schemas.microsoft.com/office/2011/relationships/commentsExtended" Target="commentsExtended.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2026-09-23T17:42:02Z</dcterms:created>
  <dcterms:modified xsi:type="dcterms:W3CDTF">2026-09-23T17:42:02Z</dcterms:modified>
</cp:coreProperties>
</file>