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5325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eastAsia" w:ascii="方正公文楷体" w:hAnsi="方正公文楷体" w:eastAsia="方正公文楷体" w:cs="方正公文楷体"/>
          <w:sz w:val="44"/>
          <w:szCs w:val="44"/>
          <w:lang w:val="en-US" w:eastAsia="zh-CN"/>
        </w:rPr>
      </w:pPr>
      <w:r>
        <w:rPr>
          <w:rFonts w:hint="eastAsia" w:ascii="方正公文楷体" w:hAnsi="方正公文楷体" w:eastAsia="方正公文楷体" w:cs="方正公文楷体"/>
          <w:sz w:val="44"/>
          <w:szCs w:val="44"/>
        </w:rPr>
        <w:t>黄骅市土壤普查</w:t>
      </w:r>
      <w:r>
        <w:rPr>
          <w:rFonts w:hint="eastAsia" w:ascii="方正公文楷体" w:hAnsi="方正公文楷体" w:eastAsia="方正公文楷体" w:cs="方正公文楷体"/>
          <w:sz w:val="44"/>
          <w:szCs w:val="44"/>
          <w:lang w:val="en-US" w:eastAsia="zh-CN"/>
        </w:rPr>
        <w:t>总体</w:t>
      </w:r>
      <w:r>
        <w:rPr>
          <w:rFonts w:hint="eastAsia" w:ascii="方正公文楷体" w:hAnsi="方正公文楷体" w:eastAsia="方正公文楷体" w:cs="方正公文楷体"/>
          <w:sz w:val="44"/>
          <w:szCs w:val="44"/>
        </w:rPr>
        <w:t>报告质控</w:t>
      </w:r>
      <w:r>
        <w:rPr>
          <w:rFonts w:hint="eastAsia" w:ascii="方正公文楷体" w:hAnsi="方正公文楷体" w:eastAsia="方正公文楷体" w:cs="方正公文楷体"/>
          <w:sz w:val="44"/>
          <w:szCs w:val="44"/>
          <w:lang w:val="en-US" w:eastAsia="zh-CN"/>
        </w:rPr>
        <w:t>意见</w:t>
      </w:r>
    </w:p>
    <w:p w14:paraId="004ECAD6">
      <w:pPr>
        <w:rPr>
          <w:rFonts w:hint="default" w:ascii="方正公文楷体" w:hAnsi="方正公文楷体" w:eastAsia="方正公文楷体" w:cs="方正公文楷体"/>
          <w:kern w:val="0"/>
          <w:sz w:val="44"/>
          <w:szCs w:val="44"/>
          <w:lang w:val="en-US" w:eastAsia="zh-CN" w:bidi="ar"/>
        </w:rPr>
      </w:pPr>
    </w:p>
    <w:p w14:paraId="46309036">
      <w:pPr>
        <w:numPr>
          <w:ilvl w:val="0"/>
          <w:numId w:val="1"/>
        </w:numPr>
        <w:rPr>
          <w:rFonts w:hint="eastAsia" w:ascii="方正公文楷体" w:hAnsi="方正公文楷体" w:eastAsia="方正公文楷体" w:cs="方正公文楷体"/>
          <w:sz w:val="32"/>
          <w:szCs w:val="32"/>
          <w:lang w:val="en-US" w:eastAsia="zh-CN"/>
        </w:rPr>
      </w:pPr>
      <w:r>
        <w:rPr>
          <w:rFonts w:hint="eastAsia" w:ascii="方正公文楷体" w:hAnsi="方正公文楷体" w:eastAsia="方正公文楷体" w:cs="方正公文楷体"/>
          <w:sz w:val="32"/>
          <w:szCs w:val="32"/>
          <w:lang w:val="en-US" w:eastAsia="zh-CN"/>
        </w:rPr>
        <w:t>目录字体未统一，是否符合规范</w:t>
      </w:r>
    </w:p>
    <w:p w14:paraId="55B630F2">
      <w:pPr>
        <w:numPr>
          <w:numId w:val="0"/>
        </w:numPr>
        <w:rPr>
          <w:rFonts w:hint="eastAsia" w:ascii="方正公文楷体" w:hAnsi="方正公文楷体" w:eastAsia="方正公文楷体" w:cs="方正公文楷体"/>
          <w:sz w:val="32"/>
          <w:szCs w:val="32"/>
          <w:lang w:val="en-US" w:eastAsia="zh-CN"/>
        </w:rPr>
      </w:pPr>
      <w:r>
        <w:rPr>
          <w:rFonts w:hint="eastAsia" w:ascii="方正公文楷体" w:hAnsi="方正公文楷体" w:eastAsia="方正公文楷体" w:cs="方正公文楷体"/>
          <w:sz w:val="32"/>
          <w:szCs w:val="32"/>
          <w:lang w:val="en-US" w:eastAsia="zh-CN"/>
        </w:rPr>
        <w:drawing>
          <wp:inline distT="0" distB="0" distL="114300" distR="114300">
            <wp:extent cx="5269865" cy="5139690"/>
            <wp:effectExtent l="0" t="0" r="6985" b="3810"/>
            <wp:docPr id="1" name="图片 1" descr="2a89dacc-5511-4055-9caf-aff0616bda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a89dacc-5511-4055-9caf-aff0616bdac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FFAF">
      <w:pPr>
        <w:numPr>
          <w:numId w:val="0"/>
        </w:numPr>
        <w:rPr>
          <w:rFonts w:hint="eastAsia" w:ascii="方正公文楷体" w:hAnsi="方正公文楷体" w:eastAsia="方正公文楷体" w:cs="方正公文楷体"/>
          <w:sz w:val="32"/>
          <w:szCs w:val="32"/>
          <w:lang w:val="en-US" w:eastAsia="zh-CN"/>
        </w:rPr>
      </w:pPr>
    </w:p>
    <w:p w14:paraId="41C3B6F2">
      <w:pPr>
        <w:numPr>
          <w:numId w:val="0"/>
        </w:numPr>
        <w:rPr>
          <w:rFonts w:hint="eastAsia" w:ascii="方正公文楷体" w:hAnsi="方正公文楷体" w:eastAsia="方正公文楷体" w:cs="方正公文楷体"/>
          <w:sz w:val="32"/>
          <w:szCs w:val="32"/>
          <w:lang w:val="en-US" w:eastAsia="zh-CN"/>
        </w:rPr>
      </w:pPr>
    </w:p>
    <w:p w14:paraId="07BE28B5">
      <w:pPr>
        <w:numPr>
          <w:numId w:val="0"/>
        </w:numPr>
        <w:rPr>
          <w:rFonts w:hint="eastAsia" w:ascii="方正公文楷体" w:hAnsi="方正公文楷体" w:eastAsia="方正公文楷体" w:cs="方正公文楷体"/>
          <w:sz w:val="32"/>
          <w:szCs w:val="32"/>
          <w:lang w:val="en-US" w:eastAsia="zh-CN"/>
        </w:rPr>
      </w:pPr>
    </w:p>
    <w:p w14:paraId="7822249C">
      <w:pPr>
        <w:numPr>
          <w:numId w:val="0"/>
        </w:numPr>
        <w:rPr>
          <w:rFonts w:hint="eastAsia" w:ascii="方正公文楷体" w:hAnsi="方正公文楷体" w:eastAsia="方正公文楷体" w:cs="方正公文楷体"/>
          <w:sz w:val="32"/>
          <w:szCs w:val="32"/>
          <w:lang w:val="en-US" w:eastAsia="zh-CN"/>
        </w:rPr>
      </w:pPr>
    </w:p>
    <w:p w14:paraId="09426C88">
      <w:pPr>
        <w:numPr>
          <w:numId w:val="0"/>
        </w:numPr>
        <w:rPr>
          <w:rFonts w:hint="eastAsia" w:ascii="方正公文楷体" w:hAnsi="方正公文楷体" w:eastAsia="方正公文楷体" w:cs="方正公文楷体"/>
          <w:sz w:val="32"/>
          <w:szCs w:val="32"/>
          <w:lang w:val="en-US" w:eastAsia="zh-CN"/>
        </w:rPr>
      </w:pPr>
    </w:p>
    <w:p w14:paraId="4B646A3A">
      <w:pPr>
        <w:numPr>
          <w:numId w:val="0"/>
        </w:numPr>
        <w:rPr>
          <w:rFonts w:hint="eastAsia" w:ascii="方正公文楷体" w:hAnsi="方正公文楷体" w:eastAsia="方正公文楷体" w:cs="方正公文楷体"/>
          <w:sz w:val="32"/>
          <w:szCs w:val="32"/>
          <w:lang w:val="en-US" w:eastAsia="zh-CN"/>
        </w:rPr>
      </w:pPr>
    </w:p>
    <w:p w14:paraId="300922BD">
      <w:pPr>
        <w:numPr>
          <w:numId w:val="0"/>
        </w:numPr>
        <w:rPr>
          <w:rFonts w:hint="default" w:ascii="方正公文楷体" w:hAnsi="方正公文楷体" w:eastAsia="方正公文楷体" w:cs="方正公文楷体"/>
          <w:sz w:val="32"/>
          <w:szCs w:val="32"/>
          <w:lang w:val="en-US" w:eastAsia="zh-CN"/>
        </w:rPr>
      </w:pPr>
      <w:r>
        <w:rPr>
          <w:rFonts w:hint="eastAsia" w:ascii="方正公文楷体" w:hAnsi="方正公文楷体" w:eastAsia="方正公文楷体" w:cs="方正公文楷体"/>
          <w:sz w:val="32"/>
          <w:szCs w:val="32"/>
          <w:lang w:val="en-US" w:eastAsia="zh-CN"/>
        </w:rPr>
        <w:t>2、高等级耕地仅0.07％，是否符合常理。</w:t>
      </w:r>
    </w:p>
    <w:p w14:paraId="3F305D43">
      <w:pPr>
        <w:widowControl w:val="0"/>
        <w:numPr>
          <w:numId w:val="0"/>
        </w:numPr>
        <w:jc w:val="both"/>
        <w:rPr>
          <w:rFonts w:hint="default" w:ascii="方正公文楷体" w:hAnsi="方正公文楷体" w:eastAsia="方正公文楷体" w:cs="方正公文楷体"/>
          <w:sz w:val="32"/>
          <w:szCs w:val="32"/>
          <w:lang w:val="en-US" w:eastAsia="zh-CN"/>
        </w:rPr>
      </w:pPr>
      <w:r>
        <w:rPr>
          <w:rFonts w:hint="default" w:ascii="方正公文楷体" w:hAnsi="方正公文楷体" w:eastAsia="方正公文楷体" w:cs="方正公文楷体"/>
          <w:sz w:val="32"/>
          <w:szCs w:val="32"/>
          <w:lang w:val="en-US" w:eastAsia="zh-CN"/>
        </w:rPr>
        <w:drawing>
          <wp:inline distT="0" distB="0" distL="114300" distR="114300">
            <wp:extent cx="5269230" cy="2509520"/>
            <wp:effectExtent l="0" t="0" r="7620" b="5080"/>
            <wp:docPr id="2" name="图片 2" descr="f00b1310-e6d2-422f-843e-7831b0219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00b1310-e6d2-422f-843e-7831b021905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FEFE">
      <w:pPr>
        <w:numPr>
          <w:ilvl w:val="0"/>
          <w:numId w:val="0"/>
        </w:numPr>
        <w:rPr>
          <w:rFonts w:hint="default" w:ascii="方正公文楷体" w:hAnsi="方正公文楷体" w:eastAsia="方正公文楷体" w:cs="方正公文楷体"/>
          <w:sz w:val="32"/>
          <w:szCs w:val="32"/>
          <w:lang w:val="en-US" w:eastAsia="zh-CN"/>
        </w:rPr>
      </w:pPr>
      <w:r>
        <w:rPr>
          <w:rFonts w:hint="eastAsia" w:ascii="方正公文楷体" w:hAnsi="方正公文楷体" w:eastAsia="方正公文楷体" w:cs="方正公文楷体"/>
          <w:sz w:val="32"/>
          <w:szCs w:val="32"/>
          <w:lang w:val="en-US" w:eastAsia="zh-CN"/>
        </w:rPr>
        <w:t>3、黄骅市作为黄淮海平原及全国优质旱碱麦主产区，将平原大面积耕地评价为“宜林”，是否符合常理。</w:t>
      </w:r>
    </w:p>
    <w:p w14:paraId="08EC35CC">
      <w:pPr>
        <w:numPr>
          <w:ilvl w:val="0"/>
          <w:numId w:val="0"/>
        </w:numPr>
        <w:rPr>
          <w:rFonts w:hint="default" w:ascii="方正公文楷体" w:hAnsi="方正公文楷体" w:eastAsia="方正公文楷体" w:cs="方正公文楷体"/>
          <w:sz w:val="32"/>
          <w:szCs w:val="32"/>
          <w:lang w:val="en-US" w:eastAsia="zh-CN"/>
        </w:rPr>
      </w:pPr>
      <w:r>
        <w:rPr>
          <w:rFonts w:hint="default" w:ascii="方正公文楷体" w:hAnsi="方正公文楷体" w:eastAsia="方正公文楷体" w:cs="方正公文楷体"/>
          <w:sz w:val="32"/>
          <w:szCs w:val="32"/>
          <w:lang w:val="en-US" w:eastAsia="zh-CN"/>
        </w:rPr>
        <w:drawing>
          <wp:inline distT="0" distB="0" distL="114300" distR="114300">
            <wp:extent cx="5272405" cy="1238250"/>
            <wp:effectExtent l="0" t="0" r="4445" b="0"/>
            <wp:docPr id="3" name="图片 3" descr="cd04dc2f-9284-4894-a9f8-5c4910a44d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d04dc2f-9284-4894-a9f8-5c4910a44df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E821">
      <w:pPr>
        <w:numPr>
          <w:ilvl w:val="0"/>
          <w:numId w:val="2"/>
        </w:numPr>
        <w:rPr>
          <w:rFonts w:hint="eastAsia" w:ascii="方正公文楷体" w:hAnsi="方正公文楷体" w:eastAsia="方正公文楷体" w:cs="方正公文楷体"/>
          <w:sz w:val="32"/>
          <w:szCs w:val="32"/>
          <w:lang w:val="en-US" w:eastAsia="zh-CN"/>
        </w:rPr>
      </w:pPr>
      <w:r>
        <w:rPr>
          <w:rFonts w:hint="eastAsia" w:ascii="方正公文楷体" w:hAnsi="方正公文楷体" w:eastAsia="方正公文楷体" w:cs="方正公文楷体"/>
          <w:sz w:val="32"/>
          <w:szCs w:val="32"/>
          <w:lang w:val="en-US" w:eastAsia="zh-CN"/>
        </w:rPr>
        <w:t>文本为《总体报告》，但将自身与工作报告、技术报告等并列；在内容编写上偏重于成果结论的罗列，缺失工作报告所需的组织领导体系、经费保障、进度节点等行政与组织管理内容。</w:t>
      </w:r>
    </w:p>
    <w:p w14:paraId="2CF8D35C">
      <w:pPr>
        <w:numPr>
          <w:numId w:val="0"/>
        </w:numPr>
        <w:rPr>
          <w:rFonts w:hint="default" w:ascii="方正公文楷体" w:hAnsi="方正公文楷体" w:eastAsia="方正公文楷体" w:cs="方正公文楷体"/>
          <w:sz w:val="32"/>
          <w:szCs w:val="32"/>
          <w:lang w:val="en-US" w:eastAsia="zh-CN"/>
        </w:rPr>
      </w:pPr>
      <w:r>
        <w:rPr>
          <w:rFonts w:hint="default" w:ascii="方正公文楷体" w:hAnsi="方正公文楷体" w:eastAsia="方正公文楷体" w:cs="方正公文楷体"/>
          <w:sz w:val="32"/>
          <w:szCs w:val="32"/>
          <w:lang w:val="en-US" w:eastAsia="zh-CN"/>
        </w:rPr>
        <w:drawing>
          <wp:inline distT="0" distB="0" distL="114300" distR="114300">
            <wp:extent cx="5271135" cy="5744845"/>
            <wp:effectExtent l="0" t="0" r="5715" b="8255"/>
            <wp:docPr id="4" name="图片 4" descr="66406bd9-2b0d-423b-ad20-54cb78de0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6406bd9-2b0d-423b-ad20-54cb78de058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7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公文楷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1" w:fontKey="{E57963B9-0B74-4987-94B6-4FA2C18B60F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1AECAE"/>
    <w:multiLevelType w:val="singleLevel"/>
    <w:tmpl w:val="951AECAE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638A6ACE"/>
    <w:multiLevelType w:val="singleLevel"/>
    <w:tmpl w:val="638A6AC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A4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pc</dc:creator>
  <cp:lastModifiedBy>pc</cp:lastModifiedBy>
  <dcterms:modified xsi:type="dcterms:W3CDTF">2026-09-23T09:13:52Z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eyJoZGlkIjoiZjZhMjExYjUwMTFiZWFjZjA1NmU3YzczMjIyMzc5MGEiLCJ1c2VySWQiOiIxNzY4Nzk2ODEyIn0=</vt:lpwstr>
  </property>
  <property fmtid="{D5CDD505-2E9C-101B-9397-08002B2CF9AE}" pid="4" name="ICV">
    <vt:lpwstr>A48278E99C744532A2C91A61F035FC34_12</vt:lpwstr>
  </property>
</Properties>
</file>