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BB0FF">
      <w:pPr>
        <w:jc w:val="center"/>
        <w:rPr>
          <w:rFonts w:hint="eastAsia"/>
          <w:sz w:val="28"/>
          <w:szCs w:val="36"/>
          <w:lang w:val="en-US" w:eastAsia="zh-CN"/>
        </w:rPr>
      </w:pPr>
    </w:p>
    <w:p w14:paraId="3C937BC2">
      <w:pPr>
        <w:jc w:val="center"/>
        <w:rPr>
          <w:rFonts w:hint="eastAsia"/>
          <w:sz w:val="28"/>
          <w:szCs w:val="36"/>
          <w:lang w:val="en-US" w:eastAsia="zh-CN"/>
        </w:rPr>
      </w:pPr>
    </w:p>
    <w:p w14:paraId="51305CB5">
      <w:pPr>
        <w:jc w:val="center"/>
        <w:rPr>
          <w:rFonts w:hint="eastAsia"/>
          <w:sz w:val="28"/>
          <w:szCs w:val="36"/>
          <w:lang w:val="en-US" w:eastAsia="zh-CN"/>
        </w:rPr>
      </w:pPr>
    </w:p>
    <w:p w14:paraId="0D0A3176">
      <w:pPr>
        <w:jc w:val="center"/>
        <w:rPr>
          <w:rFonts w:hint="eastAsia"/>
          <w:sz w:val="28"/>
          <w:szCs w:val="36"/>
          <w:lang w:val="en-US" w:eastAsia="zh-CN"/>
        </w:rPr>
      </w:pPr>
    </w:p>
    <w:p w14:paraId="38D42EA3">
      <w:pPr>
        <w:jc w:val="center"/>
        <w:rPr>
          <w:rFonts w:hint="eastAsia"/>
          <w:sz w:val="36"/>
          <w:szCs w:val="44"/>
          <w:lang w:val="en-US" w:eastAsia="zh-CN"/>
        </w:rPr>
      </w:pPr>
      <w:r>
        <w:rPr>
          <w:rFonts w:hint="eastAsia"/>
          <w:sz w:val="36"/>
          <w:szCs w:val="44"/>
          <w:lang w:val="en-US" w:eastAsia="zh-CN"/>
        </w:rPr>
        <w:t>乐亭县、丰南区、丰润区、合并区、玉田县、滦南县、曹妃甸区和市级第三次全国土壤普查成果质控报告</w:t>
      </w:r>
    </w:p>
    <w:p w14:paraId="568FD1F2">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——以乐亭县为例</w:t>
      </w:r>
    </w:p>
    <w:p w14:paraId="4934620B">
      <w:pPr>
        <w:jc w:val="center"/>
        <w:rPr>
          <w:rFonts w:hint="eastAsia"/>
          <w:sz w:val="36"/>
          <w:szCs w:val="44"/>
          <w:lang w:val="en-US" w:eastAsia="zh-CN"/>
        </w:rPr>
      </w:pPr>
      <w:r>
        <w:rPr>
          <w:rFonts w:hint="eastAsia"/>
          <w:sz w:val="36"/>
          <w:szCs w:val="44"/>
          <w:lang w:val="en-US" w:eastAsia="zh-CN"/>
        </w:rPr>
        <w:t>（第一轮）</w:t>
      </w:r>
    </w:p>
    <w:p w14:paraId="523351B0">
      <w:pPr>
        <w:jc w:val="center"/>
        <w:rPr>
          <w:rFonts w:hint="eastAsia"/>
          <w:sz w:val="28"/>
          <w:szCs w:val="36"/>
          <w:lang w:val="en-US" w:eastAsia="zh-CN"/>
        </w:rPr>
      </w:pPr>
    </w:p>
    <w:p w14:paraId="0B68E88C">
      <w:pPr>
        <w:jc w:val="center"/>
        <w:rPr>
          <w:rFonts w:hint="eastAsia"/>
          <w:sz w:val="28"/>
          <w:szCs w:val="36"/>
          <w:lang w:val="en-US" w:eastAsia="zh-CN"/>
        </w:rPr>
      </w:pPr>
    </w:p>
    <w:p w14:paraId="19D2A476">
      <w:pPr>
        <w:jc w:val="center"/>
        <w:rPr>
          <w:rFonts w:hint="eastAsia"/>
          <w:sz w:val="28"/>
          <w:szCs w:val="36"/>
          <w:lang w:val="en-US" w:eastAsia="zh-CN"/>
        </w:rPr>
      </w:pPr>
    </w:p>
    <w:p w14:paraId="2AD4F402">
      <w:pPr>
        <w:jc w:val="center"/>
        <w:rPr>
          <w:rFonts w:hint="eastAsia"/>
          <w:sz w:val="28"/>
          <w:szCs w:val="36"/>
          <w:lang w:val="en-US" w:eastAsia="zh-CN"/>
        </w:rPr>
      </w:pPr>
    </w:p>
    <w:p w14:paraId="73790DA4">
      <w:pPr>
        <w:jc w:val="center"/>
        <w:rPr>
          <w:rFonts w:hint="eastAsia"/>
          <w:sz w:val="28"/>
          <w:szCs w:val="36"/>
          <w:lang w:val="en-US" w:eastAsia="zh-CN"/>
        </w:rPr>
      </w:pPr>
    </w:p>
    <w:p w14:paraId="31B59BBA">
      <w:pPr>
        <w:jc w:val="center"/>
        <w:rPr>
          <w:rFonts w:hint="eastAsia"/>
          <w:sz w:val="28"/>
          <w:szCs w:val="36"/>
          <w:lang w:val="en-US" w:eastAsia="zh-CN"/>
        </w:rPr>
      </w:pPr>
    </w:p>
    <w:p w14:paraId="174E10FA">
      <w:pPr>
        <w:jc w:val="center"/>
        <w:rPr>
          <w:rFonts w:hint="eastAsia"/>
          <w:sz w:val="28"/>
          <w:szCs w:val="36"/>
          <w:lang w:val="en-US" w:eastAsia="zh-CN"/>
        </w:rPr>
      </w:pPr>
    </w:p>
    <w:p w14:paraId="74E85DBD">
      <w:pPr>
        <w:jc w:val="center"/>
        <w:rPr>
          <w:rFonts w:hint="eastAsia"/>
          <w:sz w:val="28"/>
          <w:szCs w:val="36"/>
          <w:lang w:val="en-US" w:eastAsia="zh-CN"/>
        </w:rPr>
      </w:pPr>
    </w:p>
    <w:p w14:paraId="156994B2">
      <w:pPr>
        <w:jc w:val="center"/>
        <w:rPr>
          <w:rFonts w:hint="eastAsia"/>
          <w:sz w:val="28"/>
          <w:szCs w:val="36"/>
          <w:lang w:val="en-US" w:eastAsia="zh-CN"/>
        </w:rPr>
      </w:pPr>
    </w:p>
    <w:p w14:paraId="0F98AD73">
      <w:pPr>
        <w:jc w:val="center"/>
        <w:rPr>
          <w:rFonts w:hint="eastAsia"/>
          <w:sz w:val="28"/>
          <w:szCs w:val="36"/>
          <w:lang w:val="en-US" w:eastAsia="zh-CN"/>
        </w:rPr>
      </w:pPr>
    </w:p>
    <w:p w14:paraId="237A9149">
      <w:pPr>
        <w:jc w:val="center"/>
        <w:rPr>
          <w:rFonts w:hint="eastAsia"/>
          <w:sz w:val="28"/>
          <w:szCs w:val="36"/>
          <w:lang w:val="en-US" w:eastAsia="zh-CN"/>
        </w:rPr>
      </w:pPr>
    </w:p>
    <w:p w14:paraId="136EE33D">
      <w:pPr>
        <w:jc w:val="center"/>
        <w:rPr>
          <w:rFonts w:hint="eastAsia"/>
          <w:sz w:val="28"/>
          <w:szCs w:val="36"/>
          <w:lang w:val="en-US" w:eastAsia="zh-CN"/>
        </w:rPr>
      </w:pPr>
    </w:p>
    <w:p w14:paraId="47104D32">
      <w:pPr>
        <w:jc w:val="center"/>
        <w:rPr>
          <w:rFonts w:hint="eastAsia"/>
          <w:sz w:val="28"/>
          <w:szCs w:val="36"/>
          <w:lang w:val="en-US" w:eastAsia="zh-CN"/>
        </w:rPr>
      </w:pPr>
    </w:p>
    <w:p w14:paraId="69A786F9">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71173"/>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4201439">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75C44AF">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913ED5">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2075676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7ECDDF6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4FA6125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208F2F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700BBA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0A90ED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19DB23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F052CD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52F93436">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702360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0647D50A">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58121CAF">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0DC83696">
      <w:pPr>
        <w:jc w:val="center"/>
        <w:rPr>
          <w:rFonts w:hint="default"/>
          <w:sz w:val="28"/>
          <w:szCs w:val="36"/>
          <w:lang w:val="en-US" w:eastAsia="zh-CN"/>
        </w:rPr>
      </w:pPr>
      <w:r>
        <w:rPr>
          <w:rFonts w:hint="eastAsia"/>
          <w:sz w:val="28"/>
          <w:szCs w:val="36"/>
          <w:lang w:val="en-US" w:eastAsia="zh-CN"/>
        </w:rPr>
        <w:t>乐亭县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4E363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乐亭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01FB48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本次质控共核查乐亭县第三次全国土壤普查成果共计六大类，合计项。其中，土壤类型图成果质控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16</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04FE52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1BB1ACCD">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723D26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03E5C53">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26424688">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0D98AE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B276A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5CFE8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1C8244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2FF1EC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5AE972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B268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2800350" cy="1228725"/>
            <wp:effectExtent l="0" t="0" r="6350" b="3175"/>
            <wp:docPr id="4" name="图片 4" descr="36ab99fa-bf48-40c2-9626-05cead07b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ab99fa-bf48-40c2-9626-05cead07b076"/>
                    <pic:cNvPicPr>
                      <a:picLocks noChangeAspect="1"/>
                    </pic:cNvPicPr>
                  </pic:nvPicPr>
                  <pic:blipFill>
                    <a:blip r:embed="rId4"/>
                    <a:stretch>
                      <a:fillRect/>
                    </a:stretch>
                  </pic:blipFill>
                  <pic:spPr>
                    <a:xfrm>
                      <a:off x="0" y="0"/>
                      <a:ext cx="2800350" cy="1228725"/>
                    </a:xfrm>
                    <a:prstGeom prst="rect">
                      <a:avLst/>
                    </a:prstGeom>
                  </pic:spPr>
                </pic:pic>
              </a:graphicData>
            </a:graphic>
          </wp:inline>
        </w:drawing>
      </w:r>
    </w:p>
    <w:p w14:paraId="4FEA9C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第二层级目录缺少部分文件夹或未按要求命名与存放</w:t>
      </w:r>
      <w:r>
        <w:rPr>
          <w:rFonts w:hint="eastAsia" w:ascii="宋体" w:hAnsi="宋体" w:eastAsia="宋体" w:cs="宋体"/>
          <w:b w:val="0"/>
          <w:sz w:val="24"/>
          <w:u w:val="none"/>
          <w:lang w:eastAsia="zh-CN"/>
        </w:rPr>
        <w:t>；</w:t>
      </w:r>
    </w:p>
    <w:p w14:paraId="6105ED2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5A19C2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374C3E6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0F6C0CC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DB924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6E0FFE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348998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B81C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6B8C35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107D6A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14698F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58183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数据库缺少</w:t>
      </w:r>
      <w:r>
        <w:rPr>
          <w:rFonts w:hint="eastAsia" w:ascii="宋体" w:hAnsi="宋体" w:eastAsia="宋体" w:cs="宋体"/>
          <w:b w:val="0"/>
          <w:sz w:val="24"/>
          <w:u w:val="none"/>
          <w:lang w:eastAsia="zh-CN"/>
        </w:rPr>
        <w:t>LANDUSE（土地利用数据），</w:t>
      </w:r>
      <w:r>
        <w:rPr>
          <w:rFonts w:hint="eastAsia" w:ascii="宋体" w:hAnsi="宋体" w:eastAsia="宋体" w:cs="宋体"/>
          <w:b w:val="0"/>
          <w:sz w:val="24"/>
          <w:u w:val="none"/>
          <w:lang w:val="en-US" w:eastAsia="zh-CN"/>
        </w:rPr>
        <w:t>且其他未按标准命名与存放；</w:t>
      </w:r>
    </w:p>
    <w:p w14:paraId="30EBDCA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土壤二普县级土种志剖面样点矢量数据、原土壤二普县级土壤图矢量数据、分类校准更新后的土壤二普县级土壤图矢量数据、二普土壤样点数据；</w:t>
      </w:r>
    </w:p>
    <w:p w14:paraId="56BD61C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DCYD（调查样点）、土壤二普土壤图室内校核前/后图斑、重新定义坐标的土壤二普土壤剖面样点的土壤类型野外校核结果、土壤类型改变区各类地块提取结果、推测制图虚点数据、推测的土壤三普图（矢量）</w:t>
      </w:r>
    </w:p>
    <w:p w14:paraId="690DD8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2514600" cy="4343400"/>
            <wp:effectExtent l="0" t="0" r="0" b="0"/>
            <wp:docPr id="5" name="图片 5" descr="81a4af25-e76d-44b7-aa2b-d62de7db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a4af25-e76d-44b7-aa2b-d62de7db13cd"/>
                    <pic:cNvPicPr>
                      <a:picLocks noChangeAspect="1"/>
                    </pic:cNvPicPr>
                  </pic:nvPicPr>
                  <pic:blipFill>
                    <a:blip r:embed="rId5"/>
                    <a:stretch>
                      <a:fillRect/>
                    </a:stretch>
                  </pic:blipFill>
                  <pic:spPr>
                    <a:xfrm>
                      <a:off x="0" y="0"/>
                      <a:ext cx="2514600" cy="4343400"/>
                    </a:xfrm>
                    <a:prstGeom prst="rect">
                      <a:avLst/>
                    </a:prstGeom>
                  </pic:spPr>
                </pic:pic>
              </a:graphicData>
            </a:graphic>
          </wp:inline>
        </w:drawing>
      </w:r>
    </w:p>
    <w:p w14:paraId="4FCA8D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土壤类型图字段</w:t>
      </w:r>
      <w:r>
        <w:rPr>
          <w:rFonts w:hint="eastAsia" w:ascii="宋体" w:hAnsi="宋体" w:eastAsia="宋体" w:cs="宋体"/>
          <w:b w:val="0"/>
          <w:sz w:val="24"/>
          <w:u w:val="none"/>
          <w:lang w:val="en-US" w:eastAsia="zh-CN"/>
        </w:rPr>
        <w:t>命名按照审查标准修改，并补充缺少的字段</w:t>
      </w:r>
    </w:p>
    <w:p w14:paraId="7F71F30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165B57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B374C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2DBC4E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0A33515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361F4BD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517773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9E996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缺少其</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包含土壤二普纸质图及相关历史资料如土壤志</w:t>
      </w:r>
    </w:p>
    <w:p w14:paraId="3D1AF6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1C1995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48057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1DE747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14ECE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2A9196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5CBA91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2844EE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35E77B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F9881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286125" cy="2085975"/>
            <wp:effectExtent l="0" t="0" r="3175" b="9525"/>
            <wp:docPr id="6" name="图片 6" descr="1807558d-4a04-4676-9609-7e48c0f99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807558d-4a04-4676-9609-7e48c0f9920d"/>
                    <pic:cNvPicPr>
                      <a:picLocks noChangeAspect="1"/>
                    </pic:cNvPicPr>
                  </pic:nvPicPr>
                  <pic:blipFill>
                    <a:blip r:embed="rId6"/>
                    <a:stretch>
                      <a:fillRect/>
                    </a:stretch>
                  </pic:blipFill>
                  <pic:spPr>
                    <a:xfrm>
                      <a:off x="0" y="0"/>
                      <a:ext cx="3286125" cy="2085975"/>
                    </a:xfrm>
                    <a:prstGeom prst="rect">
                      <a:avLst/>
                    </a:prstGeom>
                  </pic:spPr>
                </pic:pic>
              </a:graphicData>
            </a:graphic>
          </wp:inline>
        </w:drawing>
      </w:r>
    </w:p>
    <w:p w14:paraId="2C46789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缺少部分文件夹或未按要求命名与存放；</w:t>
      </w:r>
    </w:p>
    <w:p w14:paraId="0968969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野外路线校核工作照片、野外验证调查表、土壤类型改变区土壤类型转换规则、土壤类型支撑剖面梳理表</w:t>
      </w:r>
    </w:p>
    <w:p w14:paraId="67A7941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0DD203B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EC1AB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525FAC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2D8FAC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2B3501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B9AC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1"/>
        <w:rPr>
          <w:rFonts w:hint="eastAsia" w:ascii="宋体" w:hAnsi="宋体" w:eastAsia="宋体" w:cs="宋体"/>
          <w:b w:val="0"/>
          <w:sz w:val="24"/>
          <w:u w:val="none"/>
          <w:lang w:val="en-US" w:eastAsia="zh-CN"/>
        </w:rPr>
      </w:pPr>
      <w:bookmarkStart w:id="3" w:name="_Toc18472"/>
      <w:r>
        <w:rPr>
          <w:rFonts w:hint="eastAsia" w:ascii="宋体" w:hAnsi="宋体" w:eastAsia="宋体" w:cs="宋体"/>
          <w:b w:val="0"/>
          <w:sz w:val="24"/>
          <w:u w:val="none"/>
          <w:lang w:val="en-US" w:eastAsia="zh-CN"/>
        </w:rPr>
        <w:t>经检查未发现问题</w:t>
      </w:r>
    </w:p>
    <w:p w14:paraId="62E6094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（二）核心数据成果核查</w:t>
      </w:r>
      <w:bookmarkEnd w:id="3"/>
    </w:p>
    <w:p w14:paraId="0B30E56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17EDC07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C5E44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42E42B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77B0E5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78C21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CFF55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土壤二普县级土种志剖面矢量数据、土壤二普县级土壤图矢量数据、分类校准更新后的土壤二普县级土壤图矢量数据；</w:t>
      </w:r>
    </w:p>
    <w:p w14:paraId="2BC37E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土壤二普县级土种志、土壤志或普查报告</w:t>
      </w:r>
      <w:r>
        <w:rPr>
          <w:rFonts w:hint="eastAsia" w:ascii="宋体" w:hAnsi="宋体" w:eastAsia="宋体" w:cs="宋体"/>
          <w:b w:val="0"/>
          <w:sz w:val="24"/>
          <w:u w:val="none"/>
          <w:lang w:val="en-US" w:eastAsia="zh-CN"/>
        </w:rPr>
        <w:t>或未按规范命名</w:t>
      </w:r>
    </w:p>
    <w:p w14:paraId="7E4A9E8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3153B7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CCAB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3371E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48B06BB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64F055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68C6113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2DB1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114675" cy="4200525"/>
            <wp:effectExtent l="0" t="0" r="9525" b="3175"/>
            <wp:docPr id="7" name="图片 7" descr="f4df21bd-22f4-49cf-b5a4-41a2e8120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4df21bd-22f4-49cf-b5a4-41a2e81205ab"/>
                    <pic:cNvPicPr>
                      <a:picLocks noChangeAspect="1"/>
                    </pic:cNvPicPr>
                  </pic:nvPicPr>
                  <pic:blipFill>
                    <a:blip r:embed="rId7"/>
                    <a:stretch>
                      <a:fillRect/>
                    </a:stretch>
                  </pic:blipFill>
                  <pic:spPr>
                    <a:xfrm>
                      <a:off x="0" y="0"/>
                      <a:ext cx="3114675" cy="4200525"/>
                    </a:xfrm>
                    <a:prstGeom prst="rect">
                      <a:avLst/>
                    </a:prstGeom>
                  </pic:spPr>
                </pic:pic>
              </a:graphicData>
            </a:graphic>
          </wp:inline>
        </w:drawing>
      </w:r>
    </w:p>
    <w:p w14:paraId="7ECFEAA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按规范整理与命名；缺少</w:t>
      </w:r>
      <w:r>
        <w:rPr>
          <w:rFonts w:hint="eastAsia" w:ascii="宋体" w:hAnsi="宋体" w:eastAsia="宋体" w:cs="宋体"/>
          <w:b w:val="0"/>
          <w:sz w:val="24"/>
          <w:u w:val="none"/>
          <w:lang w:eastAsia="zh-CN"/>
        </w:rPr>
        <w:t>室内校核后的二普土壤图、典型虚拟点、栅格土种预测结果、土种预测结果矢量化图层、环境数据重要性排序、Kappa系数等</w:t>
      </w:r>
    </w:p>
    <w:p w14:paraId="602059C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465AA8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363D2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16FB30B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1A90B6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6AC1BA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1872F9B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6D536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ED5C0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土壤类型转换规则表、有疑图斑校核</w:t>
      </w:r>
      <w:r>
        <w:rPr>
          <w:rFonts w:hint="eastAsia" w:ascii="宋体" w:hAnsi="宋体" w:eastAsia="宋体" w:cs="宋体"/>
          <w:b w:val="0"/>
          <w:sz w:val="24"/>
          <w:u w:val="none"/>
          <w:lang w:val="en-US" w:eastAsia="zh-CN"/>
        </w:rPr>
        <w:t>数据、</w:t>
      </w:r>
      <w:r>
        <w:rPr>
          <w:rFonts w:hint="eastAsia" w:ascii="宋体" w:hAnsi="宋体" w:eastAsia="宋体" w:cs="宋体"/>
          <w:b w:val="0"/>
          <w:sz w:val="24"/>
          <w:u w:val="none"/>
          <w:lang w:eastAsia="zh-CN"/>
        </w:rPr>
        <w:t>野外验证结果</w:t>
      </w:r>
      <w:r>
        <w:rPr>
          <w:rFonts w:hint="eastAsia" w:ascii="宋体" w:hAnsi="宋体" w:eastAsia="宋体" w:cs="宋体"/>
          <w:b w:val="0"/>
          <w:sz w:val="24"/>
          <w:u w:val="none"/>
          <w:lang w:val="en-US" w:eastAsia="zh-CN"/>
        </w:rPr>
        <w:t>；</w:t>
      </w:r>
    </w:p>
    <w:p w14:paraId="252968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校核点位数量与上交的图片资料数量</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一致</w:t>
      </w:r>
    </w:p>
    <w:p w14:paraId="7FFA99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default"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4BC1B86B">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71770" cy="1377315"/>
            <wp:effectExtent l="0" t="0" r="11430" b="6985"/>
            <wp:docPr id="1" name="图片 1" descr="da9ff677-2143-4003-bfb1-823d1801d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a9ff677-2143-4003-bfb1-823d1801d334"/>
                    <pic:cNvPicPr>
                      <a:picLocks noChangeAspect="1"/>
                    </pic:cNvPicPr>
                  </pic:nvPicPr>
                  <pic:blipFill>
                    <a:blip r:embed="rId8"/>
                    <a:stretch>
                      <a:fillRect/>
                    </a:stretch>
                  </pic:blipFill>
                  <pic:spPr>
                    <a:xfrm>
                      <a:off x="0" y="0"/>
                      <a:ext cx="5271770" cy="1377315"/>
                    </a:xfrm>
                    <a:prstGeom prst="rect">
                      <a:avLst/>
                    </a:prstGeom>
                  </pic:spPr>
                </pic:pic>
              </a:graphicData>
            </a:graphic>
          </wp:inline>
        </w:drawing>
      </w:r>
    </w:p>
    <w:p w14:paraId="4A792A34">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71770" cy="2802255"/>
            <wp:effectExtent l="0" t="0" r="11430" b="4445"/>
            <wp:docPr id="2" name="图片 2" descr="5c8938a2-53ee-4fa0-8baa-0154e60e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c8938a2-53ee-4fa0-8baa-0154e60efe69"/>
                    <pic:cNvPicPr>
                      <a:picLocks noChangeAspect="1"/>
                    </pic:cNvPicPr>
                  </pic:nvPicPr>
                  <pic:blipFill>
                    <a:blip r:embed="rId9"/>
                    <a:stretch>
                      <a:fillRect/>
                    </a:stretch>
                  </pic:blipFill>
                  <pic:spPr>
                    <a:xfrm>
                      <a:off x="0" y="0"/>
                      <a:ext cx="5271770" cy="2802255"/>
                    </a:xfrm>
                    <a:prstGeom prst="rect">
                      <a:avLst/>
                    </a:prstGeom>
                  </pic:spPr>
                </pic:pic>
              </a:graphicData>
            </a:graphic>
          </wp:inline>
        </w:drawing>
      </w:r>
    </w:p>
    <w:p w14:paraId="3F250A4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12"/>
          <w:u w:val="none"/>
          <w:lang w:eastAsia="zh-CN"/>
        </w:rPr>
      </w:pPr>
      <w:r>
        <w:rPr>
          <w:rFonts w:hint="default" w:ascii="宋体" w:hAnsi="宋体" w:eastAsia="宋体" w:cs="宋体"/>
          <w:b w:val="0"/>
          <w:sz w:val="24"/>
          <w:u w:val="none"/>
          <w:lang w:val="en-US" w:eastAsia="zh-CN"/>
        </w:rPr>
        <w:t>经检查，砂壤底壤潮土、砂壤底壤浅潮泥田、壤底砂轻度氯化物碱化盐土不在河北省三普土种清单中</w:t>
      </w:r>
    </w:p>
    <w:p w14:paraId="198893E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6B44B11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B72F7B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2058BA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0A313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7E3331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06F357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05CCD3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14F2C0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1EF9A6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695047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5D9B2E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位置示意图；</w:t>
      </w:r>
    </w:p>
    <w:p w14:paraId="6B52C8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未全部</w:t>
      </w:r>
      <w:r>
        <w:rPr>
          <w:rFonts w:hint="eastAsia" w:ascii="宋体" w:hAnsi="宋体" w:eastAsia="宋体" w:cs="宋体"/>
          <w:b w:val="0"/>
          <w:sz w:val="24"/>
          <w:u w:val="none"/>
          <w:lang w:eastAsia="zh-CN"/>
        </w:rPr>
        <w:t>参照《第三次全国国土调查技术规程》（TD/T 1055-2019）进行背景要素符号样式设计和绘制；</w:t>
      </w:r>
    </w:p>
    <w:p w14:paraId="3F09FE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修改</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012C0B0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73482D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CBCDA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2F180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43DDDB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09CC6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23ABD57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31D341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AADBE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7D9831A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AE05A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1BF248C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3F345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3BD420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C970D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5E0AAC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2013AEE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5A433E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7F3D6B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4EC7F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523F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35CFA5C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783129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496957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0EEF8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5263E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w:t>
      </w:r>
      <w:r>
        <w:rPr>
          <w:rFonts w:hint="eastAsia" w:ascii="宋体" w:hAnsi="宋体" w:eastAsia="宋体" w:cs="宋体"/>
          <w:b w:val="0"/>
          <w:sz w:val="24"/>
          <w:highlight w:val="none"/>
          <w:u w:val="none"/>
          <w:lang w:eastAsia="zh-CN"/>
        </w:rPr>
        <w:t>辖区面积与2023年国土变更调查的数据一致，要进行平差。</w:t>
      </w:r>
    </w:p>
    <w:p w14:paraId="7C32A0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344CF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10E32A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2A476D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8415F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0DDB2B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B34749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52F33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断面图未</w:t>
      </w:r>
      <w:r>
        <w:rPr>
          <w:rFonts w:hint="eastAsia" w:ascii="宋体" w:hAnsi="宋体" w:eastAsia="宋体" w:cs="宋体"/>
          <w:b w:val="0"/>
          <w:sz w:val="24"/>
          <w:u w:val="none"/>
          <w:lang w:eastAsia="zh-CN"/>
        </w:rPr>
        <w:t>标注关键地点名称、土种名称，</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对应地形地貌和成土母质</w:t>
      </w:r>
    </w:p>
    <w:p w14:paraId="4FA89CB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3C37CB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6EEFD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5E1343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ACC08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5A149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图廓未按标准绘制；</w:t>
      </w:r>
    </w:p>
    <w:p w14:paraId="08809FD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044081B5">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04821A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412E58C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123E069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A3FD7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D5F8E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05EDBA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CDB24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43098F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28A94A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1800A9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5FD422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645155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1BD64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设有图、表目录；</w:t>
      </w:r>
    </w:p>
    <w:p w14:paraId="5CFBADD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土地面积单位为亩的数值</w:t>
      </w:r>
      <w:r>
        <w:rPr>
          <w:rFonts w:hint="eastAsia" w:ascii="宋体" w:hAnsi="宋体" w:eastAsia="宋体" w:cs="宋体"/>
          <w:b w:val="0"/>
          <w:sz w:val="24"/>
          <w:u w:val="none"/>
          <w:lang w:val="en-US" w:eastAsia="zh-CN"/>
        </w:rPr>
        <w:t>部分未</w:t>
      </w:r>
      <w:r>
        <w:rPr>
          <w:rFonts w:hint="eastAsia" w:ascii="宋体" w:hAnsi="宋体" w:eastAsia="宋体" w:cs="宋体"/>
          <w:b w:val="0"/>
          <w:sz w:val="24"/>
          <w:u w:val="none"/>
          <w:lang w:eastAsia="zh-CN"/>
        </w:rPr>
        <w:t>保留到整数；</w:t>
      </w:r>
    </w:p>
    <w:p w14:paraId="74F42A1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土地面积单位</w:t>
      </w:r>
      <w:r>
        <w:rPr>
          <w:rFonts w:hint="eastAsia" w:ascii="宋体" w:hAnsi="宋体" w:eastAsia="宋体" w:cs="宋体"/>
          <w:b w:val="0"/>
          <w:sz w:val="24"/>
          <w:u w:val="none"/>
          <w:lang w:val="en-US" w:eastAsia="zh-CN"/>
        </w:rPr>
        <w:t>统一为</w:t>
      </w:r>
      <w:r>
        <w:rPr>
          <w:rFonts w:hint="eastAsia" w:ascii="宋体" w:hAnsi="宋体" w:eastAsia="宋体" w:cs="宋体"/>
          <w:b w:val="0"/>
          <w:sz w:val="24"/>
          <w:u w:val="none"/>
          <w:lang w:eastAsia="zh-CN"/>
        </w:rPr>
        <w:t>亩</w:t>
      </w:r>
      <w:r>
        <w:rPr>
          <w:rFonts w:hint="eastAsia" w:ascii="宋体" w:hAnsi="宋体" w:eastAsia="宋体" w:cs="宋体"/>
          <w:b w:val="0"/>
          <w:sz w:val="24"/>
          <w:u w:val="none"/>
          <w:lang w:val="en-US" w:eastAsia="zh-CN"/>
        </w:rPr>
        <w:t>或万亩；</w:t>
      </w:r>
    </w:p>
    <w:p w14:paraId="11FF1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目录字体</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w:t>
      </w:r>
    </w:p>
    <w:p w14:paraId="0615D7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标题与正文字体与行</w:t>
      </w:r>
      <w:r>
        <w:rPr>
          <w:rFonts w:hint="eastAsia" w:ascii="宋体" w:hAnsi="宋体" w:eastAsia="宋体" w:cs="宋体"/>
          <w:b w:val="0"/>
          <w:sz w:val="24"/>
          <w:u w:val="none"/>
          <w:lang w:eastAsia="zh-CN"/>
        </w:rPr>
        <w:t>距</w:t>
      </w:r>
      <w:r>
        <w:rPr>
          <w:rFonts w:hint="eastAsia" w:ascii="宋体" w:hAnsi="宋体" w:eastAsia="宋体" w:cs="宋体"/>
          <w:b w:val="0"/>
          <w:sz w:val="24"/>
          <w:u w:val="none"/>
          <w:lang w:val="en-US" w:eastAsia="zh-CN"/>
        </w:rPr>
        <w:t>未按标准设置；</w:t>
      </w:r>
    </w:p>
    <w:p w14:paraId="78A0455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经检查，砂壤底壤潮土、砂壤底壤浅潮泥田、壤底砂轻度氯化物碱化盐土不在河北省三普土种清单中</w:t>
      </w:r>
    </w:p>
    <w:p w14:paraId="7894A71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68DBA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129DE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3D2B54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660FF6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61660D3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DCEE7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0C6BC8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454BDF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71422A9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1AB1B6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008871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062751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151D8C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51D4C6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19317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3EC48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进行本县区土壤系统分类与发生学分类的对照；</w:t>
      </w:r>
    </w:p>
    <w:p w14:paraId="7EDC54C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在推测制图部分给出虚点对土壤类型代表性的证明示例；</w:t>
      </w:r>
    </w:p>
    <w:p w14:paraId="7A9002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推测制图的土种空间分布图和不确定性分布图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选用正确图例</w:t>
      </w:r>
    </w:p>
    <w:p w14:paraId="46A574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26BD62F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BF4332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6C62F2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05F2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5CB2DF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6F725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设有图、表目录；</w:t>
      </w:r>
    </w:p>
    <w:p w14:paraId="547209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章节标题</w:t>
      </w:r>
      <w:r>
        <w:rPr>
          <w:rFonts w:hint="eastAsia" w:ascii="宋体" w:hAnsi="宋体" w:eastAsia="宋体" w:cs="宋体"/>
          <w:b w:val="0"/>
          <w:sz w:val="24"/>
          <w:u w:val="none"/>
          <w:lang w:val="en-US" w:eastAsia="zh-CN"/>
        </w:rPr>
        <w:t>字体字号行距不符合标准；</w:t>
      </w:r>
    </w:p>
    <w:p w14:paraId="35D1E4E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5F52D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2017C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069059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45D7BD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未设置结论与建议章节</w:t>
      </w:r>
    </w:p>
    <w:p w14:paraId="059215A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0A0CE54">
      <w:pPr>
        <w:rPr>
          <w:rFonts w:hint="default"/>
          <w:sz w:val="24"/>
          <w:szCs w:val="24"/>
          <w:lang w:val="en-US" w:eastAsia="zh-CN"/>
        </w:rPr>
      </w:pPr>
    </w:p>
    <w:p w14:paraId="56F632EA">
      <w:pPr>
        <w:jc w:val="center"/>
        <w:rPr>
          <w:rFonts w:hint="eastAsia"/>
          <w:sz w:val="28"/>
          <w:szCs w:val="28"/>
          <w:lang w:val="en-US" w:eastAsia="zh-CN"/>
        </w:rPr>
      </w:pPr>
      <w:r>
        <w:rPr>
          <w:rFonts w:hint="eastAsia"/>
          <w:sz w:val="28"/>
          <w:szCs w:val="28"/>
          <w:lang w:val="en-US" w:eastAsia="zh-CN"/>
        </w:rPr>
        <w:t>土壤属性图质控问题反馈——唐山市乐亭县</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54F9600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55E13F7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5664540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提交的成果与目录结构中的文件名称要求一致。</w:t>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03223E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r>
        <w:rPr>
          <w:rFonts w:hint="eastAsia" w:ascii="Times New Roman" w:hAnsi="Times New Roman" w:eastAsia="宋体" w:cs="Times New Roman"/>
          <w:b w:val="0"/>
          <w:bCs w:val="0"/>
          <w:sz w:val="24"/>
          <w:szCs w:val="24"/>
          <w:lang w:val="en-US" w:eastAsia="zh-CN"/>
        </w:rPr>
        <w:t>。</w:t>
      </w:r>
    </w:p>
    <w:p w14:paraId="06C5724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18BB761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7AAF4CE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2A10899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多个耕地厚度入模样点落在县级行政区范围以外，请核查。</w:t>
      </w:r>
    </w:p>
    <w:p w14:paraId="5E15F172">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4196715" cy="2889885"/>
            <wp:effectExtent l="0" t="0" r="698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4196715" cy="2889885"/>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75B1D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5F9BDAA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A8D39E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01E11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8C58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059E1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CCFBD5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18E54A2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72FB6C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F81CD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7DF9820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w:t>
      </w:r>
    </w:p>
    <w:p w14:paraId="3AC4BCE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8B8AF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AF8D94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D38AA8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61B4F37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6EA47456">
      <w:pPr>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0B00E7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2368120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报告中存在共线性分析，相关性分析，环境变量的选取中未存在使用已经预测的土壤属性作为环境变量的情况。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6149A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7A7A91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E72EEE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CFDA7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采用以点带面。</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0E1B2FC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7C0AF76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各统计表缺少总计面积，请核查所有属性图。</w:t>
      </w:r>
    </w:p>
    <w:p w14:paraId="4FB4E6F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599180" cy="5698490"/>
            <wp:effectExtent l="0" t="0" r="7620" b="381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3599180" cy="5698490"/>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07DC0AD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5D2DCCDF">
      <w:pPr>
        <w:numPr>
          <w:ilvl w:val="0"/>
          <w:numId w:val="0"/>
        </w:numPr>
        <w:spacing w:line="360" w:lineRule="auto"/>
        <w:ind w:firstLine="420" w:firstLineChars="200"/>
        <w:jc w:val="both"/>
      </w:pPr>
      <w:r>
        <w:drawing>
          <wp:inline distT="0" distB="0" distL="114300" distR="114300">
            <wp:extent cx="2339340" cy="2377440"/>
            <wp:effectExtent l="0" t="0" r="10160"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2339340" cy="2377440"/>
                    </a:xfrm>
                    <a:prstGeom prst="rect">
                      <a:avLst/>
                    </a:prstGeom>
                    <a:noFill/>
                    <a:ln>
                      <a:noFill/>
                    </a:ln>
                  </pic:spPr>
                </pic:pic>
              </a:graphicData>
            </a:graphic>
          </wp:inline>
        </w:drawing>
      </w:r>
    </w:p>
    <w:p w14:paraId="4C895495">
      <w:pPr>
        <w:numPr>
          <w:ilvl w:val="0"/>
          <w:numId w:val="0"/>
        </w:numPr>
        <w:spacing w:line="360" w:lineRule="auto"/>
        <w:ind w:firstLine="420" w:firstLineChars="200"/>
        <w:jc w:val="both"/>
      </w:pPr>
      <w:r>
        <w:drawing>
          <wp:inline distT="0" distB="0" distL="114300" distR="114300">
            <wp:extent cx="4536440" cy="5617210"/>
            <wp:effectExtent l="0" t="0" r="1016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4536440" cy="561721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9FF727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5FC91BE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54655" cy="2361565"/>
            <wp:effectExtent l="0" t="0" r="4445" b="63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14"/>
                    <a:stretch>
                      <a:fillRect/>
                    </a:stretch>
                  </pic:blipFill>
                  <pic:spPr>
                    <a:xfrm>
                      <a:off x="0" y="0"/>
                      <a:ext cx="2954655" cy="2361565"/>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w:t>
      </w:r>
    </w:p>
    <w:p w14:paraId="275A7E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否，土壤质地未按12级分级上图，请核查。</w:t>
      </w:r>
    </w:p>
    <w:p w14:paraId="621EA4A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704080" cy="3089275"/>
            <wp:effectExtent l="0" t="0" r="7620" b="952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5"/>
                    <a:stretch>
                      <a:fillRect/>
                    </a:stretch>
                  </pic:blipFill>
                  <pic:spPr>
                    <a:xfrm>
                      <a:off x="0" y="0"/>
                      <a:ext cx="4704080" cy="3089275"/>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13B5C1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24D82EED">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87040" cy="2872740"/>
            <wp:effectExtent l="0" t="0" r="10160" b="1016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6"/>
                    <a:stretch>
                      <a:fillRect/>
                    </a:stretch>
                  </pic:blipFill>
                  <pic:spPr>
                    <a:xfrm>
                      <a:off x="0" y="0"/>
                      <a:ext cx="2987040" cy="2872740"/>
                    </a:xfrm>
                    <a:prstGeom prst="rect">
                      <a:avLst/>
                    </a:prstGeom>
                    <a:noFill/>
                    <a:ln>
                      <a:noFill/>
                    </a:ln>
                  </pic:spPr>
                </pic:pic>
              </a:graphicData>
            </a:graphic>
          </wp:inline>
        </w:drawing>
      </w:r>
    </w:p>
    <w:p w14:paraId="09FDEFA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2.多个图件的图例颜色与国标要求不符，请核查所有属性图。</w:t>
      </w:r>
    </w:p>
    <w:p w14:paraId="2F5F8693">
      <w:pPr>
        <w:numPr>
          <w:ilvl w:val="0"/>
          <w:numId w:val="0"/>
        </w:numPr>
        <w:spacing w:line="360" w:lineRule="auto"/>
        <w:ind w:firstLine="420" w:firstLineChars="200"/>
        <w:jc w:val="both"/>
      </w:pPr>
      <w:r>
        <w:drawing>
          <wp:inline distT="0" distB="0" distL="114300" distR="114300">
            <wp:extent cx="2522220" cy="2461260"/>
            <wp:effectExtent l="0" t="0" r="5080" b="254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2522220" cy="2461260"/>
                    </a:xfrm>
                    <a:prstGeom prst="rect">
                      <a:avLst/>
                    </a:prstGeom>
                    <a:noFill/>
                    <a:ln>
                      <a:noFill/>
                    </a:ln>
                  </pic:spPr>
                </pic:pic>
              </a:graphicData>
            </a:graphic>
          </wp:inline>
        </w:drawing>
      </w:r>
    </w:p>
    <w:p w14:paraId="4BCBB2F1">
      <w:pPr>
        <w:numPr>
          <w:ilvl w:val="0"/>
          <w:numId w:val="0"/>
        </w:numPr>
        <w:spacing w:line="360" w:lineRule="auto"/>
        <w:ind w:firstLine="420" w:firstLineChars="200"/>
        <w:jc w:val="both"/>
      </w:pPr>
      <w:r>
        <w:drawing>
          <wp:inline distT="0" distB="0" distL="114300" distR="114300">
            <wp:extent cx="5271135" cy="1708150"/>
            <wp:effectExtent l="0" t="0" r="12065" b="635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8"/>
                    <a:stretch>
                      <a:fillRect/>
                    </a:stretch>
                  </pic:blipFill>
                  <pic:spPr>
                    <a:xfrm>
                      <a:off x="0" y="0"/>
                      <a:ext cx="5271135" cy="1708150"/>
                    </a:xfrm>
                    <a:prstGeom prst="rect">
                      <a:avLst/>
                    </a:prstGeom>
                    <a:noFill/>
                    <a:ln>
                      <a:noFill/>
                    </a:ln>
                  </pic:spPr>
                </pic:pic>
              </a:graphicData>
            </a:graphic>
          </wp:inline>
        </w:drawing>
      </w:r>
    </w:p>
    <w:p w14:paraId="40663714">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国标示例：</w:t>
      </w:r>
    </w:p>
    <w:p w14:paraId="1A06BA56">
      <w:pPr>
        <w:numPr>
          <w:ilvl w:val="0"/>
          <w:numId w:val="0"/>
        </w:numPr>
        <w:spacing w:line="360" w:lineRule="auto"/>
        <w:ind w:firstLine="420" w:firstLineChars="200"/>
        <w:jc w:val="both"/>
      </w:pPr>
      <w:r>
        <w:drawing>
          <wp:inline distT="0" distB="0" distL="114300" distR="114300">
            <wp:extent cx="5272405" cy="3753485"/>
            <wp:effectExtent l="0" t="0" r="10795"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9"/>
                    <a:stretch>
                      <a:fillRect/>
                    </a:stretch>
                  </pic:blipFill>
                  <pic:spPr>
                    <a:xfrm>
                      <a:off x="0" y="0"/>
                      <a:ext cx="5272405" cy="3753485"/>
                    </a:xfrm>
                    <a:prstGeom prst="rect">
                      <a:avLst/>
                    </a:prstGeom>
                    <a:noFill/>
                    <a:ln>
                      <a:noFill/>
                    </a:ln>
                  </pic:spPr>
                </pic:pic>
              </a:graphicData>
            </a:graphic>
          </wp:inline>
        </w:drawing>
      </w:r>
    </w:p>
    <w:p w14:paraId="521270B6">
      <w:pPr>
        <w:numPr>
          <w:ilvl w:val="0"/>
          <w:numId w:val="0"/>
        </w:numPr>
        <w:spacing w:line="360" w:lineRule="auto"/>
        <w:ind w:firstLine="420" w:firstLineChars="200"/>
        <w:jc w:val="both"/>
        <w:rPr>
          <w:rFonts w:hint="eastAsia"/>
          <w:lang w:val="en-US" w:eastAsia="zh-CN"/>
        </w:rPr>
      </w:pP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3A9AB20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1.属性图缺少高程基准信息和条带比例尺。请核查所有属性图。</w:t>
      </w:r>
    </w:p>
    <w:p w14:paraId="36F6A59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2.地图投影不完整，写明3度带。</w:t>
      </w:r>
    </w:p>
    <w:p w14:paraId="04426F7E">
      <w:pPr>
        <w:numPr>
          <w:ilvl w:val="0"/>
          <w:numId w:val="0"/>
        </w:numPr>
        <w:spacing w:line="360" w:lineRule="auto"/>
        <w:ind w:firstLine="420" w:firstLineChars="200"/>
        <w:jc w:val="both"/>
      </w:pPr>
      <w:r>
        <w:drawing>
          <wp:inline distT="0" distB="0" distL="114300" distR="114300">
            <wp:extent cx="5264150" cy="762000"/>
            <wp:effectExtent l="0" t="0" r="6350"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0"/>
                    <a:stretch>
                      <a:fillRect/>
                    </a:stretch>
                  </pic:blipFill>
                  <pic:spPr>
                    <a:xfrm>
                      <a:off x="0" y="0"/>
                      <a:ext cx="5264150" cy="762000"/>
                    </a:xfrm>
                    <a:prstGeom prst="rect">
                      <a:avLst/>
                    </a:prstGeom>
                    <a:noFill/>
                    <a:ln>
                      <a:noFill/>
                    </a:ln>
                  </pic:spPr>
                </pic:pic>
              </a:graphicData>
            </a:graphic>
          </wp:inline>
        </w:drawing>
      </w:r>
    </w:p>
    <w:p w14:paraId="1561B3A6">
      <w:pPr>
        <w:numPr>
          <w:ilvl w:val="0"/>
          <w:numId w:val="0"/>
        </w:numPr>
        <w:spacing w:line="360" w:lineRule="auto"/>
        <w:ind w:firstLine="420" w:firstLineChars="200"/>
        <w:jc w:val="both"/>
        <w:rPr>
          <w:rFonts w:hint="eastAsia"/>
          <w:lang w:val="en-US" w:eastAsia="zh-CN"/>
        </w:rPr>
      </w:pP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报告中多处图件不清晰，美观性和易读性差。</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67960" cy="5516880"/>
            <wp:effectExtent l="0" t="0" r="2540" b="762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1"/>
                    <a:stretch>
                      <a:fillRect/>
                    </a:stretch>
                  </pic:blipFill>
                  <pic:spPr>
                    <a:xfrm>
                      <a:off x="0" y="0"/>
                      <a:ext cx="5267960" cy="5516880"/>
                    </a:xfrm>
                    <a:prstGeom prst="rect">
                      <a:avLst/>
                    </a:prstGeom>
                    <a:noFill/>
                    <a:ln>
                      <a:noFill/>
                    </a:ln>
                  </pic:spPr>
                </pic:pic>
              </a:graphicData>
            </a:graphic>
          </wp:inline>
        </w:drawing>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1D4CE4C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4DF0361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F815E2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14F5D6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355C305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479C138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86277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285BB7C4">
      <w:pPr>
        <w:numPr>
          <w:ilvl w:val="0"/>
          <w:numId w:val="0"/>
        </w:numPr>
        <w:spacing w:line="360" w:lineRule="auto"/>
        <w:ind w:firstLine="480" w:firstLineChars="200"/>
        <w:jc w:val="both"/>
        <w:rPr>
          <w:rFonts w:hint="default"/>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0E822C3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4765F7C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每个因子环境变量重要性排序不同，需要分因子说明。报告中，仅列出图的重要性排序，但未有文字部分分因子说明。</w:t>
      </w:r>
    </w:p>
    <w:p w14:paraId="5FDDDCFC">
      <w:pPr>
        <w:numPr>
          <w:ilvl w:val="0"/>
          <w:numId w:val="0"/>
        </w:numPr>
        <w:spacing w:line="360" w:lineRule="auto"/>
        <w:ind w:firstLine="420" w:firstLineChars="200"/>
        <w:jc w:val="both"/>
      </w:pPr>
      <w:r>
        <w:drawing>
          <wp:inline distT="0" distB="0" distL="114300" distR="114300">
            <wp:extent cx="5273675" cy="1774825"/>
            <wp:effectExtent l="0" t="0" r="9525" b="317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2"/>
                    <a:stretch>
                      <a:fillRect/>
                    </a:stretch>
                  </pic:blipFill>
                  <pic:spPr>
                    <a:xfrm>
                      <a:off x="0" y="0"/>
                      <a:ext cx="5273675" cy="1774825"/>
                    </a:xfrm>
                    <a:prstGeom prst="rect">
                      <a:avLst/>
                    </a:prstGeom>
                    <a:noFill/>
                    <a:ln>
                      <a:noFill/>
                    </a:ln>
                  </pic:spPr>
                </pic:pic>
              </a:graphicData>
            </a:graphic>
          </wp:inline>
        </w:drawing>
      </w:r>
    </w:p>
    <w:p w14:paraId="5BB99238">
      <w:pPr>
        <w:numPr>
          <w:ilvl w:val="0"/>
          <w:numId w:val="0"/>
        </w:numPr>
        <w:spacing w:line="360" w:lineRule="auto"/>
        <w:ind w:firstLine="420" w:firstLineChars="200"/>
        <w:jc w:val="both"/>
        <w:rPr>
          <w:rFonts w:hint="eastAsia"/>
          <w:lang w:val="en-US" w:eastAsia="zh-CN"/>
        </w:rPr>
      </w:pPr>
      <w:r>
        <w:drawing>
          <wp:inline distT="0" distB="0" distL="114300" distR="114300">
            <wp:extent cx="5272405" cy="2178685"/>
            <wp:effectExtent l="0" t="0" r="10795" b="571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3"/>
                    <a:stretch>
                      <a:fillRect/>
                    </a:stretch>
                  </pic:blipFill>
                  <pic:spPr>
                    <a:xfrm>
                      <a:off x="0" y="0"/>
                      <a:ext cx="5272405" cy="2178685"/>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2E47092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39FDBB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4F0D95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C27DE5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3B677BC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BD779F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212EC1C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0EFD2C6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9AD64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w:t>
      </w:r>
    </w:p>
    <w:p w14:paraId="46927DD4">
      <w:pPr>
        <w:numPr>
          <w:ilvl w:val="0"/>
          <w:numId w:val="0"/>
        </w:numPr>
        <w:spacing w:line="360" w:lineRule="auto"/>
        <w:jc w:val="both"/>
      </w:pPr>
      <w:r>
        <w:drawing>
          <wp:inline distT="0" distB="0" distL="114300" distR="114300">
            <wp:extent cx="5269230" cy="1939925"/>
            <wp:effectExtent l="0" t="0" r="1270" b="317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4"/>
                    <a:stretch>
                      <a:fillRect/>
                    </a:stretch>
                  </pic:blipFill>
                  <pic:spPr>
                    <a:xfrm>
                      <a:off x="0" y="0"/>
                      <a:ext cx="5269230" cy="1939925"/>
                    </a:xfrm>
                    <a:prstGeom prst="rect">
                      <a:avLst/>
                    </a:prstGeom>
                    <a:noFill/>
                    <a:ln>
                      <a:noFill/>
                    </a:ln>
                  </pic:spPr>
                </pic:pic>
              </a:graphicData>
            </a:graphic>
          </wp:inline>
        </w:drawing>
      </w:r>
    </w:p>
    <w:p w14:paraId="0ACE685C">
      <w:pPr>
        <w:numPr>
          <w:ilvl w:val="0"/>
          <w:numId w:val="0"/>
        </w:numPr>
        <w:spacing w:line="360" w:lineRule="auto"/>
        <w:jc w:val="both"/>
        <w:rPr>
          <w:rFonts w:hint="eastAsia"/>
          <w:lang w:val="en-US" w:eastAsia="zh-CN"/>
        </w:rPr>
      </w:pPr>
      <w:r>
        <w:drawing>
          <wp:inline distT="0" distB="0" distL="114300" distR="114300">
            <wp:extent cx="5267960" cy="2637155"/>
            <wp:effectExtent l="0" t="0" r="2540" b="444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5"/>
                    <a:stretch>
                      <a:fillRect/>
                    </a:stretch>
                  </pic:blipFill>
                  <pic:spPr>
                    <a:xfrm>
                      <a:off x="0" y="0"/>
                      <a:ext cx="5267960" cy="2637155"/>
                    </a:xfrm>
                    <a:prstGeom prst="rect">
                      <a:avLst/>
                    </a:prstGeom>
                    <a:noFill/>
                    <a:ln>
                      <a:noFill/>
                    </a:ln>
                  </pic:spPr>
                </pic:pic>
              </a:graphicData>
            </a:graphic>
          </wp:inline>
        </w:drawing>
      </w:r>
    </w:p>
    <w:p w14:paraId="70D04ED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0412559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22EA1CE">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67ED4EED">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3113909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76E5E5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011F5C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71CEE0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140581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1BE632A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E7725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4A420121">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耕层厚度、土壤质地、有效锰、速效钾、有效磷、全氮、全磷、交换性钙、交换性镁等指标的分级阈值与《全国九大农区、省级耕地质量监测指标分级标准的通知》不一致，请依照标准检查图件及报告等分级内容。</w:t>
      </w:r>
    </w:p>
    <w:p w14:paraId="1544DEDB">
      <w:pPr>
        <w:numPr>
          <w:ilvl w:val="0"/>
          <w:numId w:val="0"/>
        </w:numPr>
        <w:spacing w:line="360" w:lineRule="auto"/>
        <w:jc w:val="both"/>
      </w:pPr>
      <w:r>
        <w:drawing>
          <wp:inline distT="0" distB="0" distL="114300" distR="114300">
            <wp:extent cx="4414520" cy="5466080"/>
            <wp:effectExtent l="0" t="0" r="5080" b="762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3"/>
                    <a:stretch>
                      <a:fillRect/>
                    </a:stretch>
                  </pic:blipFill>
                  <pic:spPr>
                    <a:xfrm>
                      <a:off x="0" y="0"/>
                      <a:ext cx="4414520" cy="5466080"/>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530FF8D8">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不统一。清单严格采用第三次全国土壤普查（三普）规范化的土属名称（如“氯化物滨海潮滩盐土”“壤质潮土”“氯化物盐化潮土”等），而专题报告在第四章制图建模及部分统计表中，仍沿用“典型潮土”“盐化潮土”“淹育水稻土”等传统亚类名称。请核查。</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是。土壤物理性质、化学性质、全磷、全钾、中微量元素未进行成因分析。</w:t>
      </w:r>
    </w:p>
    <w:p w14:paraId="6F33690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1836420" cy="4892040"/>
            <wp:effectExtent l="0" t="0" r="5080" b="1016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6"/>
                    <a:stretch>
                      <a:fillRect/>
                    </a:stretch>
                  </pic:blipFill>
                  <pic:spPr>
                    <a:xfrm>
                      <a:off x="0" y="0"/>
                      <a:ext cx="1836420" cy="4892040"/>
                    </a:xfrm>
                    <a:prstGeom prst="rect">
                      <a:avLst/>
                    </a:prstGeom>
                    <a:noFill/>
                    <a:ln>
                      <a:noFill/>
                    </a:ln>
                  </pic:spPr>
                </pic:pic>
              </a:graphicData>
            </a:graphic>
          </wp:inline>
        </w:drawing>
      </w:r>
      <w:r>
        <w:drawing>
          <wp:inline distT="0" distB="0" distL="114300" distR="114300">
            <wp:extent cx="1584960" cy="2019300"/>
            <wp:effectExtent l="0" t="0" r="2540" b="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7"/>
                    <a:stretch>
                      <a:fillRect/>
                    </a:stretch>
                  </pic:blipFill>
                  <pic:spPr>
                    <a:xfrm>
                      <a:off x="0" y="0"/>
                      <a:ext cx="1584960" cy="2019300"/>
                    </a:xfrm>
                    <a:prstGeom prst="rect">
                      <a:avLst/>
                    </a:prstGeom>
                    <a:noFill/>
                    <a:ln>
                      <a:noFill/>
                    </a:ln>
                  </pic:spPr>
                </pic:pic>
              </a:graphicData>
            </a:graphic>
          </wp:inline>
        </w:drawing>
      </w:r>
      <w:r>
        <w:drawing>
          <wp:inline distT="0" distB="0" distL="114300" distR="114300">
            <wp:extent cx="1783715" cy="4218940"/>
            <wp:effectExtent l="0" t="0" r="6985" b="1016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8"/>
                    <a:srcRect b="17486"/>
                    <a:stretch>
                      <a:fillRect/>
                    </a:stretch>
                  </pic:blipFill>
                  <pic:spPr>
                    <a:xfrm>
                      <a:off x="0" y="0"/>
                      <a:ext cx="1783715" cy="4218940"/>
                    </a:xfrm>
                    <a:prstGeom prst="rect">
                      <a:avLst/>
                    </a:prstGeom>
                    <a:noFill/>
                    <a:ln>
                      <a:noFill/>
                    </a:ln>
                  </pic:spPr>
                </pic:pic>
              </a:graphicData>
            </a:graphic>
          </wp:inline>
        </w:drawing>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是。第二章各属性均有“土地利用类型差异”和“土壤类型差异”两节，但对比方式</w:t>
      </w:r>
      <w:r>
        <w:rPr>
          <w:rFonts w:hint="default" w:ascii="Times New Roman" w:hAnsi="Times New Roman" w:eastAsia="宋体" w:cs="Times New Roman"/>
          <w:b w:val="0"/>
          <w:bCs w:val="0"/>
          <w:sz w:val="24"/>
          <w:szCs w:val="24"/>
          <w:lang w:val="en-US" w:eastAsia="zh-CN"/>
        </w:rPr>
        <w:t>单一</w:t>
      </w:r>
      <w:r>
        <w:rPr>
          <w:rFonts w:hint="eastAsia" w:ascii="Times New Roman" w:hAnsi="Times New Roman" w:eastAsia="宋体" w:cs="Times New Roman"/>
          <w:b w:val="0"/>
          <w:bCs w:val="0"/>
          <w:sz w:val="24"/>
          <w:szCs w:val="24"/>
          <w:lang w:val="en-US" w:eastAsia="zh-CN"/>
        </w:rPr>
        <w:t>。第三章“各镇乡土壤属性分布”虽然对每个有样点的镇乡进行了列表，但</w:t>
      </w:r>
      <w:r>
        <w:rPr>
          <w:rFonts w:hint="default" w:ascii="Times New Roman" w:hAnsi="Times New Roman" w:eastAsia="宋体" w:cs="Times New Roman"/>
          <w:b w:val="0"/>
          <w:bCs w:val="0"/>
          <w:sz w:val="24"/>
          <w:szCs w:val="24"/>
          <w:lang w:val="en-US" w:eastAsia="zh-CN"/>
        </w:rPr>
        <w:t>分区归纳不足。</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w:t>
      </w:r>
    </w:p>
    <w:p w14:paraId="5DBC3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是。林地、草地样点的中微量元素数据大量缺失（表中标注为“/”），但未在文字中说明缺失原因。</w:t>
      </w:r>
    </w:p>
    <w:p w14:paraId="45D27F3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9865" cy="3667125"/>
            <wp:effectExtent l="0" t="0" r="635" b="317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29"/>
                    <a:stretch>
                      <a:fillRect/>
                    </a:stretch>
                  </pic:blipFill>
                  <pic:spPr>
                    <a:xfrm>
                      <a:off x="0" y="0"/>
                      <a:ext cx="5269865" cy="3667125"/>
                    </a:xfrm>
                    <a:prstGeom prst="rect">
                      <a:avLst/>
                    </a:prstGeom>
                    <a:noFill/>
                    <a:ln>
                      <a:noFill/>
                    </a:ln>
                  </pic:spPr>
                </pic:pic>
              </a:graphicData>
            </a:graphic>
          </wp:inline>
        </w:drawing>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7D373C0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是。仅对相关系数进行了定性描述，未给出显著性水平（p值）。</w:t>
      </w:r>
    </w:p>
    <w:p w14:paraId="5FEFBB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0500" cy="1079500"/>
            <wp:effectExtent l="0" t="0" r="0" b="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0"/>
                    <a:stretch>
                      <a:fillRect/>
                    </a:stretch>
                  </pic:blipFill>
                  <pic:spPr>
                    <a:xfrm>
                      <a:off x="0" y="0"/>
                      <a:ext cx="5270500" cy="1079500"/>
                    </a:xfrm>
                    <a:prstGeom prst="rect">
                      <a:avLst/>
                    </a:prstGeom>
                    <a:noFill/>
                    <a:ln>
                      <a:noFill/>
                    </a:ln>
                  </pic:spPr>
                </pic:pic>
              </a:graphicData>
            </a:graphic>
          </wp:inline>
        </w:drawing>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是。相关系数热图（图2-5-1）中标注了r值，但</w:t>
      </w:r>
      <w:r>
        <w:rPr>
          <w:rFonts w:hint="default" w:ascii="Times New Roman" w:hAnsi="Times New Roman" w:eastAsia="宋体" w:cs="Times New Roman"/>
          <w:b w:val="0"/>
          <w:bCs w:val="0"/>
          <w:sz w:val="24"/>
          <w:szCs w:val="24"/>
          <w:lang w:val="en-US" w:eastAsia="zh-CN"/>
        </w:rPr>
        <w:t>未标注显著性星号</w:t>
      </w:r>
      <w:r>
        <w:rPr>
          <w:rFonts w:hint="eastAsia" w:ascii="Times New Roman" w:hAnsi="Times New Roman" w:eastAsia="宋体" w:cs="Times New Roman"/>
          <w:b w:val="0"/>
          <w:bCs w:val="0"/>
          <w:sz w:val="24"/>
          <w:szCs w:val="24"/>
          <w:lang w:val="en-US" w:eastAsia="zh-CN"/>
        </w:rPr>
        <w:t>。</w:t>
      </w:r>
    </w:p>
    <w:p w14:paraId="7D7B2CC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lang w:val="en-US" w:eastAsia="zh-CN"/>
        </w:rPr>
        <w:drawing>
          <wp:inline distT="0" distB="0" distL="114300" distR="114300">
            <wp:extent cx="4413250" cy="3483610"/>
            <wp:effectExtent l="0" t="0" r="6350" b="8890"/>
            <wp:docPr id="82" name="图片 82" descr="乐亭县_corr_heatmap_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乐亭县_corr_heatmap_triangle"/>
                    <pic:cNvPicPr>
                      <a:picLocks noChangeAspect="1"/>
                    </pic:cNvPicPr>
                  </pic:nvPicPr>
                  <pic:blipFill>
                    <a:blip r:embed="rId31"/>
                    <a:stretch>
                      <a:fillRect/>
                    </a:stretch>
                  </pic:blipFill>
                  <pic:spPr>
                    <a:xfrm>
                      <a:off x="0" y="0"/>
                      <a:ext cx="4413250" cy="3483610"/>
                    </a:xfrm>
                    <a:prstGeom prst="rect">
                      <a:avLst/>
                    </a:prstGeom>
                  </pic:spPr>
                </pic:pic>
              </a:graphicData>
            </a:graphic>
          </wp:inline>
        </w:drawing>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5A0198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6690" cy="2714625"/>
            <wp:effectExtent l="0" t="0" r="3810" b="3175"/>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32"/>
                    <a:stretch>
                      <a:fillRect/>
                    </a:stretch>
                  </pic:blipFill>
                  <pic:spPr>
                    <a:xfrm>
                      <a:off x="0" y="0"/>
                      <a:ext cx="5266690" cy="2714625"/>
                    </a:xfrm>
                    <a:prstGeom prst="rect">
                      <a:avLst/>
                    </a:prstGeom>
                    <a:noFill/>
                    <a:ln>
                      <a:noFill/>
                    </a:ln>
                  </pic:spPr>
                </pic:pic>
              </a:graphicData>
            </a:graphic>
          </wp:inline>
        </w:drawing>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C5D73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A9C724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是。全磷、全钾、pH、CEC、容重、质地、水稳性团聚体、交换性钙、交换性镁、有效硫、有效铁、有效锰、有效铜、有效锌、有效硼、有效钼等</w:t>
      </w:r>
      <w:r>
        <w:rPr>
          <w:rFonts w:hint="default" w:ascii="Times New Roman" w:hAnsi="Times New Roman" w:eastAsia="宋体" w:cs="Times New Roman"/>
          <w:b w:val="0"/>
          <w:bCs w:val="0"/>
          <w:sz w:val="24"/>
          <w:szCs w:val="24"/>
          <w:lang w:val="en-US" w:eastAsia="zh-CN"/>
        </w:rPr>
        <w:t>16项属性完全没有历史变化分析，仅分析了有机质、全氮、有效磷、速效钾4项。</w:t>
      </w:r>
      <w:r>
        <w:rPr>
          <w:rFonts w:hint="eastAsia" w:ascii="Times New Roman" w:hAnsi="Times New Roman" w:eastAsia="宋体" w:cs="Times New Roman"/>
          <w:b w:val="0"/>
          <w:bCs w:val="0"/>
          <w:sz w:val="24"/>
          <w:szCs w:val="24"/>
          <w:lang w:val="en-US" w:eastAsia="zh-CN"/>
        </w:rPr>
        <w:t>且</w:t>
      </w:r>
      <w:r>
        <w:rPr>
          <w:rFonts w:hint="default" w:ascii="Times New Roman" w:hAnsi="Times New Roman" w:eastAsia="宋体" w:cs="Times New Roman"/>
          <w:b w:val="0"/>
          <w:bCs w:val="0"/>
          <w:sz w:val="24"/>
          <w:szCs w:val="24"/>
          <w:lang w:val="en-US" w:eastAsia="zh-CN"/>
        </w:rPr>
        <w:t>已有分析中，驱动因素的解析偏定性。</w:t>
      </w:r>
      <w:r>
        <w:rPr>
          <w:rFonts w:hint="eastAsia" w:ascii="Times New Roman" w:hAnsi="Times New Roman" w:eastAsia="宋体" w:cs="Times New Roman"/>
          <w:b w:val="0"/>
          <w:bCs w:val="0"/>
          <w:sz w:val="24"/>
          <w:szCs w:val="24"/>
          <w:lang w:val="en-US" w:eastAsia="zh-CN"/>
        </w:rPr>
        <w:t>请核查补充。</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是。21项土壤属性中仅4项有历史变化分析。</w:t>
      </w:r>
    </w:p>
    <w:p w14:paraId="023CBA8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2438400" cy="4705350"/>
            <wp:effectExtent l="0" t="0" r="0" b="6350"/>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33"/>
                    <a:stretch>
                      <a:fillRect/>
                    </a:stretch>
                  </pic:blipFill>
                  <pic:spPr>
                    <a:xfrm>
                      <a:off x="0" y="0"/>
                      <a:ext cx="2438400" cy="4705350"/>
                    </a:xfrm>
                    <a:prstGeom prst="rect">
                      <a:avLst/>
                    </a:prstGeom>
                    <a:noFill/>
                    <a:ln>
                      <a:noFill/>
                    </a:ln>
                  </pic:spPr>
                </pic:pic>
              </a:graphicData>
            </a:graphic>
          </wp:inline>
        </w:drawing>
      </w:r>
      <w:r>
        <w:drawing>
          <wp:inline distT="0" distB="0" distL="114300" distR="114300">
            <wp:extent cx="1895475" cy="4429125"/>
            <wp:effectExtent l="0" t="0" r="9525" b="3175"/>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34"/>
                    <a:stretch>
                      <a:fillRect/>
                    </a:stretch>
                  </pic:blipFill>
                  <pic:spPr>
                    <a:xfrm>
                      <a:off x="0" y="0"/>
                      <a:ext cx="1895475" cy="4429125"/>
                    </a:xfrm>
                    <a:prstGeom prst="rect">
                      <a:avLst/>
                    </a:prstGeom>
                    <a:noFill/>
                    <a:ln>
                      <a:noFill/>
                    </a:ln>
                  </pic:spPr>
                </pic:pic>
              </a:graphicData>
            </a:graphic>
          </wp:inline>
        </w:drawing>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是。有机质、全氮、有效磷、速效钾4项虽有表格统计（表2-3-5、2-3-9、2-3-19、2-3-23），但</w:t>
      </w:r>
      <w:r>
        <w:rPr>
          <w:rFonts w:hint="default" w:ascii="Times New Roman" w:hAnsi="Times New Roman" w:eastAsia="宋体" w:cs="Times New Roman"/>
          <w:b w:val="0"/>
          <w:bCs w:val="0"/>
          <w:sz w:val="24"/>
          <w:szCs w:val="24"/>
          <w:lang w:val="en-US" w:eastAsia="zh-CN"/>
        </w:rPr>
        <w:t>均为样点统计表，缺少空间分布对比图</w:t>
      </w:r>
      <w:r>
        <w:rPr>
          <w:rFonts w:hint="eastAsia" w:ascii="Times New Roman" w:hAnsi="Times New Roman" w:eastAsia="宋体" w:cs="Times New Roman"/>
          <w:b w:val="0"/>
          <w:bCs w:val="0"/>
          <w:sz w:val="24"/>
          <w:szCs w:val="24"/>
          <w:lang w:val="en-US" w:eastAsia="zh-CN"/>
        </w:rPr>
        <w:t>。</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3619D67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1.历史变化成因分析不充分或不合理。</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2.历史变化分析中，未按地形分区或土壤类型分区进行对比，仅笼统给出全县平均值和等级占比变化。</w:t>
      </w:r>
    </w:p>
    <w:p w14:paraId="2A8E6BCA">
      <w:pPr>
        <w:numPr>
          <w:ilvl w:val="0"/>
          <w:numId w:val="0"/>
        </w:numPr>
        <w:spacing w:line="360" w:lineRule="auto"/>
        <w:jc w:val="both"/>
        <w:rPr>
          <w:rFonts w:hint="eastAsia"/>
          <w:b/>
          <w:bCs/>
          <w:sz w:val="24"/>
          <w:szCs w:val="24"/>
          <w:lang w:val="en-US" w:eastAsia="zh-CN"/>
        </w:rPr>
      </w:pP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55208B4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1.变化幅度计算错误。请核查全文同类型错误。</w:t>
      </w:r>
    </w:p>
    <w:p w14:paraId="1331042D">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3590290"/>
            <wp:effectExtent l="0" t="0" r="12065" b="381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35"/>
                    <a:stretch>
                      <a:fillRect/>
                    </a:stretch>
                  </pic:blipFill>
                  <pic:spPr>
                    <a:xfrm>
                      <a:off x="0" y="0"/>
                      <a:ext cx="5271135" cy="3590290"/>
                    </a:xfrm>
                    <a:prstGeom prst="rect">
                      <a:avLst/>
                    </a:prstGeom>
                    <a:noFill/>
                    <a:ln>
                      <a:noFill/>
                    </a:ln>
                  </pic:spPr>
                </pic:pic>
              </a:graphicData>
            </a:graphic>
          </wp:inline>
        </w:drawing>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7B6B0E4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1.表格名称中多处错别字。请核查全文同类型错误。</w:t>
      </w:r>
    </w:p>
    <w:p w14:paraId="493E6883">
      <w:pPr>
        <w:numPr>
          <w:ilvl w:val="0"/>
          <w:numId w:val="0"/>
        </w:numPr>
        <w:spacing w:line="360" w:lineRule="auto"/>
        <w:ind w:firstLine="420" w:firstLineChars="200"/>
        <w:jc w:val="both"/>
      </w:pPr>
      <w:r>
        <w:drawing>
          <wp:inline distT="0" distB="0" distL="114300" distR="114300">
            <wp:extent cx="5271135" cy="2788920"/>
            <wp:effectExtent l="0" t="0" r="12065" b="508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36"/>
                    <a:stretch>
                      <a:fillRect/>
                    </a:stretch>
                  </pic:blipFill>
                  <pic:spPr>
                    <a:xfrm>
                      <a:off x="0" y="0"/>
                      <a:ext cx="5271135" cy="2788920"/>
                    </a:xfrm>
                    <a:prstGeom prst="rect">
                      <a:avLst/>
                    </a:prstGeom>
                    <a:noFill/>
                    <a:ln>
                      <a:noFill/>
                    </a:ln>
                  </pic:spPr>
                </pic:pic>
              </a:graphicData>
            </a:graphic>
          </wp:inline>
        </w:drawing>
      </w:r>
    </w:p>
    <w:p w14:paraId="5D3DD7DF">
      <w:pPr>
        <w:numPr>
          <w:ilvl w:val="0"/>
          <w:numId w:val="0"/>
        </w:numPr>
        <w:spacing w:line="360" w:lineRule="auto"/>
        <w:ind w:firstLine="420" w:firstLineChars="200"/>
        <w:jc w:val="both"/>
      </w:pPr>
      <w:r>
        <w:drawing>
          <wp:inline distT="0" distB="0" distL="114300" distR="114300">
            <wp:extent cx="5270500" cy="2979420"/>
            <wp:effectExtent l="0" t="0" r="0" b="5080"/>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37"/>
                    <a:stretch>
                      <a:fillRect/>
                    </a:stretch>
                  </pic:blipFill>
                  <pic:spPr>
                    <a:xfrm>
                      <a:off x="0" y="0"/>
                      <a:ext cx="5270500" cy="2979420"/>
                    </a:xfrm>
                    <a:prstGeom prst="rect">
                      <a:avLst/>
                    </a:prstGeom>
                    <a:noFill/>
                    <a:ln>
                      <a:noFill/>
                    </a:ln>
                  </pic:spPr>
                </pic:pic>
              </a:graphicData>
            </a:graphic>
          </wp:inline>
        </w:drawing>
      </w:r>
    </w:p>
    <w:p w14:paraId="7989A99A">
      <w:pPr>
        <w:numPr>
          <w:ilvl w:val="0"/>
          <w:numId w:val="0"/>
        </w:numPr>
        <w:spacing w:line="360" w:lineRule="auto"/>
        <w:ind w:firstLine="420" w:firstLineChars="200"/>
        <w:jc w:val="both"/>
        <w:rPr>
          <w:rFonts w:hint="eastAsia"/>
          <w:lang w:val="en-US" w:eastAsia="zh-CN"/>
        </w:rPr>
      </w:pPr>
      <w:r>
        <w:rPr>
          <w:rFonts w:hint="eastAsia"/>
          <w:lang w:val="en-US" w:eastAsia="zh-CN"/>
        </w:rPr>
        <w:t>2.同一指标在不同表格中的单位标注不一致，如交换性钙有时标注为cmol/kg，有时在文字中说明转换为mg/kg，不够统一。</w:t>
      </w:r>
    </w:p>
    <w:p w14:paraId="2F2E71A8">
      <w:pPr>
        <w:numPr>
          <w:ilvl w:val="0"/>
          <w:numId w:val="0"/>
        </w:numPr>
        <w:spacing w:line="360" w:lineRule="auto"/>
        <w:ind w:firstLine="420" w:firstLineChars="200"/>
        <w:jc w:val="both"/>
        <w:rPr>
          <w:rFonts w:hint="eastAsia"/>
          <w:lang w:val="en-US" w:eastAsia="zh-CN"/>
        </w:rPr>
      </w:pPr>
      <w:r>
        <w:drawing>
          <wp:inline distT="0" distB="0" distL="114300" distR="114300">
            <wp:extent cx="5274310" cy="4520565"/>
            <wp:effectExtent l="0" t="0" r="8890" b="63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38"/>
                    <a:stretch>
                      <a:fillRect/>
                    </a:stretch>
                  </pic:blipFill>
                  <pic:spPr>
                    <a:xfrm>
                      <a:off x="0" y="0"/>
                      <a:ext cx="5274310" cy="4520565"/>
                    </a:xfrm>
                    <a:prstGeom prst="rect">
                      <a:avLst/>
                    </a:prstGeom>
                    <a:noFill/>
                    <a:ln>
                      <a:noFill/>
                    </a:ln>
                  </pic:spPr>
                </pic:pic>
              </a:graphicData>
            </a:graphic>
          </wp:inline>
        </w:drawing>
      </w:r>
    </w:p>
    <w:p w14:paraId="2F4E5ACD">
      <w:pPr>
        <w:numPr>
          <w:ilvl w:val="0"/>
          <w:numId w:val="0"/>
        </w:numPr>
        <w:spacing w:line="360" w:lineRule="auto"/>
        <w:ind w:firstLine="420" w:firstLineChars="200"/>
        <w:jc w:val="both"/>
        <w:rPr>
          <w:rFonts w:hint="default"/>
          <w:lang w:val="en-US" w:eastAsia="zh-CN"/>
        </w:rPr>
      </w:pPr>
      <w:r>
        <w:rPr>
          <w:rFonts w:hint="eastAsia" w:ascii="Times New Roman" w:hAnsi="Times New Roman" w:cs="Times New Roman"/>
          <w:color w:val="auto"/>
          <w:highlight w:val="none"/>
          <w:lang w:val="en-US" w:eastAsia="zh-CN"/>
        </w:rPr>
        <w:drawing>
          <wp:inline distT="0" distB="0" distL="114300" distR="114300">
            <wp:extent cx="5611495" cy="2742565"/>
            <wp:effectExtent l="0" t="0" r="1905" b="635"/>
            <wp:docPr id="101" name="图片 101" descr="各镇乡土壤交换性钙样点均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各镇乡土壤交换性钙样点均值"/>
                    <pic:cNvPicPr>
                      <a:picLocks noChangeAspect="1"/>
                    </pic:cNvPicPr>
                  </pic:nvPicPr>
                  <pic:blipFill>
                    <a:blip r:embed="rId39"/>
                    <a:stretch>
                      <a:fillRect/>
                    </a:stretch>
                  </pic:blipFill>
                  <pic:spPr>
                    <a:xfrm>
                      <a:off x="0" y="0"/>
                      <a:ext cx="5611495" cy="2742565"/>
                    </a:xfrm>
                    <a:prstGeom prst="rect">
                      <a:avLst/>
                    </a:prstGeom>
                  </pic:spPr>
                </pic:pic>
              </a:graphicData>
            </a:graphic>
          </wp:inline>
        </w:drawing>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65D28FC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1.正文中多处表述与规范略有出入（如“随机森林克里格”表述不当，应为“随机森林”）。请核查。</w:t>
      </w:r>
    </w:p>
    <w:p w14:paraId="4E376724">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1160780"/>
            <wp:effectExtent l="0" t="0" r="10160" b="762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40"/>
                    <a:stretch>
                      <a:fillRect/>
                    </a:stretch>
                  </pic:blipFill>
                  <pic:spPr>
                    <a:xfrm>
                      <a:off x="0" y="0"/>
                      <a:ext cx="5273040" cy="1160780"/>
                    </a:xfrm>
                    <a:prstGeom prst="rect">
                      <a:avLst/>
                    </a:prstGeom>
                    <a:noFill/>
                    <a:ln>
                      <a:noFill/>
                    </a:ln>
                  </pic:spPr>
                </pic:pic>
              </a:graphicData>
            </a:graphic>
          </wp:inline>
        </w:drawing>
      </w:r>
    </w:p>
    <w:p w14:paraId="4CDBC7D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2.出现别的县名称，请全文核查。</w:t>
      </w:r>
    </w:p>
    <w:p w14:paraId="6800874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0500" cy="1624330"/>
            <wp:effectExtent l="0" t="0" r="0" b="127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41"/>
                    <a:stretch>
                      <a:fillRect/>
                    </a:stretch>
                  </pic:blipFill>
                  <pic:spPr>
                    <a:xfrm>
                      <a:off x="0" y="0"/>
                      <a:ext cx="5270500" cy="1624330"/>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278F1F5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1.仅就数据论数据，例如各镇乡土壤属性分析（第三章）基本是“XX镇XX指标为XX，质量等级为XX，高于/低于全县平均值”，没有将数据与当地的农业生产、土地利用、地形条件等结合起来解读。</w:t>
      </w:r>
    </w:p>
    <w:p w14:paraId="12B4324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2639695"/>
            <wp:effectExtent l="0" t="0" r="10795" b="1905"/>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42"/>
                    <a:stretch>
                      <a:fillRect/>
                    </a:stretch>
                  </pic:blipFill>
                  <pic:spPr>
                    <a:xfrm>
                      <a:off x="0" y="0"/>
                      <a:ext cx="5272405" cy="2639695"/>
                    </a:xfrm>
                    <a:prstGeom prst="rect">
                      <a:avLst/>
                    </a:prstGeom>
                    <a:noFill/>
                    <a:ln>
                      <a:noFill/>
                    </a:ln>
                  </pic:spPr>
                </pic:pic>
              </a:graphicData>
            </a:graphic>
          </wp:inline>
        </w:drawing>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469B91F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1.同一级标题前后字体大小不统一，请核查全文。</w:t>
      </w:r>
    </w:p>
    <w:p w14:paraId="7425A779">
      <w:pPr>
        <w:numPr>
          <w:ilvl w:val="0"/>
          <w:numId w:val="0"/>
        </w:numPr>
        <w:spacing w:line="360" w:lineRule="auto"/>
        <w:ind w:firstLine="420" w:firstLineChars="200"/>
        <w:jc w:val="both"/>
      </w:pPr>
      <w:r>
        <w:drawing>
          <wp:inline distT="0" distB="0" distL="114300" distR="114300">
            <wp:extent cx="5269865" cy="3284220"/>
            <wp:effectExtent l="0" t="0" r="635" b="5080"/>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43"/>
                    <a:stretch>
                      <a:fillRect/>
                    </a:stretch>
                  </pic:blipFill>
                  <pic:spPr>
                    <a:xfrm>
                      <a:off x="0" y="0"/>
                      <a:ext cx="5269865" cy="3284220"/>
                    </a:xfrm>
                    <a:prstGeom prst="rect">
                      <a:avLst/>
                    </a:prstGeom>
                    <a:noFill/>
                    <a:ln>
                      <a:noFill/>
                    </a:ln>
                  </pic:spPr>
                </pic:pic>
              </a:graphicData>
            </a:graphic>
          </wp:inline>
        </w:drawing>
      </w:r>
    </w:p>
    <w:p w14:paraId="579FEE02">
      <w:pPr>
        <w:numPr>
          <w:ilvl w:val="0"/>
          <w:numId w:val="0"/>
        </w:numPr>
        <w:spacing w:line="360" w:lineRule="auto"/>
        <w:ind w:firstLine="420" w:firstLineChars="200"/>
        <w:jc w:val="both"/>
        <w:rPr>
          <w:rFonts w:hint="default"/>
          <w:lang w:val="en-US" w:eastAsia="zh-CN"/>
        </w:rPr>
      </w:pPr>
      <w:r>
        <w:drawing>
          <wp:inline distT="0" distB="0" distL="114300" distR="114300">
            <wp:extent cx="5272405" cy="2608580"/>
            <wp:effectExtent l="0" t="0" r="10795" b="7620"/>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44"/>
                    <a:stretch>
                      <a:fillRect/>
                    </a:stretch>
                  </pic:blipFill>
                  <pic:spPr>
                    <a:xfrm>
                      <a:off x="0" y="0"/>
                      <a:ext cx="5272405" cy="2608580"/>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1.土壤属性分级未按全国九大农区分级标准。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2ADB0FF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1.未</w:t>
      </w:r>
      <w:r>
        <w:rPr>
          <w:rFonts w:hint="default" w:ascii="Times New Roman" w:hAnsi="Times New Roman" w:eastAsia="宋体" w:cs="Times New Roman"/>
          <w:b w:val="0"/>
          <w:bCs w:val="0"/>
          <w:sz w:val="24"/>
          <w:szCs w:val="24"/>
          <w:lang w:val="en-US" w:eastAsia="zh-CN"/>
        </w:rPr>
        <w:t>结合当地农业生产方式等进行成因分析</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报告在第二章各属性分析中，基本未结合</w:t>
      </w:r>
      <w:r>
        <w:rPr>
          <w:rFonts w:hint="eastAsia" w:ascii="Times New Roman" w:hAnsi="Times New Roman" w:eastAsia="宋体" w:cs="Times New Roman"/>
          <w:b w:val="0"/>
          <w:bCs w:val="0"/>
          <w:sz w:val="24"/>
          <w:szCs w:val="24"/>
          <w:lang w:val="en-US" w:eastAsia="zh-CN"/>
        </w:rPr>
        <w:t>乐亭</w:t>
      </w:r>
      <w:r>
        <w:rPr>
          <w:rFonts w:hint="default" w:ascii="Times New Roman" w:hAnsi="Times New Roman" w:eastAsia="宋体" w:cs="Times New Roman"/>
          <w:b w:val="0"/>
          <w:bCs w:val="0"/>
          <w:sz w:val="24"/>
          <w:szCs w:val="24"/>
          <w:lang w:val="en-US" w:eastAsia="zh-CN"/>
        </w:rPr>
        <w:t>县具体的农业生产方式进行成因解释</w:t>
      </w:r>
      <w:r>
        <w:rPr>
          <w:rFonts w:hint="eastAsia" w:ascii="Times New Roman" w:hAnsi="Times New Roman" w:eastAsia="宋体" w:cs="Times New Roman"/>
          <w:b w:val="0"/>
          <w:bCs w:val="0"/>
          <w:sz w:val="24"/>
          <w:szCs w:val="24"/>
          <w:lang w:val="en-US" w:eastAsia="zh-CN"/>
        </w:rPr>
        <w:t>。</w:t>
      </w:r>
    </w:p>
    <w:p w14:paraId="11F0378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仅对表格数据进行简单文字</w:t>
      </w:r>
      <w:r>
        <w:rPr>
          <w:rFonts w:hint="eastAsia" w:ascii="Times New Roman" w:hAnsi="Times New Roman" w:eastAsia="宋体" w:cs="Times New Roman"/>
          <w:b w:val="0"/>
          <w:bCs w:val="0"/>
          <w:sz w:val="24"/>
          <w:szCs w:val="24"/>
          <w:lang w:val="en-US" w:eastAsia="zh-CN"/>
        </w:rPr>
        <w:t>表述。如第二章全篇各属性分析中，“县域范围总体状况”基本是“含量范围在XX~XX之间，平均值XX，中位值XX，质量等级为XX级”，纯粹是对统计表的文字复述。</w:t>
      </w:r>
    </w:p>
    <w:p w14:paraId="1BAFADD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3.对与土壤类型无关的属性进行分析，如速磷、速钾，主要受施肥管理影响，与土壤类型的关联本身较弱。</w:t>
      </w:r>
    </w:p>
    <w:p w14:paraId="6810A2A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4239895"/>
            <wp:effectExtent l="0" t="0" r="12065" b="1905"/>
            <wp:docPr id="4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pic:cNvPicPr>
                      <a:picLocks noChangeAspect="1"/>
                    </pic:cNvPicPr>
                  </pic:nvPicPr>
                  <pic:blipFill>
                    <a:blip r:embed="rId45"/>
                    <a:stretch>
                      <a:fillRect/>
                    </a:stretch>
                  </pic:blipFill>
                  <pic:spPr>
                    <a:xfrm>
                      <a:off x="0" y="0"/>
                      <a:ext cx="5271135" cy="4239895"/>
                    </a:xfrm>
                    <a:prstGeom prst="rect">
                      <a:avLst/>
                    </a:prstGeom>
                    <a:noFill/>
                    <a:ln>
                      <a:noFill/>
                    </a:ln>
                  </pic:spPr>
                </pic:pic>
              </a:graphicData>
            </a:graphic>
          </wp:inline>
        </w:drawing>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5411A8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86F89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51C1AF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0EF461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582B88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B85BBF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0499E39B"/>
    <w:p w14:paraId="28EE39C8"/>
    <w:p w14:paraId="1EAA7B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AF7E0B"/>
    <w:rsid w:val="02AF7E0B"/>
    <w:rsid w:val="04F311AF"/>
    <w:rsid w:val="060379FA"/>
    <w:rsid w:val="086A5B0F"/>
    <w:rsid w:val="0D254A04"/>
    <w:rsid w:val="104C612D"/>
    <w:rsid w:val="12283A71"/>
    <w:rsid w:val="174C7453"/>
    <w:rsid w:val="1E3B5898"/>
    <w:rsid w:val="243F5C4A"/>
    <w:rsid w:val="28911EA1"/>
    <w:rsid w:val="43E51F12"/>
    <w:rsid w:val="459C2AA4"/>
    <w:rsid w:val="477C2241"/>
    <w:rsid w:val="49756FCA"/>
    <w:rsid w:val="4C251041"/>
    <w:rsid w:val="4C334692"/>
    <w:rsid w:val="51087240"/>
    <w:rsid w:val="54C811C0"/>
    <w:rsid w:val="5C2C0286"/>
    <w:rsid w:val="5D414554"/>
    <w:rsid w:val="5E702087"/>
    <w:rsid w:val="5EC21376"/>
    <w:rsid w:val="5F725E86"/>
    <w:rsid w:val="60F008EA"/>
    <w:rsid w:val="671C64DD"/>
    <w:rsid w:val="69790A9B"/>
    <w:rsid w:val="6A8A708B"/>
    <w:rsid w:val="6B855C05"/>
    <w:rsid w:val="6C282E17"/>
    <w:rsid w:val="6F8F2BAE"/>
    <w:rsid w:val="731B19F3"/>
    <w:rsid w:val="7A356754"/>
    <w:rsid w:val="7AB471C4"/>
    <w:rsid w:val="7BD81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9417</Words>
  <Characters>9975</Characters>
  <Lines>0</Lines>
  <Paragraphs>0</Paragraphs>
  <TotalTime>0</TotalTime>
  <ScaleCrop>false</ScaleCrop>
  <LinksUpToDate>false</LinksUpToDate>
  <CharactersWithSpaces>10098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2026-07-14T03:59:00Z</dcterms:created>
  <dc:creator>姚雨帆</dc:creator>
  <cp:lastModifiedBy>行</cp:lastModifiedBy>
  <dcterms:modified xsi:type="dcterms:W3CDTF">2026-07-20T02:20:12Z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F269FF82C1C4463E9075DA8648A0B587_11</vt:lpwstr>
  </property>
  <property fmtid="{D5CDD505-2E9C-101B-9397-08002B2CF9AE}" pid="4" name="KSOTemplateDocerSaveRecord">
    <vt:lpwstr>eyJoZGlkIjoiMjg1ZTFhZTI0N2UzMmIxMTc0YjNhZTU1ZTllNTMzMDUiLCJ1c2VySWQiOiIxMjM2NzI1Mjk2In0=</vt:lpwstr>
  </property>
</Properties>
</file>