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固安县、霸州市第三次全国土壤普查成果质控报告</w:t>
      </w:r>
    </w:p>
    <w:p w14:paraId="718DE00A">
      <w:pPr>
        <w:jc w:val="center"/>
        <w:rPr>
          <w:rFonts w:hint="default"/>
          <w:sz w:val="36"/>
          <w:szCs w:val="44"/>
          <w:lang w:val="en-US" w:eastAsia="zh-CN"/>
        </w:rPr>
      </w:pPr>
      <w:r>
        <w:rPr>
          <w:rFonts w:hint="eastAsia"/>
          <w:sz w:val="36"/>
          <w:szCs w:val="44"/>
          <w:lang w:val="en-US" w:eastAsia="zh-CN"/>
        </w:rPr>
        <w:t xml:space="preserve">                         </w:t>
      </w:r>
      <w:bookmarkStart w:id="12" w:name="_GoBack"/>
      <w:bookmarkEnd w:id="12"/>
      <w:r>
        <w:rPr>
          <w:rFonts w:hint="eastAsia"/>
          <w:sz w:val="36"/>
          <w:szCs w:val="44"/>
          <w:lang w:val="en-US" w:eastAsia="zh-CN"/>
        </w:rPr>
        <w:t>——以固安县为例</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10</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12</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12</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14</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eastAsia"/>
          <w:color w:val="auto"/>
          <w:sz w:val="28"/>
          <w:szCs w:val="36"/>
          <w:lang w:val="en-US" w:eastAsia="zh-CN"/>
        </w:rPr>
        <w:t>固安县</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w:t>
      </w:r>
      <w:r>
        <w:rPr>
          <w:rFonts w:hint="eastAsia"/>
          <w:color w:val="auto"/>
          <w:sz w:val="24"/>
          <w:szCs w:val="24"/>
          <w:lang w:val="en-US" w:eastAsia="zh-CN"/>
        </w:rPr>
        <w:t>固安县</w:t>
      </w:r>
      <w:r>
        <w:rPr>
          <w:rFonts w:hint="eastAsia"/>
          <w:sz w:val="24"/>
          <w:szCs w:val="24"/>
          <w:lang w:val="en-US" w:eastAsia="zh-CN"/>
        </w:rPr>
        <w:t>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w:t>
      </w:r>
      <w:r>
        <w:rPr>
          <w:rFonts w:hint="eastAsia"/>
          <w:color w:val="auto"/>
          <w:sz w:val="24"/>
          <w:szCs w:val="24"/>
          <w:lang w:val="en-US" w:eastAsia="zh-CN"/>
        </w:rPr>
        <w:t>固安县</w:t>
      </w:r>
      <w:r>
        <w:rPr>
          <w:rFonts w:hint="eastAsia"/>
          <w:sz w:val="24"/>
          <w:szCs w:val="24"/>
          <w:lang w:val="en-US" w:eastAsia="zh-CN"/>
        </w:rPr>
        <w:t>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auto"/>
          <w:sz w:val="24"/>
          <w:szCs w:val="24"/>
          <w:lang w:val="en-US" w:eastAsia="zh-CN"/>
        </w:rPr>
        <w:t>16</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3D910F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3DB5FB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E72145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总体结构与命名规范</w:t>
      </w:r>
    </w:p>
    <w:p w14:paraId="44C6B6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审查标准：</w:t>
      </w:r>
    </w:p>
    <w:p w14:paraId="258A23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根目录命名格式：6位行政区划代码+县级行政区名称，示例：110108北京市海淀区。</w:t>
      </w:r>
    </w:p>
    <w:p w14:paraId="22C14B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第二层级目录必须包含以下七项：第三次全国土壤普查成果库.gdb、基础数据（文件夹）、过程数据（文件夹）、成果数据（文件夹）、地图文档/图层Layout包、汇报PPT（文件夹）、自查表扫描件（.pdf）。</w:t>
      </w:r>
    </w:p>
    <w:p w14:paraId="406F08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成果提交格式：是否以压缩文件rar或zip格式提交；压缩文件命名方式是否为：xx省+xx市+xx县+“土壤三普土壤类型成果”。</w:t>
      </w:r>
    </w:p>
    <w:p w14:paraId="2EB5AB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审查结果：</w:t>
      </w:r>
    </w:p>
    <w:p w14:paraId="611258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b w:val="0"/>
          <w:sz w:val="24"/>
          <w:u w:val="none"/>
          <w:lang w:val="en-US" w:eastAsia="zh-CN"/>
        </w:rPr>
        <w:t>未按照</w:t>
      </w:r>
      <w:r>
        <w:rPr>
          <w:rFonts w:hint="eastAsia" w:ascii="宋体" w:hAnsi="宋体" w:eastAsia="宋体" w:cs="宋体"/>
          <w:b w:val="0"/>
          <w:sz w:val="24"/>
          <w:u w:val="none"/>
          <w:lang w:eastAsia="zh-CN"/>
        </w:rPr>
        <w:t>根目录命名格式</w:t>
      </w:r>
      <w:r>
        <w:rPr>
          <w:rFonts w:hint="eastAsia" w:ascii="宋体" w:hAnsi="宋体" w:eastAsia="宋体" w:cs="宋体"/>
          <w:b w:val="0"/>
          <w:sz w:val="24"/>
          <w:u w:val="none"/>
          <w:lang w:val="en-US" w:eastAsia="zh-CN"/>
        </w:rPr>
        <w:t>命名</w:t>
      </w:r>
    </w:p>
    <w:p w14:paraId="0D4FD7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sz w:val="24"/>
          <w:u w:val="none"/>
          <w:lang w:val="en-US"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第</w:t>
      </w:r>
      <w:r>
        <w:rPr>
          <w:rFonts w:hint="eastAsia" w:ascii="宋体" w:hAnsi="宋体" w:eastAsia="宋体" w:cs="宋体"/>
          <w:b w:val="0"/>
          <w:sz w:val="24"/>
          <w:u w:val="none"/>
          <w:lang w:eastAsia="zh-CN"/>
        </w:rPr>
        <w:t>二层级目录</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自查表扫描件（.pdf）</w:t>
      </w:r>
    </w:p>
    <w:p w14:paraId="1DBF57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337DB20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32"/>
          <w:lang w:val="en-US" w:eastAsia="zh-CN"/>
        </w:rPr>
      </w:pPr>
      <w:r>
        <w:rPr>
          <w:rFonts w:hint="eastAsia" w:ascii="宋体" w:hAnsi="宋体" w:eastAsia="宋体" w:cs="宋体"/>
          <w:b w:val="0"/>
          <w:sz w:val="24"/>
          <w:u w:val="none"/>
          <w:lang w:eastAsia="zh-CN"/>
        </w:rPr>
        <w:t>审查结果：</w:t>
      </w:r>
    </w:p>
    <w:p w14:paraId="5A2C971B">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val="en-US" w:eastAsia="zh-CN"/>
        </w:rPr>
        <w:t>（1）要素中文命名。</w:t>
      </w:r>
      <w:r>
        <w:rPr>
          <w:rFonts w:hint="eastAsia" w:ascii="宋体" w:hAnsi="宋体" w:eastAsia="宋体" w:cs="宋体"/>
          <w:b w:val="0"/>
          <w:sz w:val="24"/>
          <w:u w:val="none"/>
          <w:lang w:eastAsia="zh-CN"/>
        </w:rPr>
        <w:t>数据</w:t>
      </w:r>
      <w:r>
        <w:rPr>
          <w:rFonts w:hint="eastAsia" w:ascii="宋体" w:hAnsi="宋体" w:eastAsia="宋体" w:cs="宋体"/>
          <w:b w:val="0"/>
          <w:sz w:val="24"/>
          <w:u w:val="none"/>
          <w:lang w:val="en-US" w:eastAsia="zh-CN"/>
        </w:rPr>
        <w:t>命名不规范，是否有各类数据？</w:t>
      </w:r>
    </w:p>
    <w:p w14:paraId="6B69FF19">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eastAsiaTheme="minorEastAsia"/>
          <w:lang w:val="en-US" w:eastAsia="zh-CN"/>
        </w:rPr>
      </w:pPr>
      <w:r>
        <w:drawing>
          <wp:inline distT="0" distB="0" distL="114300" distR="114300">
            <wp:extent cx="2152650" cy="3590925"/>
            <wp:effectExtent l="0" t="0" r="0" b="9525"/>
            <wp:docPr id="5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5"/>
                    <pic:cNvPicPr>
                      <a:picLocks noChangeAspect="1"/>
                    </pic:cNvPicPr>
                  </pic:nvPicPr>
                  <pic:blipFill>
                    <a:blip r:embed="rId4"/>
                    <a:stretch>
                      <a:fillRect/>
                    </a:stretch>
                  </pic:blipFill>
                  <pic:spPr>
                    <a:xfrm>
                      <a:off x="0" y="0"/>
                      <a:ext cx="2152650" cy="3590925"/>
                    </a:xfrm>
                    <a:prstGeom prst="rect">
                      <a:avLst/>
                    </a:prstGeom>
                    <a:noFill/>
                    <a:ln>
                      <a:noFill/>
                    </a:ln>
                  </pic:spPr>
                </pic:pic>
              </a:graphicData>
            </a:graphic>
          </wp:inline>
        </w:drawing>
      </w:r>
    </w:p>
    <w:p w14:paraId="3061AD24">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44896AF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审查结果：土壤样点数据</w:t>
      </w:r>
      <w:r>
        <w:rPr>
          <w:rFonts w:hint="eastAsia" w:ascii="宋体" w:hAnsi="宋体" w:eastAsia="宋体" w:cs="宋体"/>
          <w:b w:val="0"/>
          <w:sz w:val="24"/>
          <w:u w:val="none"/>
          <w:lang w:val="en-US" w:eastAsia="zh-CN"/>
        </w:rPr>
        <w:t>命名不规范，无法分辨是否有</w:t>
      </w:r>
      <w:r>
        <w:rPr>
          <w:rFonts w:hint="eastAsia" w:ascii="宋体" w:hAnsi="宋体" w:eastAsia="宋体" w:cs="宋体"/>
          <w:b w:val="0"/>
          <w:sz w:val="24"/>
          <w:u w:val="none"/>
          <w:lang w:eastAsia="zh-CN"/>
        </w:rPr>
        <w:t>三普土壤表层样点、剖面样点相关数据？</w:t>
      </w:r>
    </w:p>
    <w:p w14:paraId="10295689">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1752600" cy="1133475"/>
            <wp:effectExtent l="0" t="0" r="0" b="9525"/>
            <wp:docPr id="5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6"/>
                    <pic:cNvPicPr>
                      <a:picLocks noChangeAspect="1"/>
                    </pic:cNvPicPr>
                  </pic:nvPicPr>
                  <pic:blipFill>
                    <a:blip r:embed="rId5"/>
                    <a:stretch>
                      <a:fillRect/>
                    </a:stretch>
                  </pic:blipFill>
                  <pic:spPr>
                    <a:xfrm>
                      <a:off x="0" y="0"/>
                      <a:ext cx="1752600" cy="1133475"/>
                    </a:xfrm>
                    <a:prstGeom prst="rect">
                      <a:avLst/>
                    </a:prstGeom>
                    <a:noFill/>
                    <a:ln>
                      <a:noFill/>
                    </a:ln>
                  </pic:spPr>
                </pic:pic>
              </a:graphicData>
            </a:graphic>
          </wp:inline>
        </w:drawing>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w:t>
      </w:r>
      <w:r>
        <w:rPr>
          <w:rFonts w:hint="eastAsia" w:ascii="宋体" w:hAnsi="宋体" w:eastAsia="宋体" w:cs="宋体"/>
          <w:b w:val="0"/>
          <w:sz w:val="24"/>
          <w:u w:val="none"/>
          <w:lang w:val="en-US" w:eastAsia="zh-CN"/>
        </w:rPr>
        <w:t>视频、</w:t>
      </w:r>
      <w:r>
        <w:rPr>
          <w:rFonts w:hint="eastAsia" w:ascii="宋体" w:hAnsi="宋体" w:eastAsia="宋体" w:cs="宋体"/>
          <w:b w:val="0"/>
          <w:sz w:val="24"/>
          <w:u w:val="none"/>
          <w:lang w:eastAsia="zh-CN"/>
        </w:rPr>
        <w:t>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066F38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建议将“</w:t>
      </w:r>
      <w:r>
        <w:rPr>
          <w:rFonts w:hint="eastAsia" w:ascii="宋体" w:hAnsi="宋体" w:eastAsia="宋体" w:cs="宋体"/>
          <w:b w:val="0"/>
          <w:sz w:val="24"/>
          <w:u w:val="none"/>
          <w:lang w:eastAsia="zh-CN"/>
        </w:rPr>
        <w:t>土壤类型图野外证明材料”</w:t>
      </w:r>
      <w:r>
        <w:rPr>
          <w:rFonts w:hint="eastAsia" w:ascii="宋体" w:hAnsi="宋体" w:eastAsia="宋体" w:cs="宋体"/>
          <w:b w:val="0"/>
          <w:sz w:val="24"/>
          <w:u w:val="none"/>
          <w:lang w:val="en-US" w:eastAsia="zh-CN"/>
        </w:rPr>
        <w:t>修改为</w:t>
      </w:r>
      <w:r>
        <w:rPr>
          <w:rFonts w:hint="eastAsia" w:ascii="宋体" w:hAnsi="宋体" w:eastAsia="宋体" w:cs="宋体"/>
          <w:b w:val="0"/>
          <w:sz w:val="24"/>
          <w:u w:val="none"/>
          <w:lang w:eastAsia="zh-CN"/>
        </w:rPr>
        <w:t>土壤类型图野外验证材料。</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符合要求。</w:t>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01F0798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eastAsia="zh-CN"/>
        </w:rPr>
        <w:t>审查结果：数据</w:t>
      </w:r>
      <w:r>
        <w:rPr>
          <w:rFonts w:hint="eastAsia" w:ascii="宋体" w:hAnsi="宋体" w:eastAsia="宋体" w:cs="宋体"/>
          <w:b w:val="0"/>
          <w:sz w:val="24"/>
          <w:u w:val="none"/>
          <w:lang w:val="en-US" w:eastAsia="zh-CN"/>
        </w:rPr>
        <w:t>命名不规范，是否有各类数据？</w:t>
      </w:r>
    </w:p>
    <w:p w14:paraId="1626EA7D">
      <w:pPr>
        <w:keepNext/>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宋体" w:hAnsi="宋体" w:eastAsia="宋体" w:cs="宋体"/>
          <w:b/>
          <w:bCs/>
          <w:sz w:val="24"/>
          <w:u w:val="none"/>
          <w:lang w:val="en-US" w:eastAsia="zh-CN"/>
        </w:rPr>
      </w:pPr>
      <w:r>
        <w:drawing>
          <wp:inline distT="0" distB="0" distL="114300" distR="114300">
            <wp:extent cx="2286000" cy="1733550"/>
            <wp:effectExtent l="0" t="0" r="0" b="0"/>
            <wp:docPr id="6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7"/>
                    <pic:cNvPicPr>
                      <a:picLocks noChangeAspect="1"/>
                    </pic:cNvPicPr>
                  </pic:nvPicPr>
                  <pic:blipFill>
                    <a:blip r:embed="rId6"/>
                    <a:stretch>
                      <a:fillRect/>
                    </a:stretch>
                  </pic:blipFill>
                  <pic:spPr>
                    <a:xfrm>
                      <a:off x="0" y="0"/>
                      <a:ext cx="2286000" cy="1733550"/>
                    </a:xfrm>
                    <a:prstGeom prst="rect">
                      <a:avLst/>
                    </a:prstGeom>
                    <a:noFill/>
                    <a:ln>
                      <a:noFill/>
                    </a:ln>
                  </pic:spPr>
                </pic:pic>
              </a:graphicData>
            </a:graphic>
          </wp:inline>
        </w:drawing>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w:t>
      </w:r>
      <w:r>
        <w:rPr>
          <w:rFonts w:hint="eastAsia" w:ascii="宋体" w:hAnsi="宋体" w:eastAsia="宋体" w:cs="宋体"/>
          <w:b w:val="0"/>
          <w:sz w:val="24"/>
          <w:highlight w:val="none"/>
          <w:u w:val="none"/>
          <w:lang w:eastAsia="zh-CN"/>
        </w:rPr>
        <w:t>DEM栅格数据、DEM派生指数数据（30m分辨率）、</w:t>
      </w:r>
      <w:r>
        <w:rPr>
          <w:rFonts w:hint="eastAsia" w:ascii="宋体" w:hAnsi="宋体" w:eastAsia="宋体" w:cs="宋体"/>
          <w:b w:val="0"/>
          <w:sz w:val="24"/>
          <w:u w:val="none"/>
          <w:lang w:eastAsia="zh-CN"/>
        </w:rPr>
        <w:t>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w:t>
      </w:r>
      <w:r>
        <w:rPr>
          <w:rFonts w:hint="eastAsia" w:ascii="宋体" w:hAnsi="宋体" w:eastAsia="宋体" w:cs="宋体"/>
          <w:b w:val="0"/>
          <w:color w:val="auto"/>
          <w:sz w:val="24"/>
          <w:highlight w:val="none"/>
          <w:u w:val="none"/>
          <w:lang w:eastAsia="zh-CN"/>
        </w:rPr>
        <w:t>否有环境数据重要性排序、Kappa系数等验证模型精度。</w:t>
      </w:r>
    </w:p>
    <w:p w14:paraId="748B0CD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eastAsia="zh-CN"/>
        </w:rPr>
        <w:t>审查结果：</w:t>
      </w:r>
    </w:p>
    <w:p w14:paraId="4CC52EF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数据</w:t>
      </w:r>
      <w:r>
        <w:rPr>
          <w:rFonts w:hint="eastAsia" w:ascii="宋体" w:hAnsi="宋体" w:eastAsia="宋体" w:cs="宋体"/>
          <w:b w:val="0"/>
          <w:sz w:val="24"/>
          <w:u w:val="none"/>
          <w:lang w:val="en-US" w:eastAsia="zh-CN"/>
        </w:rPr>
        <w:t>命名不规范，无法分辨是否有土壤类型改变区？是否提供典型虚拟点、三普剖面样点、野外校核点、栅格土种预测结果、栅格不确定性分布结果、土种预测结果矢量化图层？</w:t>
      </w:r>
    </w:p>
    <w:p w14:paraId="46B62B44">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990725" cy="2124075"/>
            <wp:effectExtent l="0" t="0" r="9525" b="9525"/>
            <wp:docPr id="6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8"/>
                    <pic:cNvPicPr>
                      <a:picLocks noChangeAspect="1"/>
                    </pic:cNvPicPr>
                  </pic:nvPicPr>
                  <pic:blipFill>
                    <a:blip r:embed="rId7"/>
                    <a:stretch>
                      <a:fillRect/>
                    </a:stretch>
                  </pic:blipFill>
                  <pic:spPr>
                    <a:xfrm>
                      <a:off x="0" y="0"/>
                      <a:ext cx="1990725" cy="2124075"/>
                    </a:xfrm>
                    <a:prstGeom prst="rect">
                      <a:avLst/>
                    </a:prstGeom>
                    <a:noFill/>
                    <a:ln>
                      <a:noFill/>
                    </a:ln>
                  </pic:spPr>
                </pic:pic>
              </a:graphicData>
            </a:graphic>
          </wp:inline>
        </w:drawing>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0E9B95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符合要求。</w:t>
      </w:r>
    </w:p>
    <w:p w14:paraId="0C74B49B">
      <w:pPr>
        <w:keepNext/>
        <w:keepLines w:val="0"/>
        <w:pageBreakBefore w:val="0"/>
        <w:widowControl w:val="0"/>
        <w:numPr>
          <w:ilvl w:val="0"/>
          <w:numId w:val="4"/>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土壤分类</w:t>
      </w:r>
      <w:r>
        <w:rPr>
          <w:rFonts w:hint="eastAsia" w:ascii="宋体" w:hAnsi="宋体" w:eastAsia="宋体" w:cs="宋体"/>
          <w:b/>
          <w:sz w:val="24"/>
          <w:u w:val="none"/>
          <w:lang w:val="en-US" w:eastAsia="zh-CN"/>
        </w:rPr>
        <w:t>与制图</w:t>
      </w:r>
      <w:r>
        <w:rPr>
          <w:rFonts w:hint="eastAsia" w:ascii="宋体" w:hAnsi="宋体" w:eastAsia="宋体" w:cs="宋体"/>
          <w:b/>
          <w:sz w:val="24"/>
          <w:u w:val="none"/>
          <w:lang w:eastAsia="zh-CN"/>
        </w:rPr>
        <w:t>成果</w:t>
      </w:r>
    </w:p>
    <w:p w14:paraId="4DCF7DD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A442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（1）制图成果关键字段有空值</w:t>
      </w:r>
    </w:p>
    <w:p w14:paraId="03332699">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sz w:val="24"/>
          <w:u w:val="none"/>
          <w:lang w:val="en-US" w:eastAsia="zh-CN"/>
        </w:rPr>
      </w:pPr>
      <w:r>
        <w:drawing>
          <wp:inline distT="0" distB="0" distL="114300" distR="114300">
            <wp:extent cx="3446780" cy="1800225"/>
            <wp:effectExtent l="0" t="0" r="127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446780" cy="1800225"/>
                    </a:xfrm>
                    <a:prstGeom prst="rect">
                      <a:avLst/>
                    </a:prstGeom>
                    <a:noFill/>
                    <a:ln>
                      <a:noFill/>
                    </a:ln>
                  </pic:spPr>
                </pic:pic>
              </a:graphicData>
            </a:graphic>
          </wp:inline>
        </w:drawing>
      </w: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227603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F38544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1）缺少调查时间。</w:t>
      </w:r>
    </w:p>
    <w:p w14:paraId="6DF5271E">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（2）交通线中断，请核实。</w:t>
      </w:r>
    </w:p>
    <w:p w14:paraId="6131F8B7">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4238625" cy="2438400"/>
            <wp:effectExtent l="0" t="0" r="9525" b="0"/>
            <wp:docPr id="6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9"/>
                    <pic:cNvPicPr>
                      <a:picLocks noChangeAspect="1"/>
                    </pic:cNvPicPr>
                  </pic:nvPicPr>
                  <pic:blipFill>
                    <a:blip r:embed="rId9"/>
                    <a:stretch>
                      <a:fillRect/>
                    </a:stretch>
                  </pic:blipFill>
                  <pic:spPr>
                    <a:xfrm>
                      <a:off x="0" y="0"/>
                      <a:ext cx="4238625" cy="2438400"/>
                    </a:xfrm>
                    <a:prstGeom prst="rect">
                      <a:avLst/>
                    </a:prstGeom>
                    <a:noFill/>
                    <a:ln>
                      <a:noFill/>
                    </a:ln>
                  </pic:spPr>
                </pic:pic>
              </a:graphicData>
            </a:graphic>
          </wp:inline>
        </w:drawing>
      </w:r>
    </w:p>
    <w:p w14:paraId="5039CE0F">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（3）缺少等高线。</w:t>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524CA1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3839407">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政府驻地应有专有符号，不必把所有居民点都进行注记。</w:t>
      </w:r>
    </w:p>
    <w:p w14:paraId="3CB858A6">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2827020" cy="1440180"/>
            <wp:effectExtent l="0" t="0" r="11430" b="7620"/>
            <wp:docPr id="6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0"/>
                    <pic:cNvPicPr>
                      <a:picLocks noChangeAspect="1"/>
                    </pic:cNvPicPr>
                  </pic:nvPicPr>
                  <pic:blipFill>
                    <a:blip r:embed="rId10"/>
                    <a:stretch>
                      <a:fillRect/>
                    </a:stretch>
                  </pic:blipFill>
                  <pic:spPr>
                    <a:xfrm>
                      <a:off x="0" y="0"/>
                      <a:ext cx="2827020" cy="1440180"/>
                    </a:xfrm>
                    <a:prstGeom prst="rect">
                      <a:avLst/>
                    </a:prstGeom>
                    <a:noFill/>
                    <a:ln>
                      <a:noFill/>
                    </a:ln>
                  </pic:spPr>
                </pic:pic>
              </a:graphicData>
            </a:graphic>
          </wp:inline>
        </w:drawing>
      </w:r>
    </w:p>
    <w:p w14:paraId="529E66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行政区边界显示了晕线，但并未在图例中展现。</w:t>
      </w:r>
    </w:p>
    <w:p w14:paraId="608D42EF">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rPr>
          <w:rFonts w:hint="eastAsia"/>
          <w:lang w:val="en-US" w:eastAsia="zh-CN"/>
        </w:rPr>
        <w:t xml:space="preserve">      </w:t>
      </w:r>
      <w:r>
        <w:drawing>
          <wp:inline distT="0" distB="0" distL="114300" distR="114300">
            <wp:extent cx="3382010" cy="2160270"/>
            <wp:effectExtent l="0" t="0" r="8890" b="11430"/>
            <wp:docPr id="6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1"/>
                    <pic:cNvPicPr>
                      <a:picLocks noChangeAspect="1"/>
                    </pic:cNvPicPr>
                  </pic:nvPicPr>
                  <pic:blipFill>
                    <a:blip r:embed="rId11"/>
                    <a:stretch>
                      <a:fillRect/>
                    </a:stretch>
                  </pic:blipFill>
                  <pic:spPr>
                    <a:xfrm>
                      <a:off x="0" y="0"/>
                      <a:ext cx="3382010" cy="2160270"/>
                    </a:xfrm>
                    <a:prstGeom prst="rect">
                      <a:avLst/>
                    </a:prstGeom>
                    <a:noFill/>
                    <a:ln>
                      <a:noFill/>
                    </a:ln>
                  </pic:spPr>
                </pic:pic>
              </a:graphicData>
            </a:graphic>
          </wp:inline>
        </w:drawing>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6091F47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铁路站场、民用机场、河流、湖泊、水库、干渠、国家公园、自然保护区、自然公园等重要地物名称未注记。</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w:t>
      </w:r>
      <w:r>
        <w:rPr>
          <w:rFonts w:hint="eastAsia" w:ascii="宋体" w:hAnsi="宋体" w:eastAsia="宋体" w:cs="宋体"/>
          <w:b w:val="0"/>
          <w:color w:val="auto"/>
          <w:sz w:val="24"/>
          <w:highlight w:val="yellow"/>
          <w:u w:val="none"/>
          <w:lang w:eastAsia="zh-CN"/>
        </w:rPr>
        <w:t>要进行平差</w:t>
      </w:r>
      <w:r>
        <w:rPr>
          <w:rFonts w:hint="eastAsia" w:ascii="宋体" w:hAnsi="宋体" w:eastAsia="宋体" w:cs="宋体"/>
          <w:b w:val="0"/>
          <w:sz w:val="24"/>
          <w:u w:val="none"/>
          <w:lang w:eastAsia="zh-CN"/>
        </w:rPr>
        <w:t>。</w:t>
      </w:r>
    </w:p>
    <w:p w14:paraId="4CCA886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4B14918">
      <w:pPr>
        <w:keepNext/>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缺少表名</w:t>
      </w:r>
    </w:p>
    <w:p w14:paraId="52864346">
      <w:pPr>
        <w:keepNext/>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面积统计表</w:t>
      </w:r>
      <w:r>
        <w:rPr>
          <w:rFonts w:hint="eastAsia" w:ascii="宋体" w:hAnsi="宋体" w:eastAsia="宋体" w:cs="宋体"/>
          <w:b w:val="0"/>
          <w:sz w:val="24"/>
          <w:u w:val="none"/>
          <w:lang w:val="en-US" w:eastAsia="zh-CN"/>
        </w:rPr>
        <w:t>缺少总计，同时注意各个数据的县域面积要和三调一致。</w:t>
      </w:r>
    </w:p>
    <w:p w14:paraId="4ECB71B3">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sz w:val="24"/>
          <w:u w:val="none"/>
          <w:lang w:val="en-US" w:eastAsia="zh-CN"/>
        </w:rPr>
      </w:pPr>
      <w:r>
        <w:drawing>
          <wp:inline distT="0" distB="0" distL="114300" distR="114300">
            <wp:extent cx="5272405" cy="3209925"/>
            <wp:effectExtent l="0" t="0" r="4445" b="9525"/>
            <wp:docPr id="6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2"/>
                    <pic:cNvPicPr>
                      <a:picLocks noChangeAspect="1"/>
                    </pic:cNvPicPr>
                  </pic:nvPicPr>
                  <pic:blipFill>
                    <a:blip r:embed="rId12"/>
                    <a:stretch>
                      <a:fillRect/>
                    </a:stretch>
                  </pic:blipFill>
                  <pic:spPr>
                    <a:xfrm>
                      <a:off x="0" y="0"/>
                      <a:ext cx="5272405" cy="3209925"/>
                    </a:xfrm>
                    <a:prstGeom prst="rect">
                      <a:avLst/>
                    </a:prstGeom>
                    <a:noFill/>
                    <a:ln>
                      <a:noFill/>
                    </a:ln>
                  </pic:spPr>
                </pic:pic>
              </a:graphicData>
            </a:graphic>
          </wp:inline>
        </w:drawing>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76C76B5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4F22E5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断面图</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关键地点名称。</w:t>
      </w:r>
    </w:p>
    <w:p w14:paraId="16FB70C0">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4304665" cy="2520315"/>
            <wp:effectExtent l="0" t="0" r="635" b="13335"/>
            <wp:docPr id="6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3"/>
                    <pic:cNvPicPr>
                      <a:picLocks noChangeAspect="1"/>
                    </pic:cNvPicPr>
                  </pic:nvPicPr>
                  <pic:blipFill>
                    <a:blip r:embed="rId13"/>
                    <a:stretch>
                      <a:fillRect/>
                    </a:stretch>
                  </pic:blipFill>
                  <pic:spPr>
                    <a:xfrm>
                      <a:off x="0" y="0"/>
                      <a:ext cx="4304665" cy="2520315"/>
                    </a:xfrm>
                    <a:prstGeom prst="rect">
                      <a:avLst/>
                    </a:prstGeom>
                    <a:noFill/>
                    <a:ln>
                      <a:noFill/>
                    </a:ln>
                  </pic:spPr>
                </pic:pic>
              </a:graphicData>
            </a:graphic>
          </wp:inline>
        </w:drawing>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4B683C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审查结果：经纬度坐标注记</w:t>
      </w:r>
      <w:r>
        <w:rPr>
          <w:rFonts w:hint="eastAsia" w:ascii="宋体" w:hAnsi="宋体" w:eastAsia="宋体" w:cs="宋体"/>
          <w:b w:val="0"/>
          <w:sz w:val="24"/>
          <w:u w:val="none"/>
          <w:lang w:val="en-US" w:eastAsia="zh-CN"/>
        </w:rPr>
        <w:t>字体过小。</w:t>
      </w:r>
    </w:p>
    <w:p w14:paraId="79FBEEF6">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5271135" cy="768985"/>
            <wp:effectExtent l="0" t="0" r="5715" b="12065"/>
            <wp:docPr id="6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4"/>
                    <pic:cNvPicPr>
                      <a:picLocks noChangeAspect="1"/>
                    </pic:cNvPicPr>
                  </pic:nvPicPr>
                  <pic:blipFill>
                    <a:blip r:embed="rId14"/>
                    <a:stretch>
                      <a:fillRect/>
                    </a:stretch>
                  </pic:blipFill>
                  <pic:spPr>
                    <a:xfrm>
                      <a:off x="0" y="0"/>
                      <a:ext cx="5271135" cy="768985"/>
                    </a:xfrm>
                    <a:prstGeom prst="rect">
                      <a:avLst/>
                    </a:prstGeom>
                    <a:noFill/>
                    <a:ln>
                      <a:noFill/>
                    </a:ln>
                  </pic:spPr>
                </pic:pic>
              </a:graphicData>
            </a:graphic>
          </wp:inline>
        </w:drawing>
      </w: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85BB5B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制表</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规范：存在重复表格（</w:t>
      </w:r>
      <w:r>
        <w:rPr>
          <w:rFonts w:hint="eastAsia" w:ascii="宋体" w:hAnsi="宋体" w:eastAsia="宋体" w:cs="宋体"/>
          <w:b w:val="0"/>
          <w:sz w:val="24"/>
          <w:u w:val="none"/>
          <w:lang w:val="en-US" w:eastAsia="zh-CN"/>
        </w:rPr>
        <w:t>表3.7）。</w:t>
      </w:r>
    </w:p>
    <w:p w14:paraId="0D64580F">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5273675" cy="510540"/>
            <wp:effectExtent l="0" t="0" r="3175" b="3810"/>
            <wp:docPr id="6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5"/>
                    <pic:cNvPicPr>
                      <a:picLocks noChangeAspect="1"/>
                    </pic:cNvPicPr>
                  </pic:nvPicPr>
                  <pic:blipFill>
                    <a:blip r:embed="rId15"/>
                    <a:stretch>
                      <a:fillRect/>
                    </a:stretch>
                  </pic:blipFill>
                  <pic:spPr>
                    <a:xfrm>
                      <a:off x="0" y="0"/>
                      <a:ext cx="5273675" cy="510540"/>
                    </a:xfrm>
                    <a:prstGeom prst="rect">
                      <a:avLst/>
                    </a:prstGeom>
                    <a:noFill/>
                    <a:ln>
                      <a:noFill/>
                    </a:ln>
                  </pic:spPr>
                </pic:pic>
              </a:graphicData>
            </a:graphic>
          </wp:inline>
        </w:drawing>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w:t>
      </w:r>
      <w:r>
        <w:rPr>
          <w:rFonts w:hint="eastAsia" w:ascii="宋体" w:hAnsi="宋体" w:eastAsia="宋体" w:cs="宋体"/>
          <w:b w:val="0"/>
          <w:sz w:val="24"/>
          <w:highlight w:val="none"/>
          <w:u w:val="none"/>
          <w:lang w:eastAsia="zh-CN"/>
        </w:rPr>
        <w:t>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7675F56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7E388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1）缺少</w:t>
      </w:r>
      <w:r>
        <w:rPr>
          <w:rFonts w:hint="eastAsia" w:ascii="宋体" w:hAnsi="宋体" w:eastAsia="宋体" w:cs="宋体"/>
          <w:b w:val="0"/>
          <w:sz w:val="24"/>
          <w:u w:val="none"/>
          <w:lang w:eastAsia="zh-CN"/>
        </w:rPr>
        <w:t>在野外校核路线和校核点设计描述中回应了室内校核结果。</w:t>
      </w:r>
    </w:p>
    <w:p w14:paraId="07F67EC6">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（2）缺少</w:t>
      </w:r>
      <w:r>
        <w:rPr>
          <w:rFonts w:hint="eastAsia" w:ascii="宋体" w:hAnsi="宋体" w:eastAsia="宋体" w:cs="宋体"/>
          <w:b w:val="0"/>
          <w:sz w:val="24"/>
          <w:u w:val="none"/>
          <w:lang w:eastAsia="zh-CN"/>
        </w:rPr>
        <w:t>在推测制图部分给出虚点的选择原则和虚点对土壤类型代表性的证明示例。</w:t>
      </w:r>
    </w:p>
    <w:p w14:paraId="532B4A28">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（3）缺少</w:t>
      </w:r>
      <w:r>
        <w:rPr>
          <w:rFonts w:hint="eastAsia" w:ascii="宋体" w:hAnsi="宋体" w:eastAsia="宋体" w:cs="宋体"/>
          <w:b w:val="0"/>
          <w:sz w:val="24"/>
          <w:u w:val="none"/>
          <w:lang w:eastAsia="zh-CN"/>
        </w:rPr>
        <w:t>对推测制图的效果进行评述，且突出最优和最劣情况。</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4CCE3C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审查结果：标题</w:t>
      </w:r>
      <w:r>
        <w:rPr>
          <w:rFonts w:hint="eastAsia" w:ascii="宋体" w:hAnsi="宋体" w:eastAsia="宋体" w:cs="宋体"/>
          <w:b w:val="0"/>
          <w:sz w:val="24"/>
          <w:u w:val="none"/>
          <w:lang w:val="en-US" w:eastAsia="zh-CN"/>
        </w:rPr>
        <w:t>字体、行距不</w:t>
      </w:r>
      <w:r>
        <w:rPr>
          <w:rFonts w:hint="eastAsia" w:ascii="宋体" w:hAnsi="宋体" w:eastAsia="宋体" w:cs="宋体"/>
          <w:b w:val="0"/>
          <w:sz w:val="24"/>
          <w:u w:val="none"/>
          <w:lang w:eastAsia="zh-CN"/>
        </w:rPr>
        <w:t>规范。</w:t>
      </w:r>
    </w:p>
    <w:p w14:paraId="345C206E">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default"/>
          <w:lang w:val="en-US" w:eastAsia="zh-CN"/>
        </w:rPr>
      </w:pPr>
      <w:r>
        <w:drawing>
          <wp:inline distT="0" distB="0" distL="114300" distR="114300">
            <wp:extent cx="2593975" cy="1080135"/>
            <wp:effectExtent l="0" t="0" r="15875" b="5715"/>
            <wp:docPr id="6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6"/>
                    <pic:cNvPicPr>
                      <a:picLocks noChangeAspect="1"/>
                    </pic:cNvPicPr>
                  </pic:nvPicPr>
                  <pic:blipFill>
                    <a:blip r:embed="rId16"/>
                    <a:stretch>
                      <a:fillRect/>
                    </a:stretch>
                  </pic:blipFill>
                  <pic:spPr>
                    <a:xfrm>
                      <a:off x="0" y="0"/>
                      <a:ext cx="2593975" cy="1080135"/>
                    </a:xfrm>
                    <a:prstGeom prst="rect">
                      <a:avLst/>
                    </a:prstGeom>
                    <a:noFill/>
                    <a:ln>
                      <a:noFill/>
                    </a:ln>
                  </pic:spPr>
                </pic:pic>
              </a:graphicData>
            </a:graphic>
          </wp:inline>
        </w:drawing>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4CA1A17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结论与建议部分内容较单薄。</w:t>
      </w: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56F632EA">
      <w:pPr>
        <w:ind w:firstLine="1120" w:firstLineChars="400"/>
        <w:jc w:val="both"/>
        <w:rPr>
          <w:rFonts w:hint="eastAsia"/>
          <w:sz w:val="28"/>
          <w:szCs w:val="28"/>
          <w:lang w:val="en-US" w:eastAsia="zh-CN"/>
        </w:rPr>
      </w:pPr>
      <w:r>
        <w:rPr>
          <w:rFonts w:hint="eastAsia"/>
          <w:sz w:val="28"/>
          <w:szCs w:val="28"/>
          <w:lang w:val="en-US" w:eastAsia="zh-CN"/>
        </w:rPr>
        <w:t>土壤属性图质控问题反馈——廊坊市固安县</w:t>
      </w:r>
    </w:p>
    <w:p w14:paraId="3298E80A">
      <w:pPr>
        <w:numPr>
          <w:ilvl w:val="0"/>
          <w:numId w:val="7"/>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(一)数据库结构：</w:t>
      </w:r>
    </w:p>
    <w:p w14:paraId="78E3B92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1.按目录结构整理数据库，数据库内容是否完整。（数据结构要求参考《第三次全国土壤普查土壤属性图与专题图编制技术规范》7.2 制图成果数据质量要求）</w:t>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2.提交的成果与目录结构中的文件名称要求是否一致。</w:t>
      </w:r>
    </w:p>
    <w:p w14:paraId="34D19F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元数据相关信息缺失，标准如下</w:t>
      </w:r>
    </w:p>
    <w:p w14:paraId="6C89A5DE">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sz w:val="24"/>
          <w:szCs w:val="24"/>
        </w:rPr>
        <w:drawing>
          <wp:inline distT="0" distB="0" distL="114300" distR="114300">
            <wp:extent cx="5308600" cy="756285"/>
            <wp:effectExtent l="0" t="0" r="0" b="571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7"/>
                    <a:stretch>
                      <a:fillRect/>
                    </a:stretch>
                  </pic:blipFill>
                  <pic:spPr>
                    <a:xfrm>
                      <a:off x="0" y="0"/>
                      <a:ext cx="5308600" cy="756285"/>
                    </a:xfrm>
                    <a:prstGeom prst="rect">
                      <a:avLst/>
                    </a:prstGeom>
                    <a:noFill/>
                    <a:ln>
                      <a:noFill/>
                    </a:ln>
                  </pic:spPr>
                </pic:pic>
              </a:graphicData>
            </a:graphic>
          </wp:inline>
        </w:drawing>
      </w:r>
    </w:p>
    <w:p w14:paraId="568D5945">
      <w:pPr>
        <w:numPr>
          <w:ilvl w:val="0"/>
          <w:numId w:val="0"/>
        </w:numPr>
        <w:spacing w:line="360" w:lineRule="auto"/>
        <w:jc w:val="both"/>
      </w:pPr>
      <w:r>
        <w:drawing>
          <wp:inline distT="0" distB="0" distL="114300" distR="114300">
            <wp:extent cx="5268595" cy="2319020"/>
            <wp:effectExtent l="0" t="0" r="1905" b="508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8"/>
                    <a:stretch>
                      <a:fillRect/>
                    </a:stretch>
                  </pic:blipFill>
                  <pic:spPr>
                    <a:xfrm>
                      <a:off x="0" y="0"/>
                      <a:ext cx="5268595" cy="2319020"/>
                    </a:xfrm>
                    <a:prstGeom prst="rect">
                      <a:avLst/>
                    </a:prstGeom>
                    <a:noFill/>
                    <a:ln>
                      <a:noFill/>
                    </a:ln>
                  </pic:spPr>
                </pic:pic>
              </a:graphicData>
            </a:graphic>
          </wp:inline>
        </w:drawing>
      </w:r>
    </w:p>
    <w:p w14:paraId="6EB9AA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命名错误</w:t>
      </w:r>
    </w:p>
    <w:p w14:paraId="79054225">
      <w:pPr>
        <w:numPr>
          <w:ilvl w:val="0"/>
          <w:numId w:val="0"/>
        </w:numPr>
        <w:spacing w:line="360" w:lineRule="auto"/>
        <w:jc w:val="both"/>
      </w:pPr>
      <w:r>
        <w:drawing>
          <wp:inline distT="0" distB="0" distL="114300" distR="114300">
            <wp:extent cx="4438650" cy="2790825"/>
            <wp:effectExtent l="0" t="0" r="6350" b="317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9"/>
                    <a:stretch>
                      <a:fillRect/>
                    </a:stretch>
                  </pic:blipFill>
                  <pic:spPr>
                    <a:xfrm>
                      <a:off x="0" y="0"/>
                      <a:ext cx="4438650" cy="2790825"/>
                    </a:xfrm>
                    <a:prstGeom prst="rect">
                      <a:avLst/>
                    </a:prstGeom>
                    <a:noFill/>
                    <a:ln>
                      <a:noFill/>
                    </a:ln>
                  </pic:spPr>
                </pic:pic>
              </a:graphicData>
            </a:graphic>
          </wp:inline>
        </w:drawing>
      </w:r>
      <w:r>
        <w:drawing>
          <wp:inline distT="0" distB="0" distL="114300" distR="114300">
            <wp:extent cx="5268595" cy="2452370"/>
            <wp:effectExtent l="0" t="0" r="1905" b="1143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0"/>
                    <a:stretch>
                      <a:fillRect/>
                    </a:stretch>
                  </pic:blipFill>
                  <pic:spPr>
                    <a:xfrm>
                      <a:off x="0" y="0"/>
                      <a:ext cx="5268595" cy="2452370"/>
                    </a:xfrm>
                    <a:prstGeom prst="rect">
                      <a:avLst/>
                    </a:prstGeom>
                    <a:noFill/>
                    <a:ln>
                      <a:noFill/>
                    </a:ln>
                  </pic:spPr>
                </pic:pic>
              </a:graphicData>
            </a:graphic>
          </wp:inline>
        </w:drawing>
      </w:r>
    </w:p>
    <w:p w14:paraId="1F0121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both"/>
        <w:textAlignment w:val="auto"/>
      </w:pPr>
      <w:r>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训练集及验证集无需新建子文件夹，直接命名为“xx因子训练集/xx因子测试集”</w:t>
      </w:r>
    </w:p>
    <w:p w14:paraId="324862A3">
      <w:pPr>
        <w:numPr>
          <w:ilvl w:val="0"/>
          <w:numId w:val="0"/>
        </w:numPr>
        <w:spacing w:line="360" w:lineRule="auto"/>
        <w:jc w:val="both"/>
      </w:pPr>
      <w:r>
        <w:drawing>
          <wp:inline distT="0" distB="0" distL="114300" distR="114300">
            <wp:extent cx="5271135" cy="3356610"/>
            <wp:effectExtent l="0" t="0" r="12065" b="889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1"/>
                    <a:srcRect b="18602"/>
                    <a:stretch>
                      <a:fillRect/>
                    </a:stretch>
                  </pic:blipFill>
                  <pic:spPr>
                    <a:xfrm>
                      <a:off x="0" y="0"/>
                      <a:ext cx="5271135" cy="3356610"/>
                    </a:xfrm>
                    <a:prstGeom prst="rect">
                      <a:avLst/>
                    </a:prstGeom>
                    <a:noFill/>
                    <a:ln>
                      <a:noFill/>
                    </a:ln>
                  </pic:spPr>
                </pic:pic>
              </a:graphicData>
            </a:graphic>
          </wp:inline>
        </w:drawing>
      </w:r>
    </w:p>
    <w:p w14:paraId="223334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eastAsia="宋体"/>
          <w:lang w:val="en-US" w:eastAsia="zh-CN"/>
        </w:rPr>
      </w:pPr>
      <w:r>
        <w:rPr>
          <w:rFonts w:ascii="宋体" w:hAnsi="宋体" w:eastAsia="宋体" w:cs="宋体"/>
          <w:sz w:val="24"/>
          <w:szCs w:val="24"/>
        </w:rPr>
        <w:t>有效硫存在命名</w:t>
      </w:r>
      <w:r>
        <w:rPr>
          <w:rFonts w:hint="eastAsia" w:ascii="宋体" w:hAnsi="宋体" w:eastAsia="宋体" w:cs="宋体"/>
          <w:sz w:val="24"/>
          <w:szCs w:val="24"/>
          <w:lang w:val="en-US" w:eastAsia="zh-CN"/>
        </w:rPr>
        <w:t>错误</w:t>
      </w:r>
    </w:p>
    <w:p w14:paraId="1D196BE8">
      <w:pPr>
        <w:numPr>
          <w:ilvl w:val="0"/>
          <w:numId w:val="0"/>
        </w:numPr>
        <w:spacing w:line="360" w:lineRule="auto"/>
        <w:jc w:val="both"/>
        <w:rPr>
          <w:rFonts w:hint="eastAsia"/>
          <w:lang w:val="en-US" w:eastAsia="zh-CN"/>
        </w:rPr>
      </w:pPr>
      <w:r>
        <w:drawing>
          <wp:inline distT="0" distB="0" distL="114300" distR="114300">
            <wp:extent cx="3228975" cy="3019425"/>
            <wp:effectExtent l="0" t="0" r="9525" b="317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22"/>
                    <a:stretch>
                      <a:fillRect/>
                    </a:stretch>
                  </pic:blipFill>
                  <pic:spPr>
                    <a:xfrm>
                      <a:off x="0" y="0"/>
                      <a:ext cx="3228975" cy="3019425"/>
                    </a:xfrm>
                    <a:prstGeom prst="rect">
                      <a:avLst/>
                    </a:prstGeom>
                    <a:noFill/>
                    <a:ln>
                      <a:noFill/>
                    </a:ln>
                  </pic:spPr>
                </pic:pic>
              </a:graphicData>
            </a:graphic>
          </wp:inline>
        </w:drawing>
      </w:r>
      <w:r>
        <w:drawing>
          <wp:inline distT="0" distB="0" distL="114300" distR="114300">
            <wp:extent cx="4495800" cy="3533775"/>
            <wp:effectExtent l="0" t="0" r="0" b="952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3"/>
                    <a:stretch>
                      <a:fillRect/>
                    </a:stretch>
                  </pic:blipFill>
                  <pic:spPr>
                    <a:xfrm>
                      <a:off x="0" y="0"/>
                      <a:ext cx="4495800" cy="3533775"/>
                    </a:xfrm>
                    <a:prstGeom prst="rect">
                      <a:avLst/>
                    </a:prstGeom>
                    <a:noFill/>
                    <a:ln>
                      <a:noFill/>
                    </a:ln>
                  </pic:spPr>
                </pic:pic>
              </a:graphicData>
            </a:graphic>
          </wp:inline>
        </w:drawing>
      </w:r>
    </w:p>
    <w:p w14:paraId="71F3E073">
      <w:pPr>
        <w:numPr>
          <w:ilvl w:val="0"/>
          <w:numId w:val="7"/>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(一)三普样点</w:t>
      </w:r>
    </w:p>
    <w:p w14:paraId="595566F1">
      <w:pPr>
        <w:numPr>
          <w:ilvl w:val="0"/>
          <w:numId w:val="0"/>
        </w:numPr>
        <w:spacing w:line="360" w:lineRule="auto"/>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1.数据库中提交入模属性样点矢量数据（shp格式）</w:t>
      </w:r>
    </w:p>
    <w:p w14:paraId="5EB9367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是</w:t>
      </w:r>
    </w:p>
    <w:p w14:paraId="337D3911">
      <w:pPr>
        <w:numPr>
          <w:ilvl w:val="0"/>
          <w:numId w:val="0"/>
        </w:numPr>
        <w:spacing w:line="360" w:lineRule="auto"/>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2.样点经纬度是否为定位经纬度、CGCS2000坐标系。</w:t>
      </w:r>
    </w:p>
    <w:p w14:paraId="0FFD61B8">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是，存在地理坐标系，投影坐标系</w:t>
      </w: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w:t>
      </w:r>
    </w:p>
    <w:p w14:paraId="5253FC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3.剖面样点土壤属性值是否根据土层厚度进行加权平均处理（0-20cm</w:t>
      </w:r>
      <w:r>
        <w:rPr>
          <w:rFonts w:hint="default" w:ascii="Times New Roman" w:hAnsi="Times New Roman" w:eastAsia="宋体" w:cs="Times New Roman"/>
          <w:b w:val="0"/>
          <w:bCs w:val="0"/>
          <w:sz w:val="24"/>
          <w:szCs w:val="24"/>
          <w:lang w:val="en-US" w:eastAsia="zh-CN"/>
        </w:rPr>
        <w:t>）</w:t>
      </w:r>
    </w:p>
    <w:p w14:paraId="6FB1DE6D">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报告中未见进行加权平均处理</w:t>
      </w:r>
    </w:p>
    <w:p w14:paraId="53608D27">
      <w:pPr>
        <w:numPr>
          <w:ilvl w:val="0"/>
          <w:numId w:val="0"/>
        </w:numPr>
        <w:spacing w:line="360" w:lineRule="auto"/>
        <w:jc w:val="both"/>
        <w:rPr>
          <w:rFonts w:hint="default"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4.入模样点是否针对每个土壤属性指标划分训练集与验证集。</w:t>
      </w:r>
    </w:p>
    <w:p w14:paraId="4F48AC3D">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是</w:t>
      </w:r>
      <w:r>
        <w:rPr>
          <w:rFonts w:hint="eastAsia" w:ascii="Times New Roman" w:hAnsi="Times New Roman" w:eastAsia="宋体" w:cs="Times New Roman"/>
          <w:b w:val="0"/>
          <w:bCs w:val="0"/>
          <w:sz w:val="24"/>
          <w:szCs w:val="24"/>
          <w:highlight w:val="none"/>
          <w:lang w:val="en-US" w:eastAsia="zh-CN"/>
        </w:rPr>
        <w:t>，</w:t>
      </w:r>
      <w:r>
        <w:rPr>
          <w:rFonts w:hint="eastAsia" w:ascii="Times New Roman" w:hAnsi="Times New Roman" w:eastAsia="宋体" w:cs="Times New Roman"/>
          <w:b w:val="0"/>
          <w:bCs w:val="0"/>
          <w:color w:val="FF0000"/>
          <w:sz w:val="24"/>
          <w:szCs w:val="24"/>
          <w:highlight w:val="none"/>
          <w:lang w:val="en-US" w:eastAsia="zh-CN"/>
        </w:rPr>
        <w:t>报告中有正态检验，</w:t>
      </w:r>
      <w:r>
        <w:rPr>
          <w:rFonts w:hint="default" w:ascii="Times New Roman" w:hAnsi="Times New Roman" w:eastAsia="宋体" w:cs="Times New Roman"/>
          <w:b w:val="0"/>
          <w:bCs w:val="0"/>
          <w:color w:val="FF0000"/>
          <w:sz w:val="24"/>
          <w:szCs w:val="24"/>
          <w:highlight w:val="none"/>
          <w:lang w:val="en-US" w:eastAsia="zh-CN"/>
        </w:rPr>
        <w:t>提交数据中</w:t>
      </w:r>
      <w:r>
        <w:rPr>
          <w:rFonts w:hint="eastAsia" w:ascii="Times New Roman" w:hAnsi="Times New Roman" w:eastAsia="宋体" w:cs="Times New Roman"/>
          <w:b w:val="0"/>
          <w:bCs w:val="0"/>
          <w:color w:val="FF0000"/>
          <w:sz w:val="24"/>
          <w:szCs w:val="24"/>
          <w:highlight w:val="none"/>
          <w:lang w:val="en-US" w:eastAsia="zh-CN"/>
        </w:rPr>
        <w:t>不</w:t>
      </w:r>
      <w:r>
        <w:rPr>
          <w:rFonts w:hint="default" w:ascii="Times New Roman" w:hAnsi="Times New Roman" w:eastAsia="宋体" w:cs="Times New Roman"/>
          <w:b w:val="0"/>
          <w:bCs w:val="0"/>
          <w:color w:val="FF0000"/>
          <w:sz w:val="24"/>
          <w:szCs w:val="24"/>
          <w:highlight w:val="none"/>
          <w:lang w:val="en-US" w:eastAsia="zh-CN"/>
        </w:rPr>
        <w:t>存在正态性检验结果数据。</w:t>
      </w:r>
    </w:p>
    <w:p w14:paraId="3AA737F6">
      <w:pPr>
        <w:keepNext w:val="0"/>
        <w:keepLines w:val="0"/>
        <w:pageBreakBefore w:val="0"/>
        <w:widowControl w:val="0"/>
        <w:kinsoku/>
        <w:wordWrap/>
        <w:overflowPunct/>
        <w:topLinePunct w:val="0"/>
        <w:autoSpaceDE/>
        <w:autoSpaceDN/>
        <w:bidi w:val="0"/>
        <w:adjustRightInd/>
        <w:snapToGrid/>
        <w:spacing w:before="0" w:after="0" w:line="360" w:lineRule="auto"/>
        <w:jc w:val="both"/>
        <w:textAlignment w:val="auto"/>
        <w:rPr>
          <w:rFonts w:ascii="宋体" w:hAnsi="宋体" w:eastAsia="宋体" w:cs="宋体"/>
          <w:color w:val="auto"/>
          <w:sz w:val="24"/>
          <w:szCs w:val="24"/>
        </w:rPr>
      </w:pPr>
      <w:r>
        <w:rPr>
          <w:rFonts w:hint="eastAsia" w:ascii="宋体" w:hAnsi="宋体" w:eastAsia="宋体" w:cs="宋体"/>
          <w:color w:val="auto"/>
          <w:sz w:val="24"/>
          <w:szCs w:val="24"/>
          <w:lang w:val="en-US" w:eastAsia="zh-CN"/>
        </w:rPr>
        <w:t>5.</w:t>
      </w:r>
      <w:r>
        <w:rPr>
          <w:rFonts w:ascii="宋体" w:hAnsi="宋体" w:eastAsia="宋体" w:cs="宋体"/>
          <w:color w:val="auto"/>
          <w:sz w:val="24"/>
          <w:szCs w:val="24"/>
        </w:rPr>
        <w:t>数据库中砂粒，粉粒，黏粒的栅格计算器相加不是100%</w:t>
      </w:r>
    </w:p>
    <w:p w14:paraId="34DA82B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是</w:t>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(二)历史样点</w:t>
      </w:r>
    </w:p>
    <w:p w14:paraId="283105EA">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1.要求土壤二普、测土配方施肥（采集时间应为2008-2010年）、耕地地力监测样点数据，三者至少有一个。</w:t>
      </w:r>
    </w:p>
    <w:p w14:paraId="29239122">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缺失历史样点数据</w:t>
      </w:r>
    </w:p>
    <w:p w14:paraId="009D37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2.是否将历史样点数据转为矢量（shp）格式并生成相应的栅格数据（Geotiff）</w:t>
      </w:r>
    </w:p>
    <w:p w14:paraId="6EF4D762">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sz w:val="24"/>
          <w:szCs w:val="24"/>
          <w:lang w:val="en-US" w:eastAsia="zh-CN"/>
        </w:rPr>
        <w:t>查看</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数据库中的历史样点数据集，并查看是否存在相应的栅格数据，栅格数据和样点数据是否完整。</w:t>
      </w:r>
    </w:p>
    <w:p w14:paraId="3BEB170C">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缺失历史样点数据</w:t>
      </w:r>
    </w:p>
    <w:p w14:paraId="1D8EDC6C">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3.土壤pH、有机质、全氮、有效磷、速效钾等关键土壤属性的历史样点数据和栅格数据是否完整准确。</w:t>
      </w:r>
    </w:p>
    <w:p w14:paraId="04EDD77F">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缺失历史样点数据</w:t>
      </w:r>
    </w:p>
    <w:p w14:paraId="5FD117C8">
      <w:pPr>
        <w:numPr>
          <w:ilvl w:val="0"/>
          <w:numId w:val="0"/>
        </w:numPr>
        <w:spacing w:line="360" w:lineRule="auto"/>
        <w:jc w:val="both"/>
        <w:rPr>
          <w:rFonts w:hint="eastAsia" w:ascii="Times New Roman" w:eastAsia="宋体"/>
          <w:b/>
          <w:bCs/>
          <w:color w:val="000000" w:themeColor="text1"/>
          <w:sz w:val="24"/>
          <w:szCs w:val="24"/>
          <w:highlight w:val="none"/>
          <w:lang w:val="en-US" w:eastAsia="zh-CN"/>
          <w14:textFill>
            <w14:solidFill>
              <w14:schemeClr w14:val="tx1"/>
            </w14:solidFill>
          </w14:textFill>
        </w:rPr>
      </w:pPr>
      <w:r>
        <w:rPr>
          <w:rFonts w:hint="eastAsia" w:ascii="Times New Roman" w:eastAsia="宋体"/>
          <w:b/>
          <w:bCs/>
          <w:color w:val="000000" w:themeColor="text1"/>
          <w:sz w:val="24"/>
          <w:szCs w:val="24"/>
          <w:highlight w:val="none"/>
          <w:lang w:val="en-US" w:eastAsia="zh-CN"/>
          <w14:textFill>
            <w14:solidFill>
              <w14:schemeClr w14:val="tx1"/>
            </w14:solidFill>
          </w14:textFill>
        </w:rPr>
        <w:t>(三)环境变量</w:t>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1.坐标系需要统一，统一使用三度带且所有环境变量在同一分带下</w:t>
      </w:r>
    </w:p>
    <w:p w14:paraId="3EBB8FBC">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2.审核入模环境变量图层数据是否为栅格（Geotiff）格式</w:t>
      </w:r>
    </w:p>
    <w:p w14:paraId="35D81DEA">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7B4EB469">
      <w:pPr>
        <w:numPr>
          <w:ilvl w:val="0"/>
          <w:numId w:val="8"/>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坐标与投影是否为CGCS2000坐标系和高斯-克吕格投影，空间分辨率是否统一为30米</w:t>
      </w:r>
    </w:p>
    <w:p w14:paraId="01E08882">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144F1746">
      <w:pPr>
        <w:numPr>
          <w:ilvl w:val="0"/>
          <w:numId w:val="8"/>
        </w:numPr>
        <w:spacing w:line="360" w:lineRule="auto"/>
        <w:ind w:left="0" w:leftChars="0"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各个环境变量图层在空间上是否严格匹配（栅格四至一一对应、像素空间完全吻合）</w:t>
      </w:r>
    </w:p>
    <w:p w14:paraId="2D5BE083">
      <w:pPr>
        <w:numPr>
          <w:ilvl w:val="0"/>
          <w:numId w:val="0"/>
        </w:numPr>
        <w:spacing w:line="360" w:lineRule="auto"/>
        <w:ind w:left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否，需要逐一核实修改。</w:t>
      </w:r>
    </w:p>
    <w:p w14:paraId="7785C04B">
      <w:pPr>
        <w:numPr>
          <w:ilvl w:val="0"/>
          <w:numId w:val="0"/>
        </w:numPr>
        <w:spacing w:line="360" w:lineRule="auto"/>
        <w:ind w:firstLine="420" w:firstLineChars="200"/>
        <w:jc w:val="both"/>
      </w:pPr>
      <w:r>
        <w:drawing>
          <wp:inline distT="0" distB="0" distL="114300" distR="114300">
            <wp:extent cx="5270500" cy="3447415"/>
            <wp:effectExtent l="0" t="0" r="0" b="6985"/>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24"/>
                    <a:stretch>
                      <a:fillRect/>
                    </a:stretch>
                  </pic:blipFill>
                  <pic:spPr>
                    <a:xfrm>
                      <a:off x="0" y="0"/>
                      <a:ext cx="5270500" cy="3447415"/>
                    </a:xfrm>
                    <a:prstGeom prst="rect">
                      <a:avLst/>
                    </a:prstGeom>
                    <a:noFill/>
                    <a:ln>
                      <a:noFill/>
                    </a:ln>
                  </pic:spPr>
                </pic:pic>
              </a:graphicData>
            </a:graphic>
          </wp:inline>
        </w:drawing>
      </w:r>
    </w:p>
    <w:p w14:paraId="1907F6AA">
      <w:pPr>
        <w:numPr>
          <w:ilvl w:val="0"/>
          <w:numId w:val="0"/>
        </w:numPr>
        <w:spacing w:line="360" w:lineRule="auto"/>
        <w:ind w:firstLine="420" w:firstLineChars="200"/>
        <w:jc w:val="both"/>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69230" cy="3362325"/>
            <wp:effectExtent l="0" t="0" r="1270" b="3175"/>
            <wp:docPr id="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pic:cNvPicPr>
                      <a:picLocks noChangeAspect="1"/>
                    </pic:cNvPicPr>
                  </pic:nvPicPr>
                  <pic:blipFill>
                    <a:blip r:embed="rId25"/>
                    <a:stretch>
                      <a:fillRect/>
                    </a:stretch>
                  </pic:blipFill>
                  <pic:spPr>
                    <a:xfrm>
                      <a:off x="0" y="0"/>
                      <a:ext cx="5269230" cy="3362325"/>
                    </a:xfrm>
                    <a:prstGeom prst="rect">
                      <a:avLst/>
                    </a:prstGeom>
                    <a:noFill/>
                    <a:ln>
                      <a:noFill/>
                    </a:ln>
                  </pic:spPr>
                </pic:pic>
              </a:graphicData>
            </a:graphic>
          </wp:inline>
        </w:drawing>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5.环境变量图层是否按照国土三调县级行政边界（2023年度）进行剪裁处理</w:t>
      </w:r>
    </w:p>
    <w:p w14:paraId="15F8A8C7">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6.环境变量制备的年限需要在报告中说明</w:t>
      </w:r>
    </w:p>
    <w:p w14:paraId="269C2CB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报告中缺失部分选取的环境变量的年份</w:t>
      </w:r>
      <w:r>
        <w:rPr>
          <w:rFonts w:hint="eastAsia" w:ascii="Times New Roman" w:hAnsi="Times New Roman" w:eastAsia="宋体" w:cs="Times New Roman"/>
          <w:b w:val="0"/>
          <w:bCs w:val="0"/>
          <w:sz w:val="24"/>
          <w:szCs w:val="24"/>
          <w:lang w:val="en-US" w:eastAsia="zh-CN"/>
        </w:rPr>
        <w:t>，表格制作不够清晰，将数据来源、精度、年份等信息分别成列。</w:t>
      </w:r>
    </w:p>
    <w:p w14:paraId="5A06C067">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1770" cy="4375150"/>
            <wp:effectExtent l="0" t="0" r="11430" b="635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6"/>
                    <a:stretch>
                      <a:fillRect/>
                    </a:stretch>
                  </pic:blipFill>
                  <pic:spPr>
                    <a:xfrm>
                      <a:off x="0" y="0"/>
                      <a:ext cx="5271770" cy="4375150"/>
                    </a:xfrm>
                    <a:prstGeom prst="rect">
                      <a:avLst/>
                    </a:prstGeom>
                    <a:noFill/>
                    <a:ln>
                      <a:noFill/>
                    </a:ln>
                  </pic:spPr>
                </pic:pic>
              </a:graphicData>
            </a:graphic>
          </wp:inline>
        </w:drawing>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sz w:val="24"/>
          <w:szCs w:val="24"/>
          <w:highlight w:val="none"/>
          <w:lang w:val="en-US" w:eastAsia="zh-CN"/>
        </w:rPr>
        <w:t>7</w:t>
      </w: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.土地利用这一环境变量图层是否使用2023年度国土变更调查数据.</w:t>
      </w:r>
    </w:p>
    <w:p w14:paraId="6AB37D20">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42FCAF83">
      <w:pPr>
        <w:numPr>
          <w:ilvl w:val="0"/>
          <w:numId w:val="0"/>
        </w:numPr>
        <w:spacing w:line="360" w:lineRule="auto"/>
        <w:jc w:val="both"/>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highlight w:val="none"/>
          <w:lang w:val="en-US" w:eastAsia="zh-CN"/>
          <w14:textFill>
            <w14:solidFill>
              <w14:schemeClr w14:val="tx1"/>
            </w14:solidFill>
          </w14:textFill>
        </w:rPr>
        <w:t>(四)环境变量制备</w:t>
      </w: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1.审核环境变量类型是否包括主要成土要素（气候、母质、地形、植被、土地利用）</w:t>
      </w:r>
    </w:p>
    <w:p w14:paraId="5B983721">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审核气候、植被环境变量的制备是否采用长时间序列数据</w:t>
      </w:r>
    </w:p>
    <w:p w14:paraId="0A1B75C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气候变量应当是多年均值。气温降水应当是近20年均值，植被数据（NDVI、叶面积指数等）应当是5-10年数据。</w:t>
      </w:r>
    </w:p>
    <w:p w14:paraId="7A08BE17">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见上方审核意见：报告中缺失选取的环境变量的年份表格制作不够清晰，将数据来源、精度、年份等信息分别成列。</w:t>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3.审核土地利用现状图、土壤类型图、母岩母质图等类别型变量是否进行数值化处理。</w:t>
      </w:r>
    </w:p>
    <w:p w14:paraId="36F064B0">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red"/>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78A72792">
      <w:pPr>
        <w:numPr>
          <w:ilvl w:val="0"/>
          <w:numId w:val="9"/>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环境变量图层数据的空间分布是否准确合理，是否存在明显的条带状或斑点噪声</w:t>
      </w:r>
    </w:p>
    <w:p w14:paraId="0B24FD88">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存在问题，类似问题请核实修改。</w:t>
      </w:r>
    </w:p>
    <w:p w14:paraId="0C94C646">
      <w:pPr>
        <w:jc w:val="both"/>
        <w:rPr>
          <w:rFonts w:hint="default"/>
          <w:color w:val="000000" w:themeColor="text1"/>
          <w:sz w:val="28"/>
          <w:szCs w:val="28"/>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67960" cy="4667250"/>
            <wp:effectExtent l="0" t="0" r="2540" b="635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7"/>
                    <a:stretch>
                      <a:fillRect/>
                    </a:stretch>
                  </pic:blipFill>
                  <pic:spPr>
                    <a:xfrm>
                      <a:off x="0" y="0"/>
                      <a:ext cx="5267960" cy="4667250"/>
                    </a:xfrm>
                    <a:prstGeom prst="rect">
                      <a:avLst/>
                    </a:prstGeom>
                    <a:noFill/>
                    <a:ln>
                      <a:noFill/>
                    </a:ln>
                  </pic:spPr>
                </pic:pic>
              </a:graphicData>
            </a:graphic>
          </wp:inline>
        </w:drawing>
      </w:r>
    </w:p>
    <w:p w14:paraId="7A445F56">
      <w:pPr>
        <w:numPr>
          <w:ilvl w:val="0"/>
          <w:numId w:val="0"/>
        </w:numPr>
        <w:spacing w:line="360" w:lineRule="auto"/>
        <w:jc w:val="both"/>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(五)入模环境变量的选取合理性</w:t>
      </w:r>
    </w:p>
    <w:p w14:paraId="1C11378A">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1.速磷速钾的环境变量重要性排序中将自然因素排在前面，气候、植被不应对该两个属性影响因素大，类似问题请核实修改。</w:t>
      </w:r>
    </w:p>
    <w:p w14:paraId="39D35321">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p>
    <w:p w14:paraId="0CD7707A">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2405" cy="4917440"/>
            <wp:effectExtent l="0" t="0" r="10795" b="1016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8"/>
                    <a:stretch>
                      <a:fillRect/>
                    </a:stretch>
                  </pic:blipFill>
                  <pic:spPr>
                    <a:xfrm>
                      <a:off x="0" y="0"/>
                      <a:ext cx="5272405" cy="4917440"/>
                    </a:xfrm>
                    <a:prstGeom prst="rect">
                      <a:avLst/>
                    </a:prstGeom>
                    <a:noFill/>
                    <a:ln>
                      <a:noFill/>
                    </a:ln>
                  </pic:spPr>
                </pic:pic>
              </a:graphicData>
            </a:graphic>
          </wp:inline>
        </w:drawing>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2.入模环境变量存在共线性、用土壤属性作为环境变量</w:t>
      </w:r>
    </w:p>
    <w:p w14:paraId="75F7DC60">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ascii="Segoe UI" w:hAnsi="Segoe UI" w:eastAsia="Segoe UI" w:cs="Segoe UI"/>
          <w:i w:val="0"/>
          <w:iCs w:val="0"/>
          <w:caps w:val="0"/>
          <w:color w:val="0F1115"/>
          <w:spacing w:val="0"/>
          <w:sz w:val="24"/>
          <w:szCs w:val="24"/>
          <w:highlight w:val="none"/>
          <w:shd w:val="clear" w:fill="FFFFFF"/>
        </w:rPr>
        <w:t>报告仅提到“进行相关性分析”，但未给出具体的分析方法</w:t>
      </w:r>
      <w:r>
        <w:rPr>
          <w:rFonts w:hint="eastAsia" w:ascii="Segoe UI" w:hAnsi="Segoe UI" w:eastAsia="宋体" w:cs="Segoe UI"/>
          <w:i w:val="0"/>
          <w:iCs w:val="0"/>
          <w:caps w:val="0"/>
          <w:color w:val="0F1115"/>
          <w:spacing w:val="0"/>
          <w:sz w:val="24"/>
          <w:szCs w:val="24"/>
          <w:highlight w:val="none"/>
          <w:shd w:val="clear" w:fill="FFFFFF"/>
          <w:lang w:val="en-US" w:eastAsia="zh-CN"/>
        </w:rPr>
        <w:t>和结果</w:t>
      </w:r>
    </w:p>
    <w:p w14:paraId="525626EA">
      <w:pPr>
        <w:numPr>
          <w:ilvl w:val="0"/>
          <w:numId w:val="0"/>
        </w:numPr>
        <w:spacing w:line="360" w:lineRule="auto"/>
        <w:jc w:val="both"/>
        <w:rPr>
          <w:rFonts w:hint="eastAsia" w:ascii="Times New Roman" w:hAnsi="Times New Roman" w:eastAsia="宋体" w:cs="Times New Roman"/>
          <w:b/>
          <w:bCs/>
          <w:sz w:val="24"/>
          <w:szCs w:val="24"/>
          <w:highlight w:val="none"/>
          <w:lang w:val="en-US" w:eastAsia="zh-CN"/>
        </w:rPr>
      </w:pPr>
      <w:r>
        <w:rPr>
          <w:rFonts w:hint="eastAsia" w:ascii="Times New Roman" w:hAnsi="Times New Roman" w:eastAsia="宋体" w:cs="Times New Roman"/>
          <w:b/>
          <w:bCs/>
          <w:sz w:val="24"/>
          <w:szCs w:val="24"/>
          <w:highlight w:val="none"/>
          <w:lang w:val="en-US" w:eastAsia="zh-CN"/>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1.山区选取普通克里格或全域采用IDW进行属性制图.</w:t>
      </w:r>
    </w:p>
    <w:p w14:paraId="191C1DCA">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2.耕层厚度采</w:t>
      </w:r>
      <w:r>
        <w:rPr>
          <w:rFonts w:hint="eastAsia" w:ascii="Times New Roman" w:hAnsi="Times New Roman" w:eastAsia="宋体" w:cs="Times New Roman"/>
          <w:b w:val="0"/>
          <w:bCs w:val="0"/>
          <w:sz w:val="24"/>
          <w:szCs w:val="24"/>
          <w:highlight w:val="none"/>
          <w:lang w:val="en-US" w:eastAsia="zh-CN"/>
        </w:rPr>
        <w:t>用以点带面、机器学习方法进行制图</w:t>
      </w:r>
    </w:p>
    <w:p w14:paraId="5FCD4B82">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4C7BC518">
      <w:pPr>
        <w:numPr>
          <w:ilvl w:val="0"/>
          <w:numId w:val="0"/>
        </w:numPr>
        <w:spacing w:line="360" w:lineRule="auto"/>
        <w:jc w:val="both"/>
        <w:rPr>
          <w:rFonts w:hint="default" w:ascii="Times New Roman" w:hAnsi="Times New Roman" w:eastAsia="宋体" w:cs="Times New Roman"/>
          <w:b/>
          <w:bCs/>
          <w:sz w:val="24"/>
          <w:szCs w:val="24"/>
          <w:highlight w:val="none"/>
          <w:lang w:val="en-US" w:eastAsia="zh-CN"/>
        </w:rPr>
      </w:pPr>
      <w:r>
        <w:rPr>
          <w:rFonts w:hint="eastAsia" w:ascii="Times New Roman" w:hAnsi="Times New Roman" w:eastAsia="宋体" w:cs="Times New Roman"/>
          <w:b/>
          <w:bCs/>
          <w:sz w:val="24"/>
          <w:szCs w:val="24"/>
          <w:highlight w:val="none"/>
          <w:lang w:val="en-US" w:eastAsia="zh-CN"/>
        </w:rPr>
        <w:t>(七)</w:t>
      </w:r>
      <w:r>
        <w:rPr>
          <w:rFonts w:hint="default" w:ascii="Times New Roman" w:hAnsi="Times New Roman" w:eastAsia="宋体" w:cs="Times New Roman"/>
          <w:b/>
          <w:bCs/>
          <w:sz w:val="24"/>
          <w:szCs w:val="24"/>
          <w:highlight w:val="none"/>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highlight w:val="none"/>
          <w:lang w:val="en-US" w:eastAsia="zh-CN"/>
        </w:rPr>
      </w:pPr>
      <w:r>
        <w:rPr>
          <w:rFonts w:hint="eastAsia" w:ascii="Times New Roman" w:hAnsi="Times New Roman" w:eastAsia="宋体" w:cs="Times New Roman"/>
          <w:b w:val="0"/>
          <w:bCs w:val="0"/>
          <w:color w:val="FF0000"/>
          <w:sz w:val="24"/>
          <w:szCs w:val="24"/>
          <w:highlight w:val="none"/>
          <w:lang w:val="en-US" w:eastAsia="zh-CN"/>
        </w:rPr>
        <w:t>1.精度评价指标(用R2、RMSE)过高或过低</w:t>
      </w:r>
    </w:p>
    <w:p w14:paraId="7143232B">
      <w:pPr>
        <w:widowControl w:val="0"/>
        <w:numPr>
          <w:ilvl w:val="0"/>
          <w:numId w:val="0"/>
        </w:numPr>
        <w:spacing w:line="360" w:lineRule="auto"/>
        <w:ind w:left="0" w:leftChars="0" w:firstLine="420" w:firstLineChars="200"/>
        <w:jc w:val="both"/>
        <w:rPr>
          <w:rFonts w:ascii="宋体" w:hAnsi="宋体" w:eastAsia="宋体" w:cs="宋体"/>
          <w:sz w:val="24"/>
          <w:szCs w:val="24"/>
        </w:rPr>
      </w:pPr>
      <w:r>
        <w:drawing>
          <wp:inline distT="0" distB="0" distL="114300" distR="114300">
            <wp:extent cx="5000625" cy="6686550"/>
            <wp:effectExtent l="0" t="0" r="3175" b="635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9"/>
                    <a:stretch>
                      <a:fillRect/>
                    </a:stretch>
                  </pic:blipFill>
                  <pic:spPr>
                    <a:xfrm>
                      <a:off x="0" y="0"/>
                      <a:ext cx="5000625" cy="6686550"/>
                    </a:xfrm>
                    <a:prstGeom prst="rect">
                      <a:avLst/>
                    </a:prstGeom>
                    <a:noFill/>
                    <a:ln>
                      <a:noFill/>
                    </a:ln>
                  </pic:spPr>
                </pic:pic>
              </a:graphicData>
            </a:graphic>
          </wp:inline>
        </w:drawing>
      </w:r>
    </w:p>
    <w:p w14:paraId="6CE86872">
      <w:pPr>
        <w:numPr>
          <w:ilvl w:val="0"/>
          <w:numId w:val="0"/>
        </w:numPr>
        <w:spacing w:line="360" w:lineRule="auto"/>
        <w:ind w:firstLine="480" w:firstLineChars="200"/>
        <w:jc w:val="both"/>
        <w:rPr>
          <w:rFonts w:ascii="宋体" w:hAnsi="宋体" w:eastAsia="宋体" w:cs="宋体"/>
          <w:sz w:val="24"/>
          <w:szCs w:val="24"/>
        </w:rPr>
      </w:pPr>
      <w:r>
        <w:rPr>
          <w:rFonts w:ascii="宋体" w:hAnsi="宋体" w:eastAsia="宋体" w:cs="宋体"/>
          <w:sz w:val="24"/>
          <w:szCs w:val="24"/>
        </w:rPr>
        <w:t>多项土壤属性最佳模型R²仍明显偏低，其中AK、AP、TK、有效铁和有效硫的R²均低于0.25，模型解释能力不足；CEC和有效锰的最终选择方法并非R²最高且RMSE最低的模型，存在模型筛选错误；AP、有效钼等指标的R²与RMSE评价结果明显矛盾，疑似指标计算口径、数据尺度或表格对应关系有误，请重新核查。</w:t>
      </w:r>
    </w:p>
    <w:p w14:paraId="645AB073">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highlight w:val="none"/>
          <w:lang w:val="en-US" w:eastAsia="zh-CN"/>
        </w:rPr>
      </w:pPr>
      <w:r>
        <w:rPr>
          <w:rFonts w:hint="eastAsia" w:ascii="Times New Roman" w:hAnsi="Times New Roman" w:eastAsia="宋体" w:cs="Times New Roman"/>
          <w:b w:val="0"/>
          <w:bCs w:val="0"/>
          <w:color w:val="FF0000"/>
          <w:sz w:val="24"/>
          <w:szCs w:val="24"/>
          <w:highlight w:val="none"/>
          <w:lang w:val="en-US" w:eastAsia="zh-CN"/>
        </w:rPr>
        <w:t>正文与表3.4多处数值不一致：</w:t>
      </w:r>
    </w:p>
    <w:p w14:paraId="4676800C">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highlight w:val="none"/>
          <w:lang w:val="en-US" w:eastAsia="zh-CN"/>
        </w:rPr>
      </w:pPr>
      <w:r>
        <w:rPr>
          <w:rFonts w:hint="eastAsia" w:ascii="Times New Roman" w:hAnsi="Times New Roman" w:eastAsia="宋体" w:cs="Times New Roman"/>
          <w:b w:val="0"/>
          <w:bCs w:val="0"/>
          <w:color w:val="FF0000"/>
          <w:sz w:val="24"/>
          <w:szCs w:val="24"/>
          <w:highlight w:val="none"/>
          <w:lang w:val="en-US" w:eastAsia="zh-CN"/>
        </w:rPr>
        <w:t>AK正文0.3143，表格0.2324；</w:t>
      </w:r>
    </w:p>
    <w:p w14:paraId="7697A6EB">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highlight w:val="none"/>
          <w:lang w:val="en-US" w:eastAsia="zh-CN"/>
        </w:rPr>
      </w:pPr>
      <w:r>
        <w:rPr>
          <w:rFonts w:hint="eastAsia" w:ascii="Times New Roman" w:hAnsi="Times New Roman" w:eastAsia="宋体" w:cs="Times New Roman"/>
          <w:b w:val="0"/>
          <w:bCs w:val="0"/>
          <w:color w:val="FF0000"/>
          <w:sz w:val="24"/>
          <w:szCs w:val="24"/>
          <w:highlight w:val="none"/>
          <w:lang w:val="en-US" w:eastAsia="zh-CN"/>
        </w:rPr>
        <w:t>RZ正文0.4328、RMSE 0.3114，表格0.4338、0.1272；</w:t>
      </w:r>
    </w:p>
    <w:p w14:paraId="4D42F382">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highlight w:val="none"/>
          <w:lang w:val="en-US" w:eastAsia="zh-CN"/>
        </w:rPr>
      </w:pPr>
      <w:r>
        <w:rPr>
          <w:rFonts w:hint="eastAsia" w:ascii="Times New Roman" w:hAnsi="Times New Roman" w:eastAsia="宋体" w:cs="Times New Roman"/>
          <w:b w:val="0"/>
          <w:bCs w:val="0"/>
          <w:color w:val="FF0000"/>
          <w:sz w:val="24"/>
          <w:szCs w:val="24"/>
          <w:highlight w:val="none"/>
          <w:lang w:val="en-US" w:eastAsia="zh-CN"/>
        </w:rPr>
        <w:t>AMO正文0.0593、0.09047，表格0.3593、0.02905；</w:t>
      </w:r>
    </w:p>
    <w:p w14:paraId="32D9172B">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highlight w:val="none"/>
          <w:lang w:val="en-US" w:eastAsia="zh-CN"/>
        </w:rPr>
      </w:pPr>
      <w:r>
        <w:rPr>
          <w:rFonts w:hint="eastAsia" w:ascii="Times New Roman" w:hAnsi="Times New Roman" w:eastAsia="宋体" w:cs="Times New Roman"/>
          <w:b w:val="0"/>
          <w:bCs w:val="0"/>
          <w:color w:val="FF0000"/>
          <w:sz w:val="24"/>
          <w:szCs w:val="24"/>
          <w:highlight w:val="none"/>
          <w:lang w:val="en-US" w:eastAsia="zh-CN"/>
        </w:rPr>
        <w:t>AB随机森林克里金RMSE正文0.1811，表格0.1081。</w:t>
      </w:r>
    </w:p>
    <w:p w14:paraId="38AF2AF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color w:val="FF0000"/>
          <w:sz w:val="24"/>
          <w:szCs w:val="24"/>
          <w:highlight w:val="none"/>
          <w:lang w:val="en-US" w:eastAsia="zh-CN"/>
        </w:rPr>
        <w:t>类似问题逐一核实修改</w:t>
      </w:r>
    </w:p>
    <w:p w14:paraId="6EB4E980">
      <w:pPr>
        <w:numPr>
          <w:ilvl w:val="0"/>
          <w:numId w:val="0"/>
        </w:numPr>
        <w:spacing w:line="360" w:lineRule="auto"/>
        <w:ind w:firstLine="420" w:firstLineChars="200"/>
        <w:jc w:val="both"/>
        <w:rPr>
          <w:rFonts w:hint="default"/>
          <w:highlight w:val="none"/>
          <w:lang w:val="en-US" w:eastAsia="zh-CN"/>
        </w:rPr>
      </w:pPr>
      <w:r>
        <w:drawing>
          <wp:inline distT="0" distB="0" distL="114300" distR="114300">
            <wp:extent cx="5273040" cy="3002280"/>
            <wp:effectExtent l="0" t="0" r="10160" b="762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30"/>
                    <a:stretch>
                      <a:fillRect/>
                    </a:stretch>
                  </pic:blipFill>
                  <pic:spPr>
                    <a:xfrm>
                      <a:off x="0" y="0"/>
                      <a:ext cx="5273040" cy="3002280"/>
                    </a:xfrm>
                    <a:prstGeom prst="rect">
                      <a:avLst/>
                    </a:prstGeom>
                    <a:noFill/>
                    <a:ln>
                      <a:noFill/>
                    </a:ln>
                  </pic:spPr>
                </pic:pic>
              </a:graphicData>
            </a:graphic>
          </wp:inline>
        </w:drawing>
      </w:r>
    </w:p>
    <w:p w14:paraId="1C51AAC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red"/>
          <w:lang w:val="en-US" w:eastAsia="zh-CN"/>
        </w:rPr>
      </w:pP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2.报告中是否存在制图结果的验证评价和分析</w:t>
      </w:r>
    </w:p>
    <w:p w14:paraId="1086D26E">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0C57BDD">
      <w:pPr>
        <w:numPr>
          <w:ilvl w:val="0"/>
          <w:numId w:val="0"/>
        </w:numPr>
        <w:spacing w:line="360" w:lineRule="auto"/>
        <w:jc w:val="both"/>
        <w:rPr>
          <w:rFonts w:hint="eastAsia" w:ascii="Times New Roman" w:hAnsi="Times New Roman" w:eastAsia="宋体" w:cs="Times New Roman"/>
          <w:b/>
          <w:bCs/>
          <w:sz w:val="24"/>
          <w:szCs w:val="24"/>
          <w:highlight w:val="none"/>
          <w:lang w:val="en-US" w:eastAsia="zh-CN"/>
        </w:rPr>
      </w:pPr>
      <w:r>
        <w:rPr>
          <w:rFonts w:hint="eastAsia" w:ascii="Times New Roman" w:hAnsi="Times New Roman" w:eastAsia="宋体" w:cs="Times New Roman"/>
          <w:b/>
          <w:bCs/>
          <w:sz w:val="24"/>
          <w:szCs w:val="24"/>
          <w:highlight w:val="none"/>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1.乡镇统计表不能只统计耕地的结果</w:t>
      </w:r>
    </w:p>
    <w:p w14:paraId="65413405">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2.乡镇耕地统计结果应该和分地类统计的耕地结果能对齐</w:t>
      </w:r>
    </w:p>
    <w:p w14:paraId="6DD2982F">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3.数据分级标准是否使用九大农区的标准</w:t>
      </w:r>
    </w:p>
    <w:p w14:paraId="2CBAFB17">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报告中采用标准未明确说明。</w:t>
      </w:r>
    </w:p>
    <w:p w14:paraId="56968725">
      <w:pPr>
        <w:numPr>
          <w:ilvl w:val="0"/>
          <w:numId w:val="0"/>
        </w:numPr>
        <w:spacing w:line="360" w:lineRule="auto"/>
        <w:ind w:firstLine="420" w:firstLineChars="200"/>
        <w:jc w:val="both"/>
        <w:rPr>
          <w:rFonts w:hint="eastAsia" w:ascii="Times New Roman" w:hAnsi="Times New Roman" w:eastAsia="宋体" w:cs="Times New Roman"/>
          <w:b w:val="0"/>
          <w:bCs w:val="0"/>
          <w:color w:val="000000" w:themeColor="text1"/>
          <w:sz w:val="24"/>
          <w:szCs w:val="24"/>
          <w:highlight w:val="red"/>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72405" cy="1522730"/>
            <wp:effectExtent l="0" t="0" r="10795" b="1270"/>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31"/>
                    <a:stretch>
                      <a:fillRect/>
                    </a:stretch>
                  </pic:blipFill>
                  <pic:spPr>
                    <a:xfrm>
                      <a:off x="0" y="0"/>
                      <a:ext cx="5272405" cy="1522730"/>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4.分级图缺少注记</w:t>
      </w:r>
    </w:p>
    <w:p w14:paraId="39FF727A">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5.耕层质地按12级分级的标准进行上图，颜色按GB 45298-2025的标准上图，酸碱度同步参考</w:t>
      </w:r>
    </w:p>
    <w:p w14:paraId="2F4C3A1C">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1B2299C7">
      <w:pPr>
        <w:numPr>
          <w:ilvl w:val="0"/>
          <w:numId w:val="7"/>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7F9E80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cs="Times New Roman"/>
          <w:color w:val="auto"/>
          <w:kern w:val="2"/>
          <w:sz w:val="24"/>
          <w:szCs w:val="24"/>
          <w:lang w:val="en-US" w:eastAsia="zh-CN" w:bidi="ar-SA"/>
        </w:rPr>
      </w:pPr>
      <w:r>
        <w:rPr>
          <w:rFonts w:hint="eastAsia" w:cs="Times New Roman"/>
          <w:color w:val="auto"/>
          <w:kern w:val="2"/>
          <w:sz w:val="24"/>
          <w:szCs w:val="24"/>
          <w:lang w:val="en-US" w:eastAsia="zh-CN" w:bidi="ar-SA"/>
        </w:rPr>
        <w:t>1.图件的图例中县级行政区边界图例未显示晕线</w:t>
      </w:r>
      <w:r>
        <w:rPr>
          <w:rFonts w:hint="eastAsia"/>
          <w:color w:val="auto"/>
          <w:sz w:val="24"/>
          <w:szCs w:val="24"/>
          <w:lang w:val="en-US" w:eastAsia="zh-CN"/>
        </w:rPr>
        <w:t>，标准画法如下图</w:t>
      </w:r>
      <w:r>
        <w:rPr>
          <w:rFonts w:hint="eastAsia" w:cs="Times New Roman"/>
          <w:color w:val="auto"/>
          <w:kern w:val="2"/>
          <w:sz w:val="24"/>
          <w:szCs w:val="24"/>
          <w:lang w:val="en-US" w:eastAsia="zh-CN" w:bidi="ar-SA"/>
        </w:rPr>
        <w:t>。</w:t>
      </w:r>
    </w:p>
    <w:p w14:paraId="769C8116">
      <w:pPr>
        <w:numPr>
          <w:ilvl w:val="0"/>
          <w:numId w:val="0"/>
        </w:numPr>
        <w:spacing w:line="360" w:lineRule="auto"/>
        <w:jc w:val="both"/>
        <w:rPr>
          <w:rFonts w:hint="eastAsia" w:eastAsia="宋体"/>
          <w:color w:val="0000FF"/>
          <w:sz w:val="24"/>
          <w:szCs w:val="24"/>
          <w:lang w:val="en-US" w:eastAsia="zh-CN"/>
        </w:rPr>
      </w:pPr>
      <w:r>
        <w:drawing>
          <wp:inline distT="0" distB="0" distL="114300" distR="114300">
            <wp:extent cx="4455160" cy="2818765"/>
            <wp:effectExtent l="0" t="0" r="2540"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2"/>
                    <a:stretch>
                      <a:fillRect/>
                    </a:stretch>
                  </pic:blipFill>
                  <pic:spPr>
                    <a:xfrm>
                      <a:off x="0" y="0"/>
                      <a:ext cx="4455160" cy="2818765"/>
                    </a:xfrm>
                    <a:prstGeom prst="rect">
                      <a:avLst/>
                    </a:prstGeom>
                    <a:noFill/>
                    <a:ln>
                      <a:noFill/>
                    </a:ln>
                  </pic:spPr>
                </pic:pic>
              </a:graphicData>
            </a:graphic>
          </wp:inline>
        </w:drawing>
      </w:r>
      <w:r>
        <w:rPr>
          <w:rFonts w:hint="eastAsia" w:eastAsia="宋体"/>
          <w:color w:val="0000FF"/>
          <w:sz w:val="24"/>
          <w:szCs w:val="24"/>
          <w:lang w:val="en-US" w:eastAsia="zh-CN"/>
        </w:rPr>
        <w:drawing>
          <wp:inline distT="0" distB="0" distL="114300" distR="114300">
            <wp:extent cx="3295650" cy="2586355"/>
            <wp:effectExtent l="0" t="0" r="6350" b="4445"/>
            <wp:docPr id="5" name="图片 5" descr="7426f9ed57a673ac369bceb6ec21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426f9ed57a673ac369bceb6ec219de7"/>
                    <pic:cNvPicPr>
                      <a:picLocks noChangeAspect="1"/>
                    </pic:cNvPicPr>
                  </pic:nvPicPr>
                  <pic:blipFill>
                    <a:blip r:embed="rId33"/>
                    <a:srcRect l="22396" t="8646" b="23246"/>
                    <a:stretch>
                      <a:fillRect/>
                    </a:stretch>
                  </pic:blipFill>
                  <pic:spPr>
                    <a:xfrm>
                      <a:off x="0" y="0"/>
                      <a:ext cx="3295650" cy="2586355"/>
                    </a:xfrm>
                    <a:prstGeom prst="rect">
                      <a:avLst/>
                    </a:prstGeom>
                  </pic:spPr>
                </pic:pic>
              </a:graphicData>
            </a:graphic>
          </wp:inline>
        </w:drawing>
      </w:r>
    </w:p>
    <w:p w14:paraId="11986190">
      <w:pPr>
        <w:numPr>
          <w:ilvl w:val="0"/>
          <w:numId w:val="10"/>
        </w:numPr>
        <w:spacing w:line="360" w:lineRule="auto"/>
        <w:jc w:val="both"/>
        <w:rPr>
          <w:rFonts w:hint="eastAsia" w:eastAsia="宋体"/>
          <w:color w:val="000000" w:themeColor="text1"/>
          <w:sz w:val="24"/>
          <w:szCs w:val="24"/>
          <w:lang w:val="en-US" w:eastAsia="zh-CN"/>
          <w14:textFill>
            <w14:solidFill>
              <w14:schemeClr w14:val="tx1"/>
            </w14:solidFill>
          </w14:textFill>
        </w:rPr>
      </w:pPr>
      <w:r>
        <w:rPr>
          <w:rFonts w:hint="eastAsia" w:eastAsia="宋体"/>
          <w:color w:val="000000" w:themeColor="text1"/>
          <w:sz w:val="24"/>
          <w:szCs w:val="24"/>
          <w:lang w:val="en-US" w:eastAsia="zh-CN"/>
          <w14:textFill>
            <w14:solidFill>
              <w14:schemeClr w14:val="tx1"/>
            </w14:solidFill>
          </w14:textFill>
        </w:rPr>
        <w:t>面积缺少总计</w:t>
      </w:r>
    </w:p>
    <w:p w14:paraId="496ABDFF">
      <w:pPr>
        <w:numPr>
          <w:ilvl w:val="0"/>
          <w:numId w:val="0"/>
        </w:numPr>
        <w:spacing w:line="360" w:lineRule="auto"/>
        <w:jc w:val="both"/>
      </w:pPr>
      <w:r>
        <w:drawing>
          <wp:inline distT="0" distB="0" distL="114300" distR="114300">
            <wp:extent cx="4126865" cy="2680970"/>
            <wp:effectExtent l="0" t="0" r="635" b="1143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34"/>
                    <a:stretch>
                      <a:fillRect/>
                    </a:stretch>
                  </pic:blipFill>
                  <pic:spPr>
                    <a:xfrm>
                      <a:off x="0" y="0"/>
                      <a:ext cx="4126865" cy="2680970"/>
                    </a:xfrm>
                    <a:prstGeom prst="rect">
                      <a:avLst/>
                    </a:prstGeom>
                    <a:noFill/>
                    <a:ln>
                      <a:noFill/>
                    </a:ln>
                  </pic:spPr>
                </pic:pic>
              </a:graphicData>
            </a:graphic>
          </wp:inline>
        </w:drawing>
      </w:r>
    </w:p>
    <w:p w14:paraId="35D622B1">
      <w:pPr>
        <w:numPr>
          <w:ilvl w:val="0"/>
          <w:numId w:val="0"/>
        </w:numPr>
        <w:spacing w:line="360" w:lineRule="auto"/>
        <w:jc w:val="both"/>
        <w:rPr>
          <w:rFonts w:hint="eastAsia" w:eastAsia="宋体"/>
          <w:color w:val="000000" w:themeColor="text1"/>
          <w:sz w:val="24"/>
          <w:szCs w:val="24"/>
          <w:lang w:val="en-US" w:eastAsia="zh-CN"/>
          <w14:textFill>
            <w14:solidFill>
              <w14:schemeClr w14:val="tx1"/>
            </w14:solidFill>
          </w14:textFill>
        </w:rPr>
      </w:pPr>
      <w:r>
        <w:rPr>
          <w:rFonts w:hint="eastAsia" w:eastAsia="宋体"/>
          <w:color w:val="000000" w:themeColor="text1"/>
          <w:sz w:val="24"/>
          <w:szCs w:val="24"/>
          <w:lang w:val="en-US" w:eastAsia="zh-CN"/>
          <w14:textFill>
            <w14:solidFill>
              <w14:schemeClr w14:val="tx1"/>
            </w14:solidFill>
          </w14:textFill>
        </w:rPr>
        <w:t>可变换行列进行表格绘制，参考如下:</w:t>
      </w:r>
    </w:p>
    <w:p w14:paraId="3DD60A02">
      <w:pPr>
        <w:numPr>
          <w:ilvl w:val="0"/>
          <w:numId w:val="0"/>
        </w:numPr>
        <w:spacing w:line="360" w:lineRule="auto"/>
        <w:jc w:val="both"/>
      </w:pPr>
      <w:r>
        <w:drawing>
          <wp:inline distT="0" distB="0" distL="114300" distR="114300">
            <wp:extent cx="5285105" cy="1460500"/>
            <wp:effectExtent l="0" t="0" r="10795" b="0"/>
            <wp:docPr id="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6"/>
                    <pic:cNvPicPr>
                      <a:picLocks noChangeAspect="1"/>
                    </pic:cNvPicPr>
                  </pic:nvPicPr>
                  <pic:blipFill>
                    <a:blip r:embed="rId35"/>
                    <a:srcRect t="8353"/>
                    <a:stretch>
                      <a:fillRect/>
                    </a:stretch>
                  </pic:blipFill>
                  <pic:spPr>
                    <a:xfrm>
                      <a:off x="0" y="0"/>
                      <a:ext cx="5285105" cy="1460500"/>
                    </a:xfrm>
                    <a:prstGeom prst="rect">
                      <a:avLst/>
                    </a:prstGeom>
                    <a:noFill/>
                    <a:ln>
                      <a:noFill/>
                    </a:ln>
                  </pic:spPr>
                </pic:pic>
              </a:graphicData>
            </a:graphic>
          </wp:inline>
        </w:drawing>
      </w:r>
    </w:p>
    <w:p w14:paraId="0782F1F6">
      <w:pPr>
        <w:numPr>
          <w:ilvl w:val="0"/>
          <w:numId w:val="0"/>
        </w:numPr>
        <w:spacing w:line="360" w:lineRule="auto"/>
        <w:jc w:val="both"/>
        <w:rPr>
          <w:rFonts w:hint="eastAsia" w:eastAsia="宋体"/>
          <w:lang w:eastAsia="zh-CN"/>
        </w:rPr>
      </w:pPr>
      <w:r>
        <w:rPr>
          <w:rFonts w:hint="eastAsia" w:ascii="宋体" w:hAnsi="宋体" w:eastAsia="宋体" w:cs="宋体"/>
          <w:sz w:val="24"/>
          <w:szCs w:val="24"/>
          <w:lang w:eastAsia="zh-CN"/>
        </w:rPr>
        <w:t>3.</w:t>
      </w:r>
      <w:r>
        <w:rPr>
          <w:rFonts w:hint="eastAsia" w:ascii="宋体" w:hAnsi="宋体" w:eastAsia="宋体" w:cs="宋体"/>
          <w:sz w:val="24"/>
          <w:szCs w:val="24"/>
          <w:lang w:val="en-US" w:eastAsia="zh-CN"/>
        </w:rPr>
        <w:t>比例尺错误（核实比例尺长度：</w:t>
      </w:r>
      <w:r>
        <w:rPr>
          <w:rFonts w:ascii="宋体" w:hAnsi="宋体" w:eastAsia="宋体" w:cs="宋体"/>
          <w:sz w:val="24"/>
          <w:szCs w:val="24"/>
        </w:rPr>
        <w:t>数字比例尺1∶50000与图示比例尺0—6千米不一致，比例尺配置错误。按1∶50000成图时，6千米比例尺条应为12厘米，现有比例尺条过短。</w:t>
      </w:r>
      <w:r>
        <w:rPr>
          <w:rFonts w:hint="eastAsia" w:ascii="宋体" w:hAnsi="宋体" w:eastAsia="宋体" w:cs="宋体"/>
          <w:sz w:val="24"/>
          <w:szCs w:val="24"/>
          <w:lang w:eastAsia="zh-CN"/>
        </w:rPr>
        <w:t>）</w:t>
      </w:r>
    </w:p>
    <w:p w14:paraId="4DBB83B7">
      <w:pPr>
        <w:numPr>
          <w:ilvl w:val="0"/>
          <w:numId w:val="0"/>
        </w:numPr>
        <w:spacing w:line="360" w:lineRule="auto"/>
        <w:jc w:val="both"/>
        <w:rPr>
          <w:rFonts w:hint="eastAsia" w:eastAsiaTheme="minorEastAsia"/>
          <w:lang w:val="en-US" w:eastAsia="zh-CN"/>
        </w:rPr>
      </w:pPr>
      <w:r>
        <w:drawing>
          <wp:inline distT="0" distB="0" distL="114300" distR="114300">
            <wp:extent cx="3467100" cy="1323975"/>
            <wp:effectExtent l="0" t="0" r="0" b="952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36"/>
                    <a:stretch>
                      <a:fillRect/>
                    </a:stretch>
                  </pic:blipFill>
                  <pic:spPr>
                    <a:xfrm>
                      <a:off x="0" y="0"/>
                      <a:ext cx="3467100" cy="1323975"/>
                    </a:xfrm>
                    <a:prstGeom prst="rect">
                      <a:avLst/>
                    </a:prstGeom>
                    <a:noFill/>
                    <a:ln>
                      <a:noFill/>
                    </a:ln>
                  </pic:spPr>
                </pic:pic>
              </a:graphicData>
            </a:graphic>
          </wp:inline>
        </w:drawing>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568F0B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1.缺高程基准</w:t>
      </w:r>
    </w:p>
    <w:p w14:paraId="7022F82C">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66690" cy="443865"/>
            <wp:effectExtent l="0" t="0" r="3810" b="6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7"/>
                    <a:stretch>
                      <a:fillRect/>
                    </a:stretch>
                  </pic:blipFill>
                  <pic:spPr>
                    <a:xfrm>
                      <a:off x="0" y="0"/>
                      <a:ext cx="5266690" cy="443865"/>
                    </a:xfrm>
                    <a:prstGeom prst="rect">
                      <a:avLst/>
                    </a:prstGeom>
                    <a:noFill/>
                    <a:ln>
                      <a:noFill/>
                    </a:ln>
                  </pic:spPr>
                </pic:pic>
              </a:graphicData>
            </a:graphic>
          </wp:inline>
        </w:drawing>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(三)其他</w:t>
      </w:r>
    </w:p>
    <w:p w14:paraId="28F5900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1.图面细节美观性</w:t>
      </w:r>
    </w:p>
    <w:p w14:paraId="07645F23">
      <w:pPr>
        <w:numPr>
          <w:ilvl w:val="0"/>
          <w:numId w:val="0"/>
        </w:numPr>
        <w:spacing w:line="360" w:lineRule="auto"/>
        <w:jc w:val="both"/>
      </w:pPr>
      <w:r>
        <w:drawing>
          <wp:inline distT="0" distB="0" distL="114300" distR="114300">
            <wp:extent cx="3219450" cy="2514600"/>
            <wp:effectExtent l="0" t="0" r="635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38"/>
                    <a:stretch>
                      <a:fillRect/>
                    </a:stretch>
                  </pic:blipFill>
                  <pic:spPr>
                    <a:xfrm>
                      <a:off x="0" y="0"/>
                      <a:ext cx="3219450" cy="2514600"/>
                    </a:xfrm>
                    <a:prstGeom prst="rect">
                      <a:avLst/>
                    </a:prstGeom>
                    <a:noFill/>
                    <a:ln>
                      <a:noFill/>
                    </a:ln>
                  </pic:spPr>
                </pic:pic>
              </a:graphicData>
            </a:graphic>
          </wp:inline>
        </w:drawing>
      </w:r>
    </w:p>
    <w:p w14:paraId="6E5A3234">
      <w:pPr>
        <w:numPr>
          <w:ilvl w:val="0"/>
          <w:numId w:val="0"/>
        </w:numPr>
        <w:spacing w:line="360" w:lineRule="auto"/>
        <w:jc w:val="both"/>
        <w:rPr>
          <w:rFonts w:hint="eastAsia"/>
          <w:lang w:val="en-US" w:eastAsia="zh-CN"/>
        </w:rPr>
      </w:pPr>
    </w:p>
    <w:p w14:paraId="0F21FDF3">
      <w:pPr>
        <w:numPr>
          <w:ilvl w:val="0"/>
          <w:numId w:val="7"/>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1.属性制图技术路线图是否缺失或过于简单</w:t>
      </w:r>
    </w:p>
    <w:p w14:paraId="7FEE6A5D">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50F954FF">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2.属性制图技术路线内容阐述是否完整或清晰</w:t>
      </w:r>
    </w:p>
    <w:p w14:paraId="788F30A3">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是</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2FD185B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重点查看报告中的数据来源部分表格或段落，是否对每个数据进行了介绍。</w:t>
      </w:r>
    </w:p>
    <w:p w14:paraId="25AB74B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报告中缺失部分选取的环境变量的年份、格式。</w:t>
      </w:r>
    </w:p>
    <w:p w14:paraId="6C4EE819">
      <w:pPr>
        <w:numPr>
          <w:ilvl w:val="0"/>
          <w:numId w:val="0"/>
        </w:numPr>
        <w:spacing w:line="360" w:lineRule="auto"/>
        <w:ind w:firstLine="42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71770" cy="4375150"/>
            <wp:effectExtent l="0" t="0" r="11430" b="635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6"/>
                    <a:stretch>
                      <a:fillRect/>
                    </a:stretch>
                  </pic:blipFill>
                  <pic:spPr>
                    <a:xfrm>
                      <a:off x="0" y="0"/>
                      <a:ext cx="5271770" cy="4375150"/>
                    </a:xfrm>
                    <a:prstGeom prst="rect">
                      <a:avLst/>
                    </a:prstGeom>
                    <a:noFill/>
                    <a:ln>
                      <a:noFill/>
                    </a:ln>
                  </pic:spPr>
                </pic:pic>
              </a:graphicData>
            </a:graphic>
          </wp:inline>
        </w:drawing>
      </w:r>
    </w:p>
    <w:p w14:paraId="1C510E80">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2.土壤样点空间分布图是否缺失</w:t>
      </w:r>
    </w:p>
    <w:p w14:paraId="05E28DE8">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不缺失，但是以略图呈现。</w:t>
      </w:r>
    </w:p>
    <w:p w14:paraId="078B39F4">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3.环境变量制备过程未说明或说明不具体</w:t>
      </w:r>
    </w:p>
    <w:p w14:paraId="376B15DF">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过程不具体，如 </w:t>
      </w: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各环境变量的具体来</w:t>
      </w:r>
      <w:r>
        <w:rPr>
          <w:rFonts w:hint="default" w:ascii="Times New Roman" w:hAnsi="Times New Roman" w:eastAsia="宋体" w:cs="Times New Roman"/>
          <w:b w:val="0"/>
          <w:bCs w:val="0"/>
          <w:sz w:val="24"/>
          <w:szCs w:val="24"/>
          <w:highlight w:val="none"/>
          <w:lang w:val="en-US" w:eastAsia="zh-CN"/>
        </w:rPr>
        <w:t>源和精度信息不完整</w:t>
      </w:r>
      <w:r>
        <w:rPr>
          <w:rFonts w:hint="eastAsia" w:ascii="Times New Roman" w:hAnsi="Times New Roman" w:eastAsia="宋体" w:cs="Times New Roman"/>
          <w:b w:val="0"/>
          <w:bCs w:val="0"/>
          <w:sz w:val="24"/>
          <w:szCs w:val="24"/>
          <w:highlight w:val="none"/>
          <w:lang w:val="en-US" w:eastAsia="zh-CN"/>
        </w:rPr>
        <w:t>等问题，检查补充</w:t>
      </w:r>
      <w:r>
        <w:rPr>
          <w:rFonts w:hint="default" w:ascii="Times New Roman" w:hAnsi="Times New Roman" w:eastAsia="宋体" w:cs="Times New Roman"/>
          <w:b w:val="0"/>
          <w:bCs w:val="0"/>
          <w:sz w:val="24"/>
          <w:szCs w:val="24"/>
          <w:highlight w:val="none"/>
          <w:lang w:val="en-US" w:eastAsia="zh-CN"/>
        </w:rPr>
        <w:t>。</w:t>
      </w:r>
    </w:p>
    <w:p w14:paraId="7A286CD2">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4.数据处理过程是否合理</w:t>
      </w:r>
    </w:p>
    <w:p w14:paraId="1025F31A">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3CE2F45">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1.模型优选是否进行了多种方法对比</w:t>
      </w:r>
    </w:p>
    <w:p w14:paraId="6D6B072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重点检查报告中存在多个模型的比对，模型选择和模型介绍正确。</w:t>
      </w:r>
    </w:p>
    <w:p w14:paraId="559546D4">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2.环境变量的筛选方法和过程说明</w:t>
      </w:r>
    </w:p>
    <w:p w14:paraId="19D86714">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报告中存在对环境变量筛选的过程，但入模变量列表不完整：报告列出了有效铜、有效硼、有效铁、速效钾、酸碱度、全钾、容重、全磷、全氮、有机质共10个属性的入模变量，但CEC（阳离子交换量）、OM（有机质已列出）、TN（全氮已列出）、TP（全磷已列出）、TK（全钾已列出）、AK（速效钾已列出）、AP（有效磷）等属性中，AP入模变量未见列出，且砂粒、粉粒、黏粒的入模变量也未说明。</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51777AF5">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是</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0C4BB62E">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72405" cy="1948815"/>
            <wp:effectExtent l="0" t="0" r="10795" b="698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9"/>
                    <a:stretch>
                      <a:fillRect/>
                    </a:stretch>
                  </pic:blipFill>
                  <pic:spPr>
                    <a:xfrm>
                      <a:off x="0" y="0"/>
                      <a:ext cx="5272405" cy="1948815"/>
                    </a:xfrm>
                    <a:prstGeom prst="rect">
                      <a:avLst/>
                    </a:prstGeom>
                    <a:noFill/>
                    <a:ln>
                      <a:noFill/>
                    </a:ln>
                  </pic:spPr>
                </pic:pic>
              </a:graphicData>
            </a:graphic>
          </wp:inline>
        </w:drawing>
      </w:r>
    </w:p>
    <w:p w14:paraId="48CFE9BC">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3.土壤属性图是否进行空间分布分析</w:t>
      </w:r>
    </w:p>
    <w:p w14:paraId="67DCC9B2">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是</w:t>
      </w:r>
    </w:p>
    <w:p w14:paraId="2AA25D65">
      <w:pPr>
        <w:numPr>
          <w:ilvl w:val="0"/>
          <w:numId w:val="7"/>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报告-现状分析</w:t>
      </w:r>
    </w:p>
    <w:p w14:paraId="39DDD968">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1.样点统计与制图统计数据差异是否显著</w:t>
      </w:r>
    </w:p>
    <w:p w14:paraId="7ADF4FA9">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2BE21E71">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2.数据是否错误或存疑，部分指标单位是否有误（亩或万亩）</w:t>
      </w:r>
    </w:p>
    <w:p w14:paraId="120548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表1.9（不同土壤类型容重）中，制图统计均值全部为14.80～16.11g/cm³，而正常土壤容重范围为0.8～1.8g/cm³</w:t>
      </w:r>
      <w:r>
        <w:rPr>
          <w:rFonts w:hint="eastAsia" w:ascii="Times New Roman" w:hAnsi="Times New Roman" w:eastAsia="宋体" w:cs="Times New Roman"/>
          <w:b w:val="0"/>
          <w:bCs w:val="0"/>
          <w:sz w:val="24"/>
          <w:szCs w:val="24"/>
          <w:highlight w:val="none"/>
          <w:lang w:val="en-US" w:eastAsia="zh-CN"/>
        </w:rPr>
        <w:t>，数值偏大存疑。</w:t>
      </w:r>
    </w:p>
    <w:p w14:paraId="69061175">
      <w:pPr>
        <w:numPr>
          <w:ilvl w:val="0"/>
          <w:numId w:val="0"/>
        </w:numPr>
        <w:spacing w:line="360" w:lineRule="auto"/>
        <w:ind w:firstLine="420" w:firstLineChars="200"/>
        <w:jc w:val="both"/>
        <w:rPr>
          <w:highlight w:val="none"/>
        </w:rPr>
      </w:pPr>
      <w:r>
        <w:rPr>
          <w:highlight w:val="none"/>
        </w:rPr>
        <w:drawing>
          <wp:inline distT="0" distB="0" distL="114300" distR="114300">
            <wp:extent cx="3876040" cy="2537460"/>
            <wp:effectExtent l="0" t="0" r="10160" b="254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40"/>
                    <a:stretch>
                      <a:fillRect/>
                    </a:stretch>
                  </pic:blipFill>
                  <pic:spPr>
                    <a:xfrm>
                      <a:off x="0" y="0"/>
                      <a:ext cx="3876040" cy="2537460"/>
                    </a:xfrm>
                    <a:prstGeom prst="rect">
                      <a:avLst/>
                    </a:prstGeom>
                    <a:noFill/>
                    <a:ln>
                      <a:noFill/>
                    </a:ln>
                  </pic:spPr>
                </pic:pic>
              </a:graphicData>
            </a:graphic>
          </wp:inline>
        </w:drawing>
      </w:r>
    </w:p>
    <w:p w14:paraId="10FC3435">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3.现状数据是否缺少分级表、中微量元素数据等</w:t>
      </w:r>
    </w:p>
    <w:p w14:paraId="4018579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7340F7CB">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4.报告中的图表和现状数据是否匹配</w:t>
      </w:r>
    </w:p>
    <w:p w14:paraId="4284AEA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508AE070">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1.属性数据分级标准与规范不一致、分级不规范（可在标准内调整，但不可以跨越阈值界限）</w:t>
      </w:r>
    </w:p>
    <w:p w14:paraId="2E2BB823">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报告中采用标准未明确说明。</w:t>
      </w:r>
    </w:p>
    <w:p w14:paraId="430E18EC">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2.土壤分类系统不统一（未用三普土属名称）</w:t>
      </w:r>
    </w:p>
    <w:p w14:paraId="64DC4F3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0577FDEE">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1.成因分析不深入或不合理</w:t>
      </w:r>
    </w:p>
    <w:p w14:paraId="745239D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038B03E5">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2.属性指标的土地利用类型、土壤类型分类分区差异对比不充分（各乡镇间进行对比）</w:t>
      </w:r>
    </w:p>
    <w:p w14:paraId="27626A5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07EB75ED">
      <w:pPr>
        <w:numPr>
          <w:ilvl w:val="0"/>
          <w:numId w:val="10"/>
        </w:numPr>
        <w:spacing w:line="360" w:lineRule="auto"/>
        <w:ind w:left="0" w:leftChars="0" w:firstLine="0" w:firstLineChars="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现状指标分析不完整（缺物理指标、中微量元素等）</w:t>
      </w:r>
    </w:p>
    <w:p w14:paraId="46ECE83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1CDFDC49">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1.现状土壤属性间关联分析不足</w:t>
      </w:r>
    </w:p>
    <w:p w14:paraId="10F332E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E31D9E4">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2.关联分析方法不规范</w:t>
      </w:r>
    </w:p>
    <w:p w14:paraId="1E5341D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未明确说明采用的关联分析方法，也未说明数据是否经过正态性检验。</w:t>
      </w:r>
    </w:p>
    <w:p w14:paraId="29FE3F4B">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3.未针对性提出土壤培肥改良措施，乡镇土壤属性分析仅呈现数据，未结合当地土壤问题给出解决方</w:t>
      </w:r>
    </w:p>
    <w:p w14:paraId="31286588">
      <w:pPr>
        <w:numPr>
          <w:ilvl w:val="0"/>
          <w:numId w:val="7"/>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报告-历史变化及成因</w:t>
      </w:r>
    </w:p>
    <w:p w14:paraId="5668EF12">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1.是否结合历史数据（二普、测土配方等）进行历史变化对比</w:t>
      </w:r>
    </w:p>
    <w:p w14:paraId="037DA20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3F1CE72B">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2.历史变化分析不充分或缺失、剖析不深入</w:t>
      </w:r>
    </w:p>
    <w:p w14:paraId="0C0ACEB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1C20D27D">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3.对比分析的土壤属性指标分析缺失或不完整</w:t>
      </w:r>
    </w:p>
    <w:p w14:paraId="38406A7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5CE62F12">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4.仅文字分析、缺少图表统计对比</w:t>
      </w:r>
    </w:p>
    <w:p w14:paraId="74E2EEB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35ADFF3A">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(二)成因分析未按导引要求</w:t>
      </w:r>
    </w:p>
    <w:p w14:paraId="5922CE73">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是否结合农田管理分析变化；历史变化成因分析不充分或不合理；有没有进行分类分区差异对比</w:t>
      </w:r>
    </w:p>
    <w:p w14:paraId="475FD1F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3BAA297B">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(三)结果分析表述不准确</w:t>
      </w:r>
    </w:p>
    <w:p w14:paraId="160481A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变化幅度、趋势方向、现象描述、是否有定量分析</w:t>
      </w:r>
    </w:p>
    <w:p w14:paraId="5BA1A4C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3F3AA12D">
      <w:pPr>
        <w:numPr>
          <w:ilvl w:val="0"/>
          <w:numId w:val="0"/>
        </w:numPr>
        <w:spacing w:line="360" w:lineRule="auto"/>
        <w:jc w:val="both"/>
        <w:rPr>
          <w:rFonts w:hint="default"/>
          <w:b/>
          <w:bCs/>
          <w:sz w:val="24"/>
          <w:szCs w:val="24"/>
          <w:highlight w:val="none"/>
          <w:lang w:val="en-US" w:eastAsia="zh-CN"/>
        </w:rPr>
      </w:pPr>
      <w:r>
        <w:rPr>
          <w:rFonts w:hint="eastAsia"/>
          <w:b/>
          <w:bCs/>
          <w:sz w:val="24"/>
          <w:szCs w:val="24"/>
          <w:highlight w:val="none"/>
          <w:lang w:val="en-US" w:eastAsia="zh-CN"/>
        </w:rPr>
        <w:t>(四)其他</w:t>
      </w:r>
    </w:p>
    <w:p w14:paraId="493E688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制表和单位</w:t>
      </w:r>
      <w:r>
        <w:rPr>
          <w:rFonts w:hint="eastAsia" w:ascii="Times New Roman" w:hAnsi="Times New Roman" w:eastAsia="宋体" w:cs="Times New Roman"/>
          <w:b w:val="0"/>
          <w:bCs w:val="0"/>
          <w:sz w:val="24"/>
          <w:szCs w:val="24"/>
          <w:highlight w:val="none"/>
          <w:lang w:val="en-US" w:eastAsia="zh-CN"/>
        </w:rPr>
        <w:t>的规范</w:t>
      </w:r>
    </w:p>
    <w:p w14:paraId="4050A81E">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4DCE4E0D">
      <w:pPr>
        <w:numPr>
          <w:ilvl w:val="0"/>
          <w:numId w:val="7"/>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报告质量</w:t>
      </w:r>
    </w:p>
    <w:p w14:paraId="374DDA4F">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(一)撰写与总结问题</w:t>
      </w:r>
    </w:p>
    <w:p w14:paraId="150D3F3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重点检查报告撰写的规范性；表述是否严谨，语言文字随意性、小结部分是否进行归纳总结。</w:t>
      </w:r>
    </w:p>
    <w:p w14:paraId="10729E58">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605A2651">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(二)分析不足</w:t>
      </w:r>
    </w:p>
    <w:p w14:paraId="5EDC525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分析不深入、仅就数据论数据</w:t>
      </w:r>
    </w:p>
    <w:p w14:paraId="6880E5E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2255AAA">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(三)统计表与规范性问题</w:t>
      </w:r>
    </w:p>
    <w:p w14:paraId="07C51C9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表格的格式、标题、单位、排版格式、表头、图表清晰度</w:t>
      </w:r>
    </w:p>
    <w:p w14:paraId="383B0EDD">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59EF2D6">
      <w:pPr>
        <w:numPr>
          <w:ilvl w:val="0"/>
          <w:numId w:val="0"/>
        </w:numPr>
        <w:spacing w:line="360" w:lineRule="auto"/>
        <w:jc w:val="both"/>
        <w:rPr>
          <w:rFonts w:hint="default"/>
          <w:b/>
          <w:bCs/>
          <w:sz w:val="24"/>
          <w:szCs w:val="24"/>
          <w:highlight w:val="none"/>
          <w:lang w:val="en-US" w:eastAsia="zh-CN"/>
        </w:rPr>
      </w:pPr>
      <w:r>
        <w:rPr>
          <w:rFonts w:hint="eastAsia"/>
          <w:b/>
          <w:bCs/>
          <w:sz w:val="24"/>
          <w:szCs w:val="24"/>
          <w:highlight w:val="none"/>
          <w:lang w:val="en-US" w:eastAsia="zh-CN"/>
        </w:rPr>
        <w:t>(四)分析报告未按导引或规范要求</w:t>
      </w:r>
    </w:p>
    <w:p w14:paraId="3A3922C0">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土壤属性分级未说明按照全国九大农区分级标准</w:t>
      </w:r>
    </w:p>
    <w:p w14:paraId="4C51B231">
      <w:pPr>
        <w:numPr>
          <w:ilvl w:val="0"/>
          <w:numId w:val="0"/>
        </w:numPr>
        <w:spacing w:line="360" w:lineRule="auto"/>
        <w:jc w:val="both"/>
        <w:rPr>
          <w:rFonts w:hint="default"/>
          <w:b/>
          <w:bCs/>
          <w:sz w:val="24"/>
          <w:szCs w:val="24"/>
          <w:highlight w:val="none"/>
          <w:lang w:val="en-US" w:eastAsia="zh-CN"/>
        </w:rPr>
      </w:pPr>
      <w:r>
        <w:rPr>
          <w:rFonts w:hint="eastAsia"/>
          <w:b/>
          <w:bCs/>
          <w:sz w:val="24"/>
          <w:szCs w:val="24"/>
          <w:highlight w:val="none"/>
          <w:lang w:val="en-US" w:eastAsia="zh-CN"/>
        </w:rPr>
        <w:t>(五)现状分析不深入</w:t>
      </w:r>
    </w:p>
    <w:p w14:paraId="16B38042">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highlight w:val="none"/>
          <w:lang w:val="en-US" w:eastAsia="zh-CN"/>
        </w:rPr>
      </w:pPr>
      <w:r>
        <w:rPr>
          <w:rFonts w:hint="eastAsia" w:ascii="Times New Roman" w:hAnsi="Times New Roman" w:eastAsia="宋体" w:cs="Times New Roman"/>
          <w:b w:val="0"/>
          <w:bCs w:val="0"/>
          <w:color w:val="FF0000"/>
          <w:sz w:val="24"/>
          <w:szCs w:val="24"/>
          <w:highlight w:val="none"/>
          <w:lang w:val="en-US" w:eastAsia="zh-CN"/>
        </w:rPr>
        <w:t>对与土壤类型无关的属性进行分析，如</w:t>
      </w:r>
      <w:r>
        <w:rPr>
          <w:rFonts w:hint="default" w:ascii="Times New Roman" w:hAnsi="Times New Roman" w:eastAsia="宋体" w:cs="Times New Roman"/>
          <w:b w:val="0"/>
          <w:bCs w:val="0"/>
          <w:color w:val="FF0000"/>
          <w:sz w:val="24"/>
          <w:szCs w:val="24"/>
          <w:highlight w:val="none"/>
          <w:lang w:val="en-US" w:eastAsia="zh-CN"/>
        </w:rPr>
        <w:t>有效磷、速效钾</w:t>
      </w:r>
    </w:p>
    <w:p w14:paraId="24DE8D4A">
      <w:pPr>
        <w:numPr>
          <w:ilvl w:val="0"/>
          <w:numId w:val="7"/>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431C7E1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(一)剔除样点过多，且无明确的逐个样点剔除说明</w:t>
      </w:r>
    </w:p>
    <w:p w14:paraId="1F48C83C">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7DC06A04">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lang w:val="en-US" w:eastAsia="zh-CN"/>
        </w:rPr>
        <w:t>(二)环境变量制备仅包括部分成土要素，未针对指标特征筛选环境变量，造成入</w:t>
      </w:r>
      <w:r>
        <w:rPr>
          <w:rFonts w:hint="eastAsia" w:ascii="Times New Roman" w:hAnsi="Times New Roman" w:eastAsia="宋体" w:cs="Times New Roman"/>
          <w:b w:val="0"/>
          <w:bCs w:val="0"/>
          <w:sz w:val="24"/>
          <w:szCs w:val="24"/>
          <w:highlight w:val="none"/>
          <w:lang w:val="en-US" w:eastAsia="zh-CN"/>
        </w:rPr>
        <w:t>模环境变量不合理</w:t>
      </w:r>
    </w:p>
    <w:p w14:paraId="022C4A39">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0A4B8D0A">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(三)山地丘陵区采用普通克里格或IDW模型</w:t>
      </w:r>
    </w:p>
    <w:p w14:paraId="37292841">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072AC6D">
      <w:pPr>
        <w:numPr>
          <w:ilvl w:val="0"/>
          <w:numId w:val="0"/>
        </w:numPr>
        <w:spacing w:line="360" w:lineRule="auto"/>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(四)制图结果空间分布明显与实际不符（如DEM高，PH低的规律）</w:t>
      </w:r>
    </w:p>
    <w:p w14:paraId="6119C7B9">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77DA8D0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7BFC6F6C">
      <w:pPr>
        <w:rPr>
          <w:rFonts w:hint="eastAsia"/>
          <w:sz w:val="32"/>
          <w:szCs w:val="32"/>
          <w:lang w:val="en-US" w:eastAsia="zh-CN"/>
        </w:rPr>
      </w:pP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F1D9A"/>
    <w:multiLevelType w:val="singleLevel"/>
    <w:tmpl w:val="86AF1D9A"/>
    <w:lvl w:ilvl="0" w:tentative="0">
      <w:start w:val="1"/>
      <w:numFmt w:val="decimal"/>
      <w:suff w:val="space"/>
      <w:lvlText w:val="%1."/>
      <w:lvlJc w:val="left"/>
    </w:lvl>
  </w:abstractNum>
  <w:abstractNum w:abstractNumId="1">
    <w:nsid w:val="8D305A3C"/>
    <w:multiLevelType w:val="singleLevel"/>
    <w:tmpl w:val="8D305A3C"/>
    <w:lvl w:ilvl="0" w:tentative="0">
      <w:start w:val="4"/>
      <w:numFmt w:val="decimal"/>
      <w:lvlText w:val="%1."/>
      <w:lvlJc w:val="left"/>
      <w:pPr>
        <w:tabs>
          <w:tab w:val="left" w:pos="312"/>
        </w:tabs>
      </w:pPr>
    </w:lvl>
  </w:abstractNum>
  <w:abstractNum w:abstractNumId="2">
    <w:nsid w:val="8D551939"/>
    <w:multiLevelType w:val="singleLevel"/>
    <w:tmpl w:val="8D551939"/>
    <w:lvl w:ilvl="0" w:tentative="0">
      <w:start w:val="3"/>
      <w:numFmt w:val="decimal"/>
      <w:lvlText w:val="%1."/>
      <w:lvlJc w:val="left"/>
      <w:pPr>
        <w:tabs>
          <w:tab w:val="left" w:pos="312"/>
        </w:tabs>
      </w:pPr>
    </w:lvl>
  </w:abstractNum>
  <w:abstractNum w:abstractNumId="3">
    <w:nsid w:val="94EAE951"/>
    <w:multiLevelType w:val="singleLevel"/>
    <w:tmpl w:val="94EAE951"/>
    <w:lvl w:ilvl="0" w:tentative="0">
      <w:start w:val="1"/>
      <w:numFmt w:val="chineseCounting"/>
      <w:suff w:val="nothing"/>
      <w:lvlText w:val="%1、"/>
      <w:lvlJc w:val="left"/>
      <w:rPr>
        <w:rFonts w:hint="eastAsia"/>
      </w:rPr>
    </w:lvl>
  </w:abstractNum>
  <w:abstractNum w:abstractNumId="4">
    <w:nsid w:val="BD9D10A5"/>
    <w:multiLevelType w:val="singleLevel"/>
    <w:tmpl w:val="BD9D10A5"/>
    <w:lvl w:ilvl="0" w:tentative="0">
      <w:start w:val="2"/>
      <w:numFmt w:val="decimal"/>
      <w:suff w:val="nothing"/>
      <w:lvlText w:val="%1."/>
      <w:lvlJc w:val="left"/>
    </w:lvl>
  </w:abstractNum>
  <w:abstractNum w:abstractNumId="5">
    <w:nsid w:val="BFC5C279"/>
    <w:multiLevelType w:val="singleLevel"/>
    <w:tmpl w:val="BFC5C279"/>
    <w:lvl w:ilvl="0" w:tentative="0">
      <w:start w:val="1"/>
      <w:numFmt w:val="chineseCounting"/>
      <w:suff w:val="nothing"/>
      <w:lvlText w:val="（%1）"/>
      <w:lvlJc w:val="left"/>
      <w:rPr>
        <w:rFonts w:hint="eastAsia"/>
      </w:rPr>
    </w:lvl>
  </w:abstractNum>
  <w:abstractNum w:abstractNumId="6">
    <w:nsid w:val="E59200AC"/>
    <w:multiLevelType w:val="singleLevel"/>
    <w:tmpl w:val="E59200AC"/>
    <w:lvl w:ilvl="0" w:tentative="0">
      <w:start w:val="4"/>
      <w:numFmt w:val="decimal"/>
      <w:suff w:val="space"/>
      <w:lvlText w:val="%1."/>
      <w:lvlJc w:val="left"/>
    </w:lvl>
  </w:abstractNum>
  <w:abstractNum w:abstractNumId="7">
    <w:nsid w:val="239BBBC1"/>
    <w:multiLevelType w:val="singleLevel"/>
    <w:tmpl w:val="239BBBC1"/>
    <w:lvl w:ilvl="0" w:tentative="0">
      <w:start w:val="1"/>
      <w:numFmt w:val="decimal"/>
      <w:suff w:val="nothing"/>
      <w:lvlText w:val="（%1）"/>
      <w:lvlJc w:val="left"/>
    </w:lvl>
  </w:abstractNum>
  <w:abstractNum w:abstractNumId="8">
    <w:nsid w:val="3B50BEA1"/>
    <w:multiLevelType w:val="singleLevel"/>
    <w:tmpl w:val="3B50BEA1"/>
    <w:lvl w:ilvl="0" w:tentative="0">
      <w:start w:val="1"/>
      <w:numFmt w:val="decimal"/>
      <w:suff w:val="nothing"/>
      <w:lvlText w:val="（%1）"/>
      <w:lvlJc w:val="left"/>
    </w:lvl>
  </w:abstractNum>
  <w:abstractNum w:abstractNumId="9">
    <w:nsid w:val="40E1F2E8"/>
    <w:multiLevelType w:val="singleLevel"/>
    <w:tmpl w:val="40E1F2E8"/>
    <w:lvl w:ilvl="0" w:tentative="0">
      <w:start w:val="1"/>
      <w:numFmt w:val="chineseCounting"/>
      <w:suff w:val="nothing"/>
      <w:lvlText w:val="%1、"/>
      <w:lvlJc w:val="left"/>
      <w:rPr>
        <w:rFonts w:hint="eastAsia"/>
      </w:rPr>
    </w:lvl>
  </w:abstractNum>
  <w:num w:numId="1">
    <w:abstractNumId w:val="3"/>
  </w:num>
  <w:num w:numId="2">
    <w:abstractNumId w:val="5"/>
  </w:num>
  <w:num w:numId="3">
    <w:abstractNumId w:val="0"/>
  </w:num>
  <w:num w:numId="4">
    <w:abstractNumId w:val="6"/>
  </w:num>
  <w:num w:numId="5">
    <w:abstractNumId w:val="8"/>
  </w:num>
  <w:num w:numId="6">
    <w:abstractNumId w:val="7"/>
  </w:num>
  <w:num w:numId="7">
    <w:abstractNumId w:val="9"/>
  </w:num>
  <w:num w:numId="8">
    <w:abstractNumId w:val="2"/>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1AE393F"/>
    <w:rsid w:val="02C95F7F"/>
    <w:rsid w:val="02CB036C"/>
    <w:rsid w:val="0EF07115"/>
    <w:rsid w:val="0F815B3A"/>
    <w:rsid w:val="110D797F"/>
    <w:rsid w:val="17F16BC0"/>
    <w:rsid w:val="18797770"/>
    <w:rsid w:val="1F884DA0"/>
    <w:rsid w:val="206F7715"/>
    <w:rsid w:val="20A538E9"/>
    <w:rsid w:val="21320D00"/>
    <w:rsid w:val="22D65B11"/>
    <w:rsid w:val="23645C20"/>
    <w:rsid w:val="24D26ABE"/>
    <w:rsid w:val="27CB7F20"/>
    <w:rsid w:val="289B4DD5"/>
    <w:rsid w:val="30601421"/>
    <w:rsid w:val="30696528"/>
    <w:rsid w:val="343241B7"/>
    <w:rsid w:val="35035260"/>
    <w:rsid w:val="3C150C1F"/>
    <w:rsid w:val="3F704E97"/>
    <w:rsid w:val="44B70F53"/>
    <w:rsid w:val="555B2926"/>
    <w:rsid w:val="58F4465D"/>
    <w:rsid w:val="5C990189"/>
    <w:rsid w:val="5D4A7966"/>
    <w:rsid w:val="67E601AA"/>
    <w:rsid w:val="684306D8"/>
    <w:rsid w:val="735D27D5"/>
    <w:rsid w:val="75652C8D"/>
    <w:rsid w:val="7790132B"/>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toc 1"/>
    <w:basedOn w:val="1"/>
    <w:next w:val="1"/>
    <w:qFormat/>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9041</Words>
  <Characters>9662</Characters>
  <Lines>0</Lines>
  <Paragraphs>0</Paragraphs>
  <TotalTime>0</TotalTime>
  <ScaleCrop>false</ScaleCrop>
  <LinksUpToDate>false</LinksUpToDate>
  <CharactersWithSpaces>9791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行</cp:lastModifiedBy>
  <dcterms:modified xsi:type="dcterms:W3CDTF">2026-07-20T02:10:30Z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877E1B781C8844E1BEB14DBFEB3A6160_13</vt:lpwstr>
  </property>
  <property fmtid="{D5CDD505-2E9C-101B-9397-08002B2CF9AE}" pid="4" name="KSOTemplateDocerSaveRecord">
    <vt:lpwstr>eyJoZGlkIjoiMjg1ZTFhZTI0N2UzMmIxMTc0YjNhZTU1ZTllNTMzMDUiLCJ1c2VySWQiOiIxMjM2NzI1Mjk2In0=</vt:lpwstr>
  </property>
</Properties>
</file>