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4005C">
      <w:pPr>
        <w:jc w:val="center"/>
        <w:rPr>
          <w:rFonts w:hint="eastAsia"/>
          <w:sz w:val="28"/>
          <w:szCs w:val="36"/>
          <w:lang w:val="en-US" w:eastAsia="zh-CN"/>
        </w:rPr>
      </w:pPr>
    </w:p>
    <w:p w14:paraId="300155C3">
      <w:pPr>
        <w:jc w:val="center"/>
        <w:rPr>
          <w:rFonts w:hint="eastAsia"/>
          <w:sz w:val="28"/>
          <w:szCs w:val="36"/>
          <w:lang w:val="en-US" w:eastAsia="zh-CN"/>
        </w:rPr>
      </w:pPr>
    </w:p>
    <w:p w14:paraId="75494991">
      <w:pPr>
        <w:jc w:val="center"/>
        <w:rPr>
          <w:rFonts w:hint="eastAsia"/>
          <w:sz w:val="28"/>
          <w:szCs w:val="36"/>
          <w:lang w:val="en-US" w:eastAsia="zh-CN"/>
        </w:rPr>
      </w:pPr>
    </w:p>
    <w:p w14:paraId="533D2CBD">
      <w:pPr>
        <w:jc w:val="center"/>
        <w:rPr>
          <w:rFonts w:hint="eastAsia"/>
          <w:sz w:val="28"/>
          <w:szCs w:val="36"/>
          <w:lang w:val="en-US" w:eastAsia="zh-CN"/>
        </w:rPr>
      </w:pPr>
    </w:p>
    <w:p w14:paraId="16C207F3">
      <w:pPr>
        <w:jc w:val="center"/>
        <w:rPr>
          <w:rFonts w:hint="eastAsia"/>
          <w:sz w:val="36"/>
          <w:szCs w:val="44"/>
          <w:lang w:val="en-US" w:eastAsia="zh-CN"/>
        </w:rPr>
      </w:pPr>
      <w:r>
        <w:rPr>
          <w:rFonts w:hint="eastAsia"/>
          <w:sz w:val="36"/>
          <w:szCs w:val="44"/>
          <w:lang w:val="en-US" w:eastAsia="zh-CN"/>
        </w:rPr>
        <w:t>定州市第三次全国土壤普查成果质控报告</w:t>
      </w:r>
    </w:p>
    <w:p w14:paraId="68B28691">
      <w:pPr>
        <w:jc w:val="center"/>
        <w:rPr>
          <w:rFonts w:hint="eastAsia"/>
          <w:sz w:val="36"/>
          <w:szCs w:val="44"/>
          <w:lang w:val="en-US" w:eastAsia="zh-CN"/>
        </w:rPr>
      </w:pPr>
      <w:r>
        <w:rPr>
          <w:rFonts w:hint="eastAsia"/>
          <w:sz w:val="36"/>
          <w:szCs w:val="44"/>
          <w:lang w:val="en-US" w:eastAsia="zh-CN"/>
        </w:rPr>
        <w:t>（第一轮）</w:t>
      </w:r>
    </w:p>
    <w:p w14:paraId="59CB007E">
      <w:pPr>
        <w:jc w:val="center"/>
        <w:rPr>
          <w:rFonts w:hint="eastAsia"/>
          <w:sz w:val="28"/>
          <w:szCs w:val="36"/>
          <w:lang w:val="en-US" w:eastAsia="zh-CN"/>
        </w:rPr>
      </w:pPr>
    </w:p>
    <w:p w14:paraId="63E619A4">
      <w:pPr>
        <w:jc w:val="center"/>
        <w:rPr>
          <w:rFonts w:hint="eastAsia"/>
          <w:sz w:val="28"/>
          <w:szCs w:val="36"/>
          <w:lang w:val="en-US" w:eastAsia="zh-CN"/>
        </w:rPr>
      </w:pPr>
    </w:p>
    <w:p w14:paraId="71F9684B">
      <w:pPr>
        <w:jc w:val="center"/>
        <w:rPr>
          <w:rFonts w:hint="eastAsia"/>
          <w:sz w:val="28"/>
          <w:szCs w:val="36"/>
          <w:lang w:val="en-US" w:eastAsia="zh-CN"/>
        </w:rPr>
      </w:pPr>
    </w:p>
    <w:p w14:paraId="30D3F2D2">
      <w:pPr>
        <w:jc w:val="center"/>
        <w:rPr>
          <w:rFonts w:hint="eastAsia"/>
          <w:sz w:val="28"/>
          <w:szCs w:val="36"/>
          <w:lang w:val="en-US" w:eastAsia="zh-CN"/>
        </w:rPr>
      </w:pPr>
    </w:p>
    <w:p w14:paraId="19FA743D">
      <w:pPr>
        <w:jc w:val="center"/>
        <w:rPr>
          <w:rFonts w:hint="eastAsia"/>
          <w:sz w:val="28"/>
          <w:szCs w:val="36"/>
          <w:lang w:val="en-US" w:eastAsia="zh-CN"/>
        </w:rPr>
      </w:pPr>
    </w:p>
    <w:p w14:paraId="69837041">
      <w:pPr>
        <w:jc w:val="center"/>
        <w:rPr>
          <w:rFonts w:hint="eastAsia"/>
          <w:sz w:val="28"/>
          <w:szCs w:val="36"/>
          <w:lang w:val="en-US" w:eastAsia="zh-CN"/>
        </w:rPr>
      </w:pPr>
    </w:p>
    <w:p w14:paraId="76CF88F3">
      <w:pPr>
        <w:jc w:val="center"/>
        <w:rPr>
          <w:rFonts w:hint="eastAsia"/>
          <w:sz w:val="28"/>
          <w:szCs w:val="36"/>
          <w:lang w:val="en-US" w:eastAsia="zh-CN"/>
        </w:rPr>
      </w:pPr>
    </w:p>
    <w:p w14:paraId="17A5C5E0">
      <w:pPr>
        <w:jc w:val="center"/>
        <w:rPr>
          <w:rFonts w:hint="eastAsia"/>
          <w:sz w:val="28"/>
          <w:szCs w:val="36"/>
          <w:lang w:val="en-US" w:eastAsia="zh-CN"/>
        </w:rPr>
      </w:pPr>
    </w:p>
    <w:p w14:paraId="1E82C99D">
      <w:pPr>
        <w:jc w:val="center"/>
        <w:rPr>
          <w:rFonts w:hint="eastAsia"/>
          <w:sz w:val="28"/>
          <w:szCs w:val="36"/>
          <w:lang w:val="en-US" w:eastAsia="zh-CN"/>
        </w:rPr>
      </w:pPr>
    </w:p>
    <w:p w14:paraId="032C8339">
      <w:pPr>
        <w:jc w:val="center"/>
        <w:rPr>
          <w:rFonts w:hint="eastAsia"/>
          <w:sz w:val="28"/>
          <w:szCs w:val="36"/>
          <w:lang w:val="en-US" w:eastAsia="zh-CN"/>
        </w:rPr>
      </w:pPr>
    </w:p>
    <w:p w14:paraId="7B6D09E1">
      <w:pPr>
        <w:jc w:val="center"/>
        <w:rPr>
          <w:rFonts w:hint="eastAsia"/>
          <w:sz w:val="28"/>
          <w:szCs w:val="36"/>
          <w:lang w:val="en-US" w:eastAsia="zh-CN"/>
        </w:rPr>
      </w:pPr>
    </w:p>
    <w:p w14:paraId="729F39C0">
      <w:pPr>
        <w:jc w:val="center"/>
        <w:rPr>
          <w:rFonts w:hint="eastAsia"/>
          <w:sz w:val="28"/>
          <w:szCs w:val="36"/>
          <w:lang w:val="en-US" w:eastAsia="zh-CN"/>
        </w:rPr>
      </w:pPr>
    </w:p>
    <w:p w14:paraId="1CBFFBA1">
      <w:pPr>
        <w:jc w:val="center"/>
        <w:rPr>
          <w:rFonts w:hint="eastAsia"/>
          <w:sz w:val="28"/>
          <w:szCs w:val="36"/>
          <w:lang w:val="en-US" w:eastAsia="zh-CN"/>
        </w:rPr>
      </w:pPr>
    </w:p>
    <w:p w14:paraId="45B1599E">
      <w:pPr>
        <w:jc w:val="center"/>
        <w:rPr>
          <w:rFonts w:hint="default"/>
          <w:sz w:val="28"/>
          <w:szCs w:val="36"/>
          <w:lang w:val="en-US" w:eastAsia="zh-CN"/>
        </w:rPr>
        <w:sectPr>
          <w:pgSz w:w="11906" w:h="16838"/>
          <w:pgMar w:top="1440" w:right="1800" w:bottom="1440" w:left="1800" w:header="851" w:footer="992" w:gutter="0"/>
          <w:cols w:space="425" w:num="1"/>
          <w:docGrid w:type="lines" w:linePitch="312" w:charSpace="0"/>
        </w:sectPr>
      </w:pPr>
      <w:r>
        <w:rPr>
          <w:rFonts w:hint="eastAsia"/>
          <w:sz w:val="28"/>
          <w:szCs w:val="36"/>
          <w:lang w:val="en-US" w:eastAsia="zh-CN"/>
        </w:rPr>
        <w:t>2026年7月15日</w:t>
      </w:r>
    </w:p>
    <w:sdt>
      <w:sdtPr>
        <w:rPr>
          <w:rFonts w:ascii="宋体" w:hAnsi="宋体" w:eastAsia="宋体" w:cstheme="minorBidi"/>
          <w:kern w:val="2"/>
          <w:sz w:val="21"/>
          <w:szCs w:val="24"/>
          <w:lang w:val="en-US" w:eastAsia="zh-CN" w:bidi="ar-SA"/>
        </w:rPr>
        <w:id w:val="147459549"/>
        <w15:color w:val="DBDBDB"/>
        <w:docPartObj>
          <w:docPartGallery w:val="Table of Contents"/>
          <w:docPartUnique/>
        </w:docPartObj>
      </w:sdtPr>
      <w:sdtEndPr>
        <w:rPr>
          <w:rFonts w:hint="default" w:asciiTheme="minorHAnsi" w:hAnsiTheme="minorHAnsi" w:eastAsiaTheme="minorEastAsia" w:cstheme="minorBidi"/>
          <w:kern w:val="2"/>
          <w:sz w:val="21"/>
          <w:szCs w:val="36"/>
          <w:lang w:val="en-US" w:eastAsia="zh-CN" w:bidi="ar-SA"/>
        </w:rPr>
      </w:sdtEndPr>
      <w:sdtContent>
        <w:p w14:paraId="1FEF4A56">
          <w:pPr>
            <w:spacing w:before="0" w:beforeLines="0" w:after="0" w:afterLines="0" w:line="240" w:lineRule="auto"/>
            <w:ind w:left="0" w:leftChars="0" w:right="0" w:rightChars="0" w:firstLine="0" w:firstLineChars="0"/>
            <w:jc w:val="center"/>
          </w:pPr>
          <w:r>
            <w:rPr>
              <w:rFonts w:ascii="宋体" w:hAnsi="宋体" w:eastAsia="宋体"/>
              <w:sz w:val="32"/>
              <w:szCs w:val="40"/>
            </w:rPr>
            <w:t>目录</w:t>
          </w:r>
        </w:p>
        <w:p w14:paraId="1E552959">
          <w:pPr>
            <w:pStyle w:val="3"/>
            <w:tabs>
              <w:tab w:val="right" w:leader="dot" w:pos="8306"/>
            </w:tabs>
          </w:pPr>
          <w:r>
            <w:rPr>
              <w:rFonts w:hint="default" w:asciiTheme="minorHAnsi" w:hAnsiTheme="minorHAnsi" w:eastAsiaTheme="minorEastAsia" w:cstheme="minorBidi"/>
              <w:kern w:val="2"/>
              <w:sz w:val="21"/>
              <w:szCs w:val="36"/>
              <w:lang w:val="en-US" w:eastAsia="zh-CN" w:bidi="ar-SA"/>
            </w:rPr>
            <w:fldChar w:fldCharType="begin"/>
          </w:r>
          <w:r>
            <w:rPr>
              <w:rFonts w:hint="default" w:asciiTheme="minorHAnsi" w:hAnsiTheme="minorHAnsi" w:eastAsiaTheme="minorEastAsia" w:cstheme="minorBidi"/>
              <w:kern w:val="2"/>
              <w:sz w:val="21"/>
              <w:szCs w:val="36"/>
              <w:lang w:val="en-US" w:eastAsia="zh-CN" w:bidi="ar-SA"/>
            </w:rPr>
            <w:instrText xml:space="preserve">TOC \o "1-2" \h \u </w:instrText>
          </w:r>
          <w:r>
            <w:rPr>
              <w:rFonts w:hint="default" w:asciiTheme="minorHAnsi" w:hAnsiTheme="minorHAnsi" w:eastAsiaTheme="minorEastAsia" w:cstheme="minorBidi"/>
              <w:kern w:val="2"/>
              <w:sz w:val="21"/>
              <w:szCs w:val="36"/>
              <w:lang w:val="en-US" w:eastAsia="zh-CN" w:bidi="ar-SA"/>
            </w:rPr>
            <w:fldChar w:fldCharType="separate"/>
          </w: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_Toc5483 </w:instrText>
          </w:r>
          <w:r>
            <w:rPr>
              <w:rFonts w:hint="default" w:asciiTheme="minorHAnsi" w:hAnsiTheme="minorHAnsi" w:eastAsiaTheme="minorEastAsia" w:cstheme="minorBidi"/>
              <w:kern w:val="2"/>
              <w:szCs w:val="36"/>
              <w:lang w:val="en-US" w:eastAsia="zh-CN" w:bidi="ar-SA"/>
            </w:rPr>
            <w:fldChar w:fldCharType="separate"/>
          </w:r>
          <w:r>
            <w:rPr>
              <w:rFonts w:hint="eastAsia"/>
              <w:szCs w:val="32"/>
              <w:lang w:val="en-US" w:eastAsia="zh-CN"/>
            </w:rPr>
            <w:t>第一部分：土壤类型图成果质控意见</w:t>
          </w:r>
          <w:r>
            <w:tab/>
          </w:r>
          <w:r>
            <w:fldChar w:fldCharType="begin"/>
          </w:r>
          <w:r>
            <w:instrText xml:space="preserve"> PAGEREF _Toc5483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4208FB1">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_Toc17825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szCs w:val="30"/>
              <w:lang w:eastAsia="zh-CN"/>
            </w:rPr>
            <w:t>一、 数据成果</w:t>
          </w:r>
          <w:r>
            <w:tab/>
          </w:r>
          <w:r>
            <w:fldChar w:fldCharType="begin"/>
          </w:r>
          <w:r>
            <w:instrText xml:space="preserve"> PAGEREF _Toc17825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56F8F7C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_Toc7394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szCs w:val="28"/>
              <w:lang w:eastAsia="zh-CN"/>
            </w:rPr>
            <w:t>（一）数据组织与完整性</w:t>
          </w:r>
          <w:r>
            <w:tab/>
          </w:r>
          <w:r>
            <w:fldChar w:fldCharType="begin"/>
          </w:r>
          <w:r>
            <w:instrText xml:space="preserve"> PAGEREF _Toc7394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A48790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_Toc18472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（二）核心数据成果核查</w:t>
          </w:r>
          <w:r>
            <w:tab/>
          </w:r>
          <w:r>
            <w:fldChar w:fldCharType="begin"/>
          </w:r>
          <w:r>
            <w:instrText xml:space="preserve"> PAGEREF _Toc18472 \h </w:instrText>
          </w:r>
          <w:r>
            <w:fldChar w:fldCharType="separate"/>
          </w:r>
          <w:r>
            <w:t>6</w:t>
          </w:r>
          <w:r>
            <w:fldChar w:fldCharType="end"/>
          </w:r>
          <w:r>
            <w:rPr>
              <w:rFonts w:hint="default" w:asciiTheme="minorHAnsi" w:hAnsiTheme="minorHAnsi" w:eastAsiaTheme="minorEastAsia" w:cstheme="minorBidi"/>
              <w:kern w:val="2"/>
              <w:szCs w:val="36"/>
              <w:lang w:val="en-US" w:eastAsia="zh-CN" w:bidi="ar-SA"/>
            </w:rPr>
            <w:fldChar w:fldCharType="end"/>
          </w:r>
        </w:p>
        <w:p w14:paraId="043AB9D8">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_Toc14635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二、图件成果</w:t>
          </w:r>
          <w:r>
            <w:tab/>
          </w:r>
          <w:r>
            <w:fldChar w:fldCharType="begin"/>
          </w:r>
          <w:r>
            <w:instrText xml:space="preserve"> PAGEREF _Toc14635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621F23DE">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_Toc15312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（一）图件规范性审查</w:t>
          </w:r>
          <w:r>
            <w:tab/>
          </w:r>
          <w:r>
            <w:fldChar w:fldCharType="begin"/>
          </w:r>
          <w:r>
            <w:instrText xml:space="preserve"> PAGEREF _Toc15312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6AAD0E88">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_Toc26692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（二）基础地理要素核查</w:t>
          </w:r>
          <w:r>
            <w:tab/>
          </w:r>
          <w:r>
            <w:fldChar w:fldCharType="begin"/>
          </w:r>
          <w:r>
            <w:instrText xml:space="preserve"> PAGEREF _Toc26692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3C0640E4">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_Toc25965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（三）注记核查</w:t>
          </w:r>
          <w:r>
            <w:tab/>
          </w:r>
          <w:r>
            <w:fldChar w:fldCharType="begin"/>
          </w:r>
          <w:r>
            <w:instrText xml:space="preserve"> PAGEREF _Toc25965 \h </w:instrText>
          </w:r>
          <w:r>
            <w:fldChar w:fldCharType="separate"/>
          </w:r>
          <w:r>
            <w:t>10</w:t>
          </w:r>
          <w:r>
            <w:fldChar w:fldCharType="end"/>
          </w:r>
          <w:r>
            <w:rPr>
              <w:rFonts w:hint="default" w:asciiTheme="minorHAnsi" w:hAnsiTheme="minorHAnsi" w:eastAsiaTheme="minorEastAsia" w:cstheme="minorBidi"/>
              <w:kern w:val="2"/>
              <w:szCs w:val="36"/>
              <w:lang w:val="en-US" w:eastAsia="zh-CN" w:bidi="ar-SA"/>
            </w:rPr>
            <w:fldChar w:fldCharType="end"/>
          </w:r>
        </w:p>
        <w:p w14:paraId="5D6DE3B5">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_Toc18263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（四）图面配置与整饰</w:t>
          </w:r>
          <w:r>
            <w:tab/>
          </w:r>
          <w:r>
            <w:fldChar w:fldCharType="begin"/>
          </w:r>
          <w:r>
            <w:instrText xml:space="preserve"> PAGEREF _Toc18263 \h </w:instrText>
          </w:r>
          <w:r>
            <w:fldChar w:fldCharType="separate"/>
          </w:r>
          <w:r>
            <w:t>10</w:t>
          </w:r>
          <w:r>
            <w:fldChar w:fldCharType="end"/>
          </w:r>
          <w:r>
            <w:rPr>
              <w:rFonts w:hint="default" w:asciiTheme="minorHAnsi" w:hAnsiTheme="minorHAnsi" w:eastAsiaTheme="minorEastAsia" w:cstheme="minorBidi"/>
              <w:kern w:val="2"/>
              <w:szCs w:val="36"/>
              <w:lang w:val="en-US" w:eastAsia="zh-CN" w:bidi="ar-SA"/>
            </w:rPr>
            <w:fldChar w:fldCharType="end"/>
          </w:r>
        </w:p>
        <w:p w14:paraId="4CE59950">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_Toc12952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三、文本成果</w:t>
          </w:r>
          <w:r>
            <w:tab/>
          </w:r>
          <w:r>
            <w:fldChar w:fldCharType="begin"/>
          </w:r>
          <w:r>
            <w:instrText xml:space="preserve"> PAGEREF _Toc12952 \h </w:instrText>
          </w:r>
          <w:r>
            <w:fldChar w:fldCharType="separate"/>
          </w:r>
          <w:r>
            <w:t>11</w:t>
          </w:r>
          <w:r>
            <w:fldChar w:fldCharType="end"/>
          </w:r>
          <w:r>
            <w:rPr>
              <w:rFonts w:hint="default" w:asciiTheme="minorHAnsi" w:hAnsiTheme="minorHAnsi" w:eastAsiaTheme="minorEastAsia" w:cstheme="minorBidi"/>
              <w:kern w:val="2"/>
              <w:szCs w:val="36"/>
              <w:lang w:val="en-US" w:eastAsia="zh-CN" w:bidi="ar-SA"/>
            </w:rPr>
            <w:fldChar w:fldCharType="end"/>
          </w:r>
        </w:p>
        <w:p w14:paraId="71B6A17C">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_Toc9799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（一）土壤类型制图技术报告</w:t>
          </w:r>
          <w:r>
            <w:tab/>
          </w:r>
          <w:r>
            <w:fldChar w:fldCharType="begin"/>
          </w:r>
          <w:r>
            <w:instrText xml:space="preserve"> PAGEREF _Toc9799 \h </w:instrText>
          </w:r>
          <w:r>
            <w:fldChar w:fldCharType="separate"/>
          </w:r>
          <w:r>
            <w:t>11</w:t>
          </w:r>
          <w:r>
            <w:fldChar w:fldCharType="end"/>
          </w:r>
          <w:r>
            <w:rPr>
              <w:rFonts w:hint="default" w:asciiTheme="minorHAnsi" w:hAnsiTheme="minorHAnsi" w:eastAsiaTheme="minorEastAsia" w:cstheme="minorBidi"/>
              <w:kern w:val="2"/>
              <w:szCs w:val="36"/>
              <w:lang w:val="en-US" w:eastAsia="zh-CN" w:bidi="ar-SA"/>
            </w:rPr>
            <w:fldChar w:fldCharType="end"/>
          </w:r>
        </w:p>
        <w:p w14:paraId="23184AAD">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（二）土壤类型制图工作报告</w:t>
          </w:r>
          <w:r>
            <w:tab/>
          </w:r>
          <w:r>
            <w:fldChar w:fldCharType="begin"/>
          </w:r>
          <w:r>
            <w:instrText xml:space="preserve"> PAGEREF _Toc12692 \h </w:instrText>
          </w:r>
          <w:r>
            <w:fldChar w:fldCharType="separate"/>
          </w:r>
          <w:r>
            <w:t>13</w:t>
          </w:r>
          <w:r>
            <w:fldChar w:fldCharType="end"/>
          </w:r>
          <w:r>
            <w:rPr>
              <w:rFonts w:hint="default" w:asciiTheme="minorHAnsi" w:hAnsiTheme="minorHAnsi" w:eastAsiaTheme="minorEastAsia" w:cstheme="minorBidi"/>
              <w:kern w:val="2"/>
              <w:szCs w:val="36"/>
              <w:lang w:val="en-US" w:eastAsia="zh-CN" w:bidi="ar-SA"/>
            </w:rPr>
            <w:fldChar w:fldCharType="end"/>
          </w:r>
        </w:p>
        <w:p w14:paraId="269C7C27">
          <w:pPr>
            <w:jc w:val="left"/>
            <w:rPr>
              <w:rFonts w:hint="default" w:asciiTheme="minorHAnsi" w:hAnsiTheme="minorHAnsi" w:eastAsiaTheme="minorEastAsia" w:cstheme="minorBidi"/>
              <w:kern w:val="2"/>
              <w:sz w:val="21"/>
              <w:szCs w:val="36"/>
              <w:lang w:val="en-US" w:eastAsia="zh-CN" w:bidi="ar-SA"/>
            </w:rPr>
          </w:pPr>
          <w:r>
            <w:rPr>
              <w:rFonts w:hint="default" w:asciiTheme="minorHAnsi" w:hAnsiTheme="minorHAnsi" w:eastAsiaTheme="minorEastAsia" w:cstheme="minorBidi"/>
              <w:kern w:val="2"/>
              <w:szCs w:val="36"/>
              <w:lang w:val="en-US" w:eastAsia="zh-CN" w:bidi="ar-SA"/>
            </w:rPr>
            <w:fldChar w:fldCharType="end"/>
          </w:r>
        </w:p>
      </w:sdtContent>
    </w:sdt>
    <w:p w14:paraId="02260427">
      <w:pPr>
        <w:jc w:val="left"/>
        <w:rPr>
          <w:rFonts w:hint="default" w:asciiTheme="minorHAnsi" w:hAnsiTheme="minorHAnsi" w:eastAsiaTheme="minorEastAsia" w:cstheme="minorBidi"/>
          <w:kern w:val="2"/>
          <w:sz w:val="21"/>
          <w:szCs w:val="36"/>
          <w:lang w:val="en-US" w:eastAsia="zh-CN" w:bidi="ar-SA"/>
        </w:rPr>
        <w:sectPr>
          <w:pgSz w:w="11906" w:h="16838"/>
          <w:pgMar w:top="1440" w:right="1800" w:bottom="1440" w:left="1800" w:header="851" w:footer="992" w:gutter="0"/>
          <w:cols w:space="425" w:num="1"/>
          <w:docGrid w:type="lines" w:linePitch="312" w:charSpace="0"/>
        </w:sectPr>
      </w:pPr>
    </w:p>
    <w:p w14:paraId="7394A701">
      <w:pPr>
        <w:jc w:val="center"/>
        <w:rPr>
          <w:rFonts w:hint="default"/>
          <w:sz w:val="28"/>
          <w:szCs w:val="36"/>
          <w:lang w:val="en-US" w:eastAsia="zh-CN"/>
        </w:rPr>
      </w:pPr>
      <w:r>
        <w:rPr>
          <w:rFonts w:hint="eastAsia"/>
          <w:color w:val="auto"/>
          <w:sz w:val="28"/>
          <w:szCs w:val="36"/>
          <w:lang w:val="en-US" w:eastAsia="zh-CN"/>
        </w:rPr>
        <w:t>定州市</w:t>
      </w:r>
      <w:r>
        <w:rPr>
          <w:rFonts w:hint="default"/>
          <w:sz w:val="28"/>
          <w:szCs w:val="36"/>
          <w:lang w:val="en-US" w:eastAsia="zh-CN"/>
        </w:rPr>
        <w:t>第三次全国土壤普查成果质控</w:t>
      </w:r>
      <w:r>
        <w:rPr>
          <w:rFonts w:hint="eastAsia"/>
          <w:sz w:val="28"/>
          <w:szCs w:val="36"/>
          <w:lang w:val="en-US" w:eastAsia="zh-CN"/>
        </w:rPr>
        <w:t>情况</w:t>
      </w:r>
      <w:r>
        <w:rPr>
          <w:rFonts w:hint="default"/>
          <w:sz w:val="28"/>
          <w:szCs w:val="36"/>
          <w:lang w:val="en-US" w:eastAsia="zh-CN"/>
        </w:rPr>
        <w:t>（第一轮）</w:t>
      </w:r>
    </w:p>
    <w:p w14:paraId="7D769DB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sz w:val="24"/>
          <w:szCs w:val="24"/>
          <w:lang w:val="en-US" w:eastAsia="zh-CN"/>
        </w:rPr>
      </w:pPr>
      <w:r>
        <w:rPr>
          <w:rFonts w:hint="eastAsia"/>
          <w:sz w:val="24"/>
          <w:szCs w:val="24"/>
          <w:lang w:val="en-US" w:eastAsia="zh-CN"/>
        </w:rPr>
        <w:t>本次质控按照《第三次全国土壤普查县级成果编制导引》及相关技术规范要求，采用内业核查方式，对</w:t>
      </w:r>
      <w:r>
        <w:rPr>
          <w:rFonts w:hint="eastAsia"/>
          <w:color w:val="auto"/>
          <w:sz w:val="24"/>
          <w:szCs w:val="24"/>
          <w:lang w:val="en-US" w:eastAsia="zh-CN"/>
        </w:rPr>
        <w:t>定州市</w:t>
      </w:r>
      <w:r>
        <w:rPr>
          <w:rFonts w:hint="eastAsia"/>
          <w:sz w:val="24"/>
          <w:szCs w:val="24"/>
          <w:lang w:val="en-US" w:eastAsia="zh-CN"/>
        </w:rPr>
        <w:t>提交的第三次全国土壤普查全部成果进行齐全性、规范性、合理性和一致性的全面质控审查。审查成果范围涵盖：土壤类型图成果、土壤属性图成果、土壤退化与障碍分析成果、土壤农业利用适宜性评价成果、耕地质量等级评价成果、土特产品土壤适宜性评价成果以及相关文字报告成果等。审查内容重点包括：数据成果的组织结构完整性、数据库规范性、基础数据与过程数据齐全性；图件成果的图面要素完整性、制图规范性、基础地理要素准确性、注记与图例合理性；文本成果的报告格式规范性、章节完整性、成因分析深度及结论建议实用性等。各成果具体质控意见如下。</w:t>
      </w:r>
    </w:p>
    <w:p w14:paraId="247CA99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pPr>
      <w:r>
        <w:rPr>
          <w:rFonts w:hint="eastAsia"/>
          <w:sz w:val="24"/>
          <w:szCs w:val="24"/>
          <w:lang w:val="en-US" w:eastAsia="zh-CN"/>
        </w:rPr>
        <w:t>本次质控共核查</w:t>
      </w:r>
      <w:r>
        <w:rPr>
          <w:rFonts w:hint="eastAsia"/>
          <w:color w:val="auto"/>
          <w:sz w:val="24"/>
          <w:szCs w:val="24"/>
          <w:lang w:val="en-US" w:eastAsia="zh-CN"/>
        </w:rPr>
        <w:t>定州市</w:t>
      </w:r>
      <w:r>
        <w:rPr>
          <w:rFonts w:hint="eastAsia"/>
          <w:sz w:val="24"/>
          <w:szCs w:val="24"/>
          <w:lang w:val="en-US" w:eastAsia="zh-CN"/>
        </w:rPr>
        <w:t>第三次全国土壤普查成果共计六大类，合计项。其中，土壤类型图成果质控</w:t>
      </w:r>
      <w:r>
        <w:rPr>
          <w:rFonts w:hint="eastAsia"/>
          <w:color w:val="000000" w:themeColor="text1"/>
          <w:sz w:val="24"/>
          <w:szCs w:val="24"/>
          <w:lang w:val="en-US" w:eastAsia="zh-CN"/>
          <w14:textFill>
            <w14:solidFill>
              <w14:schemeClr w14:val="tx1"/>
            </w14:solidFill>
          </w14:textFill>
        </w:rPr>
        <w:t>18</w:t>
      </w:r>
      <w:r>
        <w:rPr>
          <w:rFonts w:hint="eastAsia"/>
          <w:sz w:val="24"/>
          <w:szCs w:val="24"/>
          <w:lang w:val="en-US" w:eastAsia="zh-CN"/>
        </w:rPr>
        <w:t>项，存在问题</w:t>
      </w:r>
      <w:r>
        <w:rPr>
          <w:rFonts w:hint="eastAsia"/>
          <w:color w:val="auto"/>
          <w:sz w:val="24"/>
          <w:szCs w:val="24"/>
          <w:lang w:val="en-US" w:eastAsia="zh-CN"/>
        </w:rPr>
        <w:t>17</w:t>
      </w:r>
      <w:r>
        <w:rPr>
          <w:rFonts w:hint="eastAsia"/>
          <w:sz w:val="24"/>
          <w:szCs w:val="24"/>
          <w:lang w:val="en-US" w:eastAsia="zh-CN"/>
        </w:rPr>
        <w:t>项；土壤属性图成果质控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项，；土壤退化与障碍分析成果质控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项；土壤农业利用适宜性评价成果质控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项；耕地质量等级评价成果质控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项；土特产品土壤适宜性评价成果质控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项。整体来看，成果_____________（如：提交基本齐全/存在部分缺失），_____________（如：数据规范性有待加强/图件质量整体较好/报告深度尚可但部分章节需完善）。</w:t>
      </w:r>
    </w:p>
    <w:p w14:paraId="6481DB0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33D910F4">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sz w:val="32"/>
          <w:szCs w:val="32"/>
          <w:lang w:val="en-US" w:eastAsia="zh-CN"/>
        </w:rPr>
      </w:pPr>
      <w:bookmarkStart w:id="0" w:name="_Toc5483"/>
      <w:r>
        <w:rPr>
          <w:rFonts w:hint="eastAsia"/>
          <w:sz w:val="32"/>
          <w:szCs w:val="32"/>
          <w:lang w:val="en-US" w:eastAsia="zh-CN"/>
        </w:rPr>
        <w:t>第一部分：土壤类型图成果质控意见</w:t>
      </w:r>
      <w:bookmarkEnd w:id="0"/>
    </w:p>
    <w:p w14:paraId="3DB5FBE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黑体" w:hAnsi="黑体" w:eastAsia="黑体" w:cs="黑体"/>
          <w:b/>
          <w:sz w:val="30"/>
          <w:szCs w:val="30"/>
          <w:u w:val="none"/>
          <w:lang w:eastAsia="zh-CN"/>
        </w:rPr>
      </w:pPr>
    </w:p>
    <w:p w14:paraId="2BBAF41B">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szCs w:val="30"/>
          <w:u w:val="none"/>
          <w:lang w:eastAsia="zh-CN"/>
        </w:rPr>
      </w:pPr>
      <w:bookmarkStart w:id="1" w:name="_Toc17825"/>
      <w:r>
        <w:rPr>
          <w:rFonts w:hint="eastAsia" w:ascii="黑体" w:hAnsi="黑体" w:eastAsia="黑体" w:cs="黑体"/>
          <w:b/>
          <w:sz w:val="30"/>
          <w:szCs w:val="30"/>
          <w:u w:val="none"/>
          <w:lang w:eastAsia="zh-CN"/>
        </w:rPr>
        <w:t>数据成果</w:t>
      </w:r>
      <w:bookmarkEnd w:id="1"/>
    </w:p>
    <w:p w14:paraId="758E9C06">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szCs w:val="28"/>
          <w:u w:val="none"/>
          <w:lang w:eastAsia="zh-CN"/>
        </w:rPr>
      </w:pPr>
      <w:bookmarkStart w:id="2" w:name="_Toc7394"/>
      <w:r>
        <w:rPr>
          <w:rFonts w:hint="eastAsia" w:ascii="宋体" w:hAnsi="宋体" w:eastAsia="宋体" w:cs="宋体"/>
          <w:b/>
          <w:sz w:val="28"/>
          <w:szCs w:val="28"/>
          <w:u w:val="none"/>
          <w:lang w:eastAsia="zh-CN"/>
        </w:rPr>
        <w:t>数据组织与完整性</w:t>
      </w:r>
      <w:bookmarkEnd w:id="2"/>
    </w:p>
    <w:p w14:paraId="2E72145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jc w:val="left"/>
        <w:textAlignment w:val="auto"/>
        <w:outlineLvl w:val="2"/>
        <w:rPr>
          <w:rFonts w:hint="eastAsia" w:ascii="宋体" w:hAnsi="宋体" w:eastAsia="宋体" w:cs="宋体"/>
          <w:b/>
          <w:sz w:val="24"/>
          <w:szCs w:val="24"/>
          <w:u w:val="none"/>
          <w:lang w:eastAsia="zh-CN"/>
        </w:rPr>
      </w:pPr>
      <w:r>
        <w:rPr>
          <w:rFonts w:hint="eastAsia" w:ascii="宋体" w:hAnsi="宋体" w:eastAsia="宋体" w:cs="宋体"/>
          <w:b/>
          <w:sz w:val="24"/>
          <w:szCs w:val="24"/>
          <w:u w:val="none"/>
          <w:lang w:eastAsia="zh-CN"/>
        </w:rPr>
        <w:t>总体结构与命名规范</w:t>
      </w:r>
    </w:p>
    <w:p w14:paraId="44C6B6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审查标准：</w:t>
      </w:r>
    </w:p>
    <w:p w14:paraId="258A23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根目录命名格式：6位行政区划代码+县级行政区名称，示例：110108北京市海淀区。</w:t>
      </w:r>
    </w:p>
    <w:p w14:paraId="22C14B3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第二层级目录必须包含以下七项：第三次全国土壤普查成果库.gdb、基础数据（文件夹）、过程数据（文件夹）、成果数据（文件夹）、地图文档/图层Layout包、汇报PPT（文件夹）、自查表扫描件（.pdf）。</w:t>
      </w:r>
    </w:p>
    <w:p w14:paraId="406F08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成果提交格式：是否以压缩文件rar或zip格式提交；压缩文件命名方式是否为：xx省+xx市+xx县+“土壤三普土壤类型成果”。</w:t>
      </w:r>
    </w:p>
    <w:p w14:paraId="60EE46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审查结果：</w:t>
      </w:r>
      <w:r>
        <w:rPr>
          <w:rFonts w:hint="eastAsia" w:ascii="宋体" w:hAnsi="宋体" w:eastAsia="宋体" w:cs="宋体"/>
          <w:b w:val="0"/>
          <w:sz w:val="24"/>
          <w:u w:val="none"/>
          <w:lang w:val="en-US" w:eastAsia="zh-CN"/>
        </w:rPr>
        <w:t>未按照</w:t>
      </w:r>
      <w:r>
        <w:rPr>
          <w:rFonts w:hint="eastAsia" w:ascii="宋体" w:hAnsi="宋体" w:eastAsia="宋体" w:cs="宋体"/>
          <w:b w:val="0"/>
          <w:sz w:val="24"/>
          <w:u w:val="none"/>
          <w:lang w:eastAsia="zh-CN"/>
        </w:rPr>
        <w:t>根目录命名格式</w:t>
      </w:r>
      <w:r>
        <w:rPr>
          <w:rFonts w:hint="eastAsia" w:ascii="宋体" w:hAnsi="宋体" w:eastAsia="宋体" w:cs="宋体"/>
          <w:b w:val="0"/>
          <w:sz w:val="24"/>
          <w:u w:val="none"/>
          <w:lang w:val="en-US" w:eastAsia="zh-CN"/>
        </w:rPr>
        <w:t>命名</w:t>
      </w:r>
    </w:p>
    <w:p w14:paraId="1DBF576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第三次全国土壤普查成果库.gdb 规范性</w:t>
      </w:r>
    </w:p>
    <w:p w14:paraId="3309754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98D4D7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（1）数据库结构：包含5个以英文命名的数据集，分别为BASE（基础地理数据）、HISTORY（历史土壤调查数据）、LANDUSE（土地利用数据）、PROCESS（过程数据）、RESULT（成果数据）。</w:t>
      </w:r>
    </w:p>
    <w:p w14:paraId="4B02D6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（2）BASE数据集内容：必须包含行政区、居民点、道路、水系等矢量要素。</w:t>
      </w:r>
    </w:p>
    <w:p w14:paraId="7F5733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（3）HISTORY数据集内容：必须包含土壤二普县级土种志剖面样点矢量数据、原土壤二普县级土壤图矢量数据、分类校准更新后的土壤二普县级土壤图矢量数据、二普土壤样点数据。</w:t>
      </w:r>
    </w:p>
    <w:p w14:paraId="7ECEED9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（4）LANDUSE数据集内容：包含土地利用相关矢量要素，如DLTB（地类图斑）等。</w:t>
      </w:r>
    </w:p>
    <w:p w14:paraId="198C6AD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PROCESS数据集内容：必须包含DCYD（调查样点）、土壤二普土壤图室内校核前/后图斑、重新定义坐标的土壤二普土壤剖面样点的土壤类型野外校核结果、土壤类型改变区各类地块提取结果、推测制图虚点数据、野外校核点位数据、推测的土壤三普图（矢量）、预测/推测不确定性分布图。</w:t>
      </w:r>
    </w:p>
    <w:p w14:paraId="22543E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RESULT数据集内容：必须包含土壤三普土壤类型成果图（矢量）。土壤类型图字段要求：图斑ID、县名(XM)、乡镇名(XZM)、面积(MJ)；分类校准后原土壤二普：土类(YTL)、亚类(YYL)、土属(YTS)、土种(YTZ)；土壤三普：土类(TL)、亚类(YL)、土属(TS)、土种(TZ)。</w:t>
      </w:r>
    </w:p>
    <w:p w14:paraId="6B69FF1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审查结果：“第三次全国土壤普查成果库.gdb”</w:t>
      </w:r>
      <w:r>
        <w:rPr>
          <w:rFonts w:hint="eastAsia" w:ascii="宋体" w:hAnsi="宋体" w:eastAsia="宋体" w:cs="宋体"/>
          <w:b w:val="0"/>
          <w:sz w:val="24"/>
          <w:u w:val="none"/>
          <w:lang w:val="en-US" w:eastAsia="zh-CN"/>
        </w:rPr>
        <w:t>无法打开，请检查数据库。</w:t>
      </w:r>
    </w:p>
    <w:p w14:paraId="5E896C1D">
      <w:pPr>
        <w:keepNext/>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default" w:ascii="宋体" w:hAnsi="宋体" w:eastAsia="宋体" w:cs="宋体"/>
          <w:b w:val="0"/>
          <w:sz w:val="24"/>
          <w:u w:val="none"/>
          <w:lang w:val="en-US" w:eastAsia="zh-CN"/>
        </w:rPr>
      </w:pPr>
      <w:r>
        <w:drawing>
          <wp:inline distT="0" distB="0" distL="114300" distR="114300">
            <wp:extent cx="1457325" cy="1440180"/>
            <wp:effectExtent l="0" t="0" r="952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457325" cy="1440180"/>
                    </a:xfrm>
                    <a:prstGeom prst="rect">
                      <a:avLst/>
                    </a:prstGeom>
                    <a:noFill/>
                    <a:ln>
                      <a:noFill/>
                    </a:ln>
                  </pic:spPr>
                </pic:pic>
              </a:graphicData>
            </a:graphic>
          </wp:inline>
        </w:drawing>
      </w:r>
    </w:p>
    <w:p w14:paraId="3061AD24">
      <w:pPr>
        <w:keepNext/>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基础数据文件夹规范性</w:t>
      </w:r>
    </w:p>
    <w:p w14:paraId="072AB4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8740C3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（1）文件夹结构：包含土壤样点数据、成土环境数据</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和其他文件夹。</w:t>
      </w:r>
    </w:p>
    <w:p w14:paraId="0BD299C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（2）土壤样点数据：包含三普土壤表层样点、剖面样点相关数据。</w:t>
      </w:r>
    </w:p>
    <w:p w14:paraId="22E1EB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（3）成土环境数据：包含母岩母质栅格数据、地形地貌数据（DEM及派生指数）、土地利用/土地整理/植被/水文状况数据、多源遥感影像数据。</w:t>
      </w:r>
    </w:p>
    <w:p w14:paraId="5C7B72D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（4）历史土壤调查数据：包含土壤二普纸质图及相关历史资料如土壤志。</w:t>
      </w:r>
    </w:p>
    <w:p w14:paraId="102956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符合要求。</w:t>
      </w:r>
    </w:p>
    <w:p w14:paraId="2F4A7CF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4. 过程数据文件夹规范性</w:t>
      </w:r>
    </w:p>
    <w:p w14:paraId="6F48157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6AEED0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（1）文件夹结构：包含照片、</w:t>
      </w:r>
      <w:r>
        <w:rPr>
          <w:rFonts w:hint="eastAsia" w:ascii="宋体" w:hAnsi="宋体" w:eastAsia="宋体" w:cs="宋体"/>
          <w:b w:val="0"/>
          <w:sz w:val="24"/>
          <w:u w:val="none"/>
          <w:lang w:val="en-US" w:eastAsia="zh-CN"/>
        </w:rPr>
        <w:t>视频、</w:t>
      </w:r>
      <w:r>
        <w:rPr>
          <w:rFonts w:hint="eastAsia" w:ascii="宋体" w:hAnsi="宋体" w:eastAsia="宋体" w:cs="宋体"/>
          <w:b w:val="0"/>
          <w:sz w:val="24"/>
          <w:u w:val="none"/>
          <w:lang w:eastAsia="zh-CN"/>
        </w:rPr>
        <w:t>土壤推测制图tif数据、野外校核证明材料、土壤类型图野外验证材料</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其他非矢量过程数据</w:t>
      </w:r>
      <w:r>
        <w:rPr>
          <w:rFonts w:hint="eastAsia" w:ascii="宋体" w:hAnsi="宋体" w:eastAsia="宋体" w:cs="宋体"/>
          <w:b w:val="0"/>
          <w:sz w:val="24"/>
          <w:u w:val="none"/>
          <w:lang w:val="en-US" w:eastAsia="zh-CN"/>
        </w:rPr>
        <w:t>文件夹。</w:t>
      </w:r>
    </w:p>
    <w:p w14:paraId="7B6F218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（2）照片文件夹：包含野外路线校核工作照片。</w:t>
      </w:r>
    </w:p>
    <w:p w14:paraId="7063EAB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（3）土壤推测制图tif数据：包含推测的土壤三普图.tif、不确定性分布图.tif。</w:t>
      </w:r>
    </w:p>
    <w:p w14:paraId="61EC3E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（4）野外校核证明材料：包含土壤图野外校核路线图.jpg、野外校核记录表等。</w:t>
      </w:r>
    </w:p>
    <w:p w14:paraId="205DB8B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（5）土壤类型图野外验证材料：包含野外验证调查路线图.jpg、野外验证调查表、野外验证点位现场照片。</w:t>
      </w:r>
    </w:p>
    <w:p w14:paraId="70F7E58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（6）其他非矢量过程数据：包含二普-三普命名对应记录表、土壤类型改变区土壤类型转换规则、土壤类型支撑剖面梳理表等。</w:t>
      </w:r>
    </w:p>
    <w:p w14:paraId="40C820E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50FF71C">
      <w:pPr>
        <w:keepNext/>
        <w:keepLines w:val="0"/>
        <w:pageBreakBefore w:val="0"/>
        <w:widowControl w:val="0"/>
        <w:numPr>
          <w:ilvl w:val="0"/>
          <w:numId w:val="4"/>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将“</w:t>
      </w:r>
      <w:r>
        <w:rPr>
          <w:rFonts w:hint="eastAsia" w:ascii="宋体" w:hAnsi="宋体" w:eastAsia="宋体" w:cs="宋体"/>
          <w:b w:val="0"/>
          <w:sz w:val="24"/>
          <w:u w:val="none"/>
          <w:lang w:eastAsia="zh-CN"/>
        </w:rPr>
        <w:t>土壤类型图野外证明材料”</w:t>
      </w:r>
      <w:r>
        <w:rPr>
          <w:rFonts w:hint="eastAsia" w:ascii="宋体" w:hAnsi="宋体" w:eastAsia="宋体" w:cs="宋体"/>
          <w:b w:val="0"/>
          <w:sz w:val="24"/>
          <w:u w:val="none"/>
          <w:lang w:val="en-US" w:eastAsia="zh-CN"/>
        </w:rPr>
        <w:t>修改为</w:t>
      </w:r>
      <w:r>
        <w:rPr>
          <w:rFonts w:hint="eastAsia" w:ascii="宋体" w:hAnsi="宋体" w:eastAsia="宋体" w:cs="宋体"/>
          <w:b w:val="0"/>
          <w:sz w:val="24"/>
          <w:u w:val="none"/>
          <w:lang w:eastAsia="zh-CN"/>
        </w:rPr>
        <w:t>土壤类型图野外验证材料。</w:t>
      </w:r>
    </w:p>
    <w:p w14:paraId="21542FFE">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（2）土壤推测制图tif数据命名不规范：包含推测的土壤三普图.tif、不确定性分布图.tif。</w:t>
      </w:r>
    </w:p>
    <w:p w14:paraId="63D79A28">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（3）缺少</w:t>
      </w:r>
      <w:r>
        <w:rPr>
          <w:rFonts w:hint="eastAsia" w:ascii="宋体" w:hAnsi="宋体" w:eastAsia="宋体" w:cs="宋体"/>
          <w:b w:val="0"/>
          <w:sz w:val="24"/>
          <w:u w:val="none"/>
          <w:lang w:eastAsia="zh-CN"/>
        </w:rPr>
        <w:t>野外校核记录表。</w:t>
      </w:r>
    </w:p>
    <w:p w14:paraId="7E6CB25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5. 成果数据文件夹规范性</w:t>
      </w:r>
    </w:p>
    <w:p w14:paraId="7D8BEE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C7D88F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（1）文件夹结构：包含数字化图件成果</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文字成果</w:t>
      </w:r>
      <w:r>
        <w:rPr>
          <w:rFonts w:hint="eastAsia" w:ascii="宋体" w:hAnsi="宋体" w:eastAsia="宋体" w:cs="宋体"/>
          <w:b w:val="0"/>
          <w:sz w:val="24"/>
          <w:u w:val="none"/>
          <w:lang w:val="en-US" w:eastAsia="zh-CN"/>
        </w:rPr>
        <w:t>文件夹。</w:t>
      </w:r>
    </w:p>
    <w:p w14:paraId="293560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（2）数字化图件成果：包含土壤类型图.jpg（主成果，DPI</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300）。</w:t>
      </w:r>
    </w:p>
    <w:p w14:paraId="14F1726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（3）文字成果：包含土壤类型图编制工作报告/技术报告（.doc和.pdf）。</w:t>
      </w:r>
    </w:p>
    <w:p w14:paraId="7DF4230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审查结果：土壤类型图编制术报告</w:t>
      </w:r>
      <w:r>
        <w:rPr>
          <w:rFonts w:hint="eastAsia" w:ascii="宋体" w:hAnsi="宋体" w:eastAsia="宋体" w:cs="宋体"/>
          <w:b w:val="0"/>
          <w:sz w:val="24"/>
          <w:u w:val="none"/>
          <w:lang w:val="en-US" w:eastAsia="zh-CN"/>
        </w:rPr>
        <w:t>命名不规范。</w:t>
      </w:r>
    </w:p>
    <w:p w14:paraId="203E0D43">
      <w:pPr>
        <w:keepNext/>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default" w:ascii="宋体" w:hAnsi="宋体" w:eastAsia="宋体" w:cs="宋体"/>
          <w:b w:val="0"/>
          <w:sz w:val="24"/>
          <w:u w:val="none"/>
          <w:lang w:val="en-US" w:eastAsia="zh-CN"/>
        </w:rPr>
      </w:pPr>
      <w:r>
        <w:drawing>
          <wp:inline distT="0" distB="0" distL="114300" distR="114300">
            <wp:extent cx="2428875" cy="5429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428875" cy="542925"/>
                    </a:xfrm>
                    <a:prstGeom prst="rect">
                      <a:avLst/>
                    </a:prstGeom>
                    <a:noFill/>
                    <a:ln>
                      <a:noFill/>
                    </a:ln>
                  </pic:spPr>
                </pic:pic>
              </a:graphicData>
            </a:graphic>
          </wp:inline>
        </w:drawing>
      </w:r>
    </w:p>
    <w:p w14:paraId="62FA2C5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3" w:name="_Toc18472"/>
      <w:r>
        <w:rPr>
          <w:rFonts w:hint="eastAsia" w:ascii="宋体" w:hAnsi="宋体" w:eastAsia="宋体" w:cs="宋体"/>
          <w:b/>
          <w:sz w:val="28"/>
          <w:u w:val="none"/>
          <w:lang w:eastAsia="zh-CN"/>
        </w:rPr>
        <w:t>（二）核心数据成果核查</w:t>
      </w:r>
      <w:bookmarkEnd w:id="3"/>
    </w:p>
    <w:p w14:paraId="00DDC3FE">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基础地理与历史数据</w:t>
      </w:r>
    </w:p>
    <w:p w14:paraId="43B03AE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6FD8D5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（1）基础地理数据：是否包含行政区、居民点、道路、水系等矢量要素。</w:t>
      </w:r>
    </w:p>
    <w:p w14:paraId="217794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（2）土壤三普数据：是否包含土壤剖面调查数据、土壤表层调查数据。</w:t>
      </w:r>
    </w:p>
    <w:p w14:paraId="468851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（3）历史土壤数据：是否包含土壤二普县级土种志剖面矢量数据、土壤二普县级土壤图矢量数据、分类校准更新后的土壤二普县级土壤图矢量数据；是否包含土壤二普县级土种志、土壤志或普查报告等。</w:t>
      </w:r>
    </w:p>
    <w:p w14:paraId="53E6479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审查结果：“第三次全国土壤普查成果库.gdb”</w:t>
      </w:r>
      <w:r>
        <w:rPr>
          <w:rFonts w:hint="eastAsia" w:ascii="宋体" w:hAnsi="宋体" w:eastAsia="宋体" w:cs="宋体"/>
          <w:b w:val="0"/>
          <w:sz w:val="24"/>
          <w:u w:val="none"/>
          <w:lang w:val="en-US" w:eastAsia="zh-CN"/>
        </w:rPr>
        <w:t>无法打开，请检查数据库。</w:t>
      </w:r>
    </w:p>
    <w:p w14:paraId="097DC313">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rPr>
          <w:rFonts w:hint="default" w:ascii="宋体" w:hAnsi="宋体" w:eastAsia="宋体" w:cs="宋体"/>
          <w:b/>
          <w:bCs/>
          <w:sz w:val="24"/>
          <w:u w:val="none"/>
          <w:lang w:val="en-US" w:eastAsia="zh-CN"/>
        </w:rPr>
      </w:pPr>
      <w:r>
        <w:drawing>
          <wp:inline distT="0" distB="0" distL="114300" distR="114300">
            <wp:extent cx="946150" cy="935990"/>
            <wp:effectExtent l="0" t="0" r="6350" b="165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946150" cy="935990"/>
                    </a:xfrm>
                    <a:prstGeom prst="rect">
                      <a:avLst/>
                    </a:prstGeom>
                    <a:noFill/>
                    <a:ln>
                      <a:noFill/>
                    </a:ln>
                  </pic:spPr>
                </pic:pic>
              </a:graphicData>
            </a:graphic>
          </wp:inline>
        </w:drawing>
      </w:r>
    </w:p>
    <w:p w14:paraId="22531CF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成土环境与过程数据</w:t>
      </w:r>
    </w:p>
    <w:p w14:paraId="7B2D480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8F37BF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（1）成土环境数据：是否提供母岩母质栅格数据、</w:t>
      </w:r>
      <w:r>
        <w:rPr>
          <w:rFonts w:hint="eastAsia" w:ascii="宋体" w:hAnsi="宋体" w:eastAsia="宋体" w:cs="宋体"/>
          <w:b w:val="0"/>
          <w:sz w:val="24"/>
          <w:highlight w:val="none"/>
          <w:u w:val="none"/>
          <w:lang w:eastAsia="zh-CN"/>
        </w:rPr>
        <w:t>DEM栅格数据、DEM派生指数数据（30m分辨率）、</w:t>
      </w:r>
      <w:r>
        <w:rPr>
          <w:rFonts w:hint="eastAsia" w:ascii="宋体" w:hAnsi="宋体" w:eastAsia="宋体" w:cs="宋体"/>
          <w:b w:val="0"/>
          <w:sz w:val="24"/>
          <w:u w:val="none"/>
          <w:lang w:eastAsia="zh-CN"/>
        </w:rPr>
        <w:t>土地利用类型数据、土地整理数据、植被数据、水文状况数据、多源遥感影像数据。</w:t>
      </w:r>
    </w:p>
    <w:p w14:paraId="0B9DA58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（2）二普土壤图室内校核：是否提供室内校核后的二普土壤图。</w:t>
      </w:r>
    </w:p>
    <w:p w14:paraId="722D14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（3）土壤类型改变区提取：是否提供可能改变区图层。</w:t>
      </w:r>
    </w:p>
    <w:p w14:paraId="5C6466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（4）土壤类型推测制图：是否提供典型虚拟点、三普剖面样点、野外校核点；是否提供栅格土种预测结果、栅格不确定性分布结果、土种预测结果矢量化图层；是</w:t>
      </w:r>
      <w:r>
        <w:rPr>
          <w:rFonts w:hint="eastAsia" w:ascii="宋体" w:hAnsi="宋体" w:eastAsia="宋体" w:cs="宋体"/>
          <w:b w:val="0"/>
          <w:color w:val="auto"/>
          <w:sz w:val="24"/>
          <w:highlight w:val="none"/>
          <w:u w:val="none"/>
          <w:lang w:eastAsia="zh-CN"/>
        </w:rPr>
        <w:t>否有环境数据重要性排序、Kappa系数等验证模型精度。</w:t>
      </w:r>
    </w:p>
    <w:p w14:paraId="235325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244B26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w:t>
      </w:r>
      <w:r>
        <w:rPr>
          <w:rFonts w:hint="eastAsia" w:ascii="宋体" w:hAnsi="宋体" w:eastAsia="宋体" w:cs="宋体"/>
          <w:b w:val="0"/>
          <w:sz w:val="24"/>
          <w:u w:val="none"/>
          <w:lang w:eastAsia="zh-CN"/>
        </w:rPr>
        <w:t>“第三次全国土壤普查成果库.gdb”</w:t>
      </w:r>
      <w:r>
        <w:rPr>
          <w:rFonts w:hint="eastAsia" w:ascii="宋体" w:hAnsi="宋体" w:eastAsia="宋体" w:cs="宋体"/>
          <w:b w:val="0"/>
          <w:sz w:val="24"/>
          <w:u w:val="none"/>
          <w:lang w:val="en-US" w:eastAsia="zh-CN"/>
        </w:rPr>
        <w:t>无法打开，请检查数据库。不确定是否提供可能改变区图层、典型虚拟点、三普剖面样点、野外校核点；是否提供栅格土种预测结果、栅格不确定性分布结果、土种预测结果矢量化图层。</w:t>
      </w:r>
    </w:p>
    <w:p w14:paraId="2069335B">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pPr>
      <w:r>
        <w:drawing>
          <wp:inline distT="0" distB="0" distL="114300" distR="114300">
            <wp:extent cx="946150" cy="935990"/>
            <wp:effectExtent l="0" t="0" r="6350" b="165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tretch>
                      <a:fillRect/>
                    </a:stretch>
                  </pic:blipFill>
                  <pic:spPr>
                    <a:xfrm>
                      <a:off x="0" y="0"/>
                      <a:ext cx="946150" cy="935990"/>
                    </a:xfrm>
                    <a:prstGeom prst="rect">
                      <a:avLst/>
                    </a:prstGeom>
                    <a:noFill/>
                    <a:ln>
                      <a:noFill/>
                    </a:ln>
                  </pic:spPr>
                </pic:pic>
              </a:graphicData>
            </a:graphic>
          </wp:inline>
        </w:drawing>
      </w:r>
    </w:p>
    <w:p w14:paraId="0B8D7F0D">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default"/>
          <w:lang w:val="en-US"/>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w:t>
      </w:r>
      <w:r>
        <w:rPr>
          <w:rFonts w:hint="eastAsia" w:ascii="宋体" w:hAnsi="宋体" w:eastAsia="宋体" w:cs="宋体"/>
          <w:b w:val="0"/>
          <w:sz w:val="24"/>
          <w:u w:val="none"/>
          <w:lang w:eastAsia="zh-CN"/>
        </w:rPr>
        <w:t>成土环境数据</w:t>
      </w:r>
      <w:r>
        <w:rPr>
          <w:rFonts w:hint="eastAsia" w:ascii="宋体" w:hAnsi="宋体" w:eastAsia="宋体" w:cs="宋体"/>
          <w:b w:val="0"/>
          <w:sz w:val="24"/>
          <w:u w:val="none"/>
          <w:lang w:val="en-US" w:eastAsia="zh-CN"/>
        </w:rPr>
        <w:t>符合要求。</w:t>
      </w:r>
    </w:p>
    <w:p w14:paraId="3F53D8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野外校核与验证成果</w:t>
      </w:r>
    </w:p>
    <w:p w14:paraId="2243B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C79E5F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（1）野外校核路线：是否至少有三条路线；路线是否覆盖土壤类型可能改变区域；路线是否穿过各类可能改变区的代表性图斑中心；路线是否穿过室内校核有疑问的图斑。</w:t>
      </w:r>
    </w:p>
    <w:p w14:paraId="544C42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（2）土壤类型转换规则：是否制定土壤类型转换规则表。</w:t>
      </w:r>
    </w:p>
    <w:p w14:paraId="4389870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（3）有疑图斑校核：可能变化区与疑问图斑是否按野外校核结果进行修订。</w:t>
      </w:r>
    </w:p>
    <w:p w14:paraId="4C49CA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（4）野外路线校核工作照片：校核点位数量与上交的图片资料数量是否一致。</w:t>
      </w:r>
    </w:p>
    <w:p w14:paraId="5C39D15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（5）野外验证结果：每条路线穿过的土壤图斑中是否随机选取10个图斑（3条路线共30个图斑）进行验证。</w:t>
      </w:r>
    </w:p>
    <w:p w14:paraId="52DA44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DBCFA00">
      <w:pPr>
        <w:keepNext/>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土壤类型转换规则表。</w:t>
      </w:r>
    </w:p>
    <w:p w14:paraId="00822A87">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（2）技术报告中</w:t>
      </w:r>
      <w:r>
        <w:rPr>
          <w:rFonts w:hint="eastAsia" w:ascii="宋体" w:hAnsi="宋体" w:eastAsia="宋体" w:cs="宋体"/>
          <w:b w:val="0"/>
          <w:sz w:val="24"/>
          <w:u w:val="none"/>
          <w:lang w:eastAsia="zh-CN"/>
        </w:rPr>
        <w:t>校核点位数量（</w:t>
      </w:r>
      <w:r>
        <w:rPr>
          <w:rFonts w:hint="eastAsia" w:ascii="宋体" w:hAnsi="宋体" w:eastAsia="宋体" w:cs="宋体"/>
          <w:b w:val="0"/>
          <w:sz w:val="24"/>
          <w:u w:val="none"/>
          <w:lang w:val="en-US" w:eastAsia="zh-CN"/>
        </w:rPr>
        <w:t>163个）</w:t>
      </w:r>
      <w:r>
        <w:rPr>
          <w:rFonts w:hint="eastAsia" w:ascii="宋体" w:hAnsi="宋体" w:eastAsia="宋体" w:cs="宋体"/>
          <w:b w:val="0"/>
          <w:sz w:val="24"/>
          <w:u w:val="none"/>
          <w:lang w:eastAsia="zh-CN"/>
        </w:rPr>
        <w:t>与上交的图片</w:t>
      </w:r>
      <w:r>
        <w:rPr>
          <w:rFonts w:hint="eastAsia" w:ascii="宋体" w:hAnsi="宋体" w:eastAsia="宋体" w:cs="宋体"/>
          <w:b w:val="0"/>
          <w:sz w:val="24"/>
          <w:u w:val="none"/>
          <w:lang w:val="en-US" w:eastAsia="zh-CN"/>
        </w:rPr>
        <w:t>文件夹</w:t>
      </w:r>
      <w:r>
        <w:rPr>
          <w:rFonts w:hint="eastAsia" w:ascii="宋体" w:hAnsi="宋体" w:eastAsia="宋体" w:cs="宋体"/>
          <w:b w:val="0"/>
          <w:sz w:val="24"/>
          <w:u w:val="none"/>
          <w:lang w:eastAsia="zh-CN"/>
        </w:rPr>
        <w:t>数量（</w:t>
      </w:r>
      <w:r>
        <w:rPr>
          <w:rFonts w:hint="eastAsia" w:ascii="宋体" w:hAnsi="宋体" w:eastAsia="宋体" w:cs="宋体"/>
          <w:b w:val="0"/>
          <w:sz w:val="24"/>
          <w:u w:val="none"/>
          <w:lang w:val="en-US" w:eastAsia="zh-CN"/>
        </w:rPr>
        <w:t>256个）不</w:t>
      </w:r>
      <w:r>
        <w:rPr>
          <w:rFonts w:hint="eastAsia" w:ascii="宋体" w:hAnsi="宋体" w:eastAsia="宋体" w:cs="宋体"/>
          <w:b w:val="0"/>
          <w:sz w:val="24"/>
          <w:u w:val="none"/>
          <w:lang w:eastAsia="zh-CN"/>
        </w:rPr>
        <w:t>一致。</w:t>
      </w:r>
    </w:p>
    <w:p w14:paraId="6BEAFC35">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eastAsia="zh-CN"/>
        </w:rPr>
      </w:pPr>
      <w:r>
        <w:drawing>
          <wp:inline distT="0" distB="0" distL="114300" distR="114300">
            <wp:extent cx="5269865" cy="558165"/>
            <wp:effectExtent l="0" t="0" r="6985" b="1333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6"/>
                    <a:stretch>
                      <a:fillRect/>
                    </a:stretch>
                  </pic:blipFill>
                  <pic:spPr>
                    <a:xfrm>
                      <a:off x="0" y="0"/>
                      <a:ext cx="5269865" cy="558165"/>
                    </a:xfrm>
                    <a:prstGeom prst="rect">
                      <a:avLst/>
                    </a:prstGeom>
                    <a:noFill/>
                    <a:ln>
                      <a:noFill/>
                    </a:ln>
                  </pic:spPr>
                </pic:pic>
              </a:graphicData>
            </a:graphic>
          </wp:inline>
        </w:drawing>
      </w:r>
    </w:p>
    <w:p w14:paraId="45115C31">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733425" cy="314325"/>
            <wp:effectExtent l="0" t="0" r="9525" b="952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7"/>
                    <a:stretch>
                      <a:fillRect/>
                    </a:stretch>
                  </pic:blipFill>
                  <pic:spPr>
                    <a:xfrm>
                      <a:off x="0" y="0"/>
                      <a:ext cx="733425" cy="314325"/>
                    </a:xfrm>
                    <a:prstGeom prst="rect">
                      <a:avLst/>
                    </a:prstGeom>
                    <a:noFill/>
                    <a:ln>
                      <a:noFill/>
                    </a:ln>
                  </pic:spPr>
                </pic:pic>
              </a:graphicData>
            </a:graphic>
          </wp:inline>
        </w:drawing>
      </w:r>
    </w:p>
    <w:p w14:paraId="0C74B49B">
      <w:pPr>
        <w:keepNext/>
        <w:keepLines w:val="0"/>
        <w:pageBreakBefore w:val="0"/>
        <w:widowControl w:val="0"/>
        <w:numPr>
          <w:ilvl w:val="0"/>
          <w:numId w:val="6"/>
        </w:numPr>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土壤分类</w:t>
      </w:r>
      <w:r>
        <w:rPr>
          <w:rFonts w:hint="eastAsia" w:ascii="宋体" w:hAnsi="宋体" w:eastAsia="宋体" w:cs="宋体"/>
          <w:b/>
          <w:sz w:val="24"/>
          <w:u w:val="none"/>
          <w:lang w:val="en-US" w:eastAsia="zh-CN"/>
        </w:rPr>
        <w:t>与制图</w:t>
      </w:r>
      <w:r>
        <w:rPr>
          <w:rFonts w:hint="eastAsia" w:ascii="宋体" w:hAnsi="宋体" w:eastAsia="宋体" w:cs="宋体"/>
          <w:b/>
          <w:sz w:val="24"/>
          <w:u w:val="none"/>
          <w:lang w:eastAsia="zh-CN"/>
        </w:rPr>
        <w:t>成果</w:t>
      </w:r>
    </w:p>
    <w:p w14:paraId="06AD78B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021796C">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w:t>
      </w:r>
      <w:r>
        <w:rPr>
          <w:rFonts w:hint="eastAsia" w:ascii="宋体" w:hAnsi="宋体" w:eastAsia="宋体" w:cs="宋体"/>
          <w:i w:val="0"/>
          <w:iCs w:val="0"/>
          <w:color w:val="000000"/>
          <w:kern w:val="0"/>
          <w:sz w:val="24"/>
          <w:szCs w:val="24"/>
          <w:u w:val="none"/>
          <w:lang w:val="en-US" w:eastAsia="zh-CN" w:bidi="ar"/>
        </w:rPr>
        <w:t>三普土种有5个不在河北省三普土种类型清单中，请核实整改：壤底姜石灰性潮土、壤体姜石灰性潮土、壤底姜脱潮土、壤底姜泥砂质潮褐土、壤夹黏底砂泥砂质潮褐土。</w:t>
      </w:r>
    </w:p>
    <w:p w14:paraId="221F457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4" w:name="_Toc14635"/>
      <w:r>
        <w:rPr>
          <w:rFonts w:hint="eastAsia" w:ascii="黑体" w:hAnsi="黑体" w:eastAsia="黑体" w:cs="黑体"/>
          <w:b/>
          <w:sz w:val="30"/>
          <w:u w:val="none"/>
          <w:lang w:eastAsia="zh-CN"/>
        </w:rPr>
        <w:t>二、图件成果</w:t>
      </w:r>
      <w:bookmarkEnd w:id="4"/>
    </w:p>
    <w:p w14:paraId="2A622DD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5" w:name="_Toc15312"/>
      <w:r>
        <w:rPr>
          <w:rFonts w:hint="eastAsia" w:ascii="宋体" w:hAnsi="宋体" w:eastAsia="宋体" w:cs="宋体"/>
          <w:b/>
          <w:sz w:val="28"/>
          <w:u w:val="none"/>
          <w:lang w:eastAsia="zh-CN"/>
        </w:rPr>
        <w:t>（一）图件规范性审查</w:t>
      </w:r>
      <w:bookmarkEnd w:id="5"/>
    </w:p>
    <w:p w14:paraId="22D7114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图件格式与图面要素</w:t>
      </w:r>
    </w:p>
    <w:p w14:paraId="340679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20F384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（1）图件格式为JPG，DPI大于300。</w:t>
      </w:r>
    </w:p>
    <w:p w14:paraId="24E4C3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（2）图名、图例、注记、比例尺、指北针、地理要素、土壤类型分布断面图、土壤类型与土地利用类型面积统计表、位置示意图、制图人员信息等要素齐全。</w:t>
      </w:r>
    </w:p>
    <w:p w14:paraId="4921BB4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（3）参照《第三次全国国土调查技术规程》（TD/T 1055-2019）进行背景要素符号样式设计和绘制。</w:t>
      </w:r>
    </w:p>
    <w:p w14:paraId="2EB80BD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（4）基础地理要素包括地形、水系、居民点、交通线和境界线等齐全。</w:t>
      </w:r>
    </w:p>
    <w:p w14:paraId="6A39C1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（5）成图比例尺为1：5万；最好以线段比例尺表示。</w:t>
      </w:r>
    </w:p>
    <w:p w14:paraId="7DF1931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（6）县级、地市级土壤制图上图单元到土种。</w:t>
      </w:r>
    </w:p>
    <w:p w14:paraId="227603B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DF5271E">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（1）建议</w:t>
      </w:r>
      <w:r>
        <w:rPr>
          <w:rFonts w:hint="eastAsia" w:ascii="宋体" w:hAnsi="宋体" w:eastAsia="宋体" w:cs="宋体"/>
          <w:b w:val="0"/>
          <w:sz w:val="24"/>
          <w:u w:val="none"/>
          <w:lang w:eastAsia="zh-CN"/>
        </w:rPr>
        <w:t>以线段比例尺表示。</w:t>
      </w:r>
    </w:p>
    <w:p w14:paraId="6131F8B7">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val="en-US" w:eastAsia="zh-CN"/>
        </w:rPr>
      </w:pPr>
      <w:r>
        <w:drawing>
          <wp:inline distT="0" distB="0" distL="114300" distR="114300">
            <wp:extent cx="2505710" cy="360045"/>
            <wp:effectExtent l="0" t="0" r="8890" b="190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8"/>
                    <a:stretch>
                      <a:fillRect/>
                    </a:stretch>
                  </pic:blipFill>
                  <pic:spPr>
                    <a:xfrm>
                      <a:off x="0" y="0"/>
                      <a:ext cx="2505710" cy="360045"/>
                    </a:xfrm>
                    <a:prstGeom prst="rect">
                      <a:avLst/>
                    </a:prstGeom>
                    <a:noFill/>
                    <a:ln>
                      <a:noFill/>
                    </a:ln>
                  </pic:spPr>
                </pic:pic>
              </a:graphicData>
            </a:graphic>
          </wp:inline>
        </w:drawing>
      </w:r>
    </w:p>
    <w:p w14:paraId="5039CE0F">
      <w:pPr>
        <w:keepNext/>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缺少等高线。</w:t>
      </w:r>
    </w:p>
    <w:p w14:paraId="69BA8B8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6" w:name="_Toc26692"/>
      <w:r>
        <w:rPr>
          <w:rFonts w:hint="eastAsia" w:ascii="宋体" w:hAnsi="宋体" w:eastAsia="宋体" w:cs="宋体"/>
          <w:b/>
          <w:sz w:val="28"/>
          <w:u w:val="none"/>
          <w:lang w:eastAsia="zh-CN"/>
        </w:rPr>
        <w:t>（二）基础地理要素核查</w:t>
      </w:r>
      <w:bookmarkEnd w:id="6"/>
    </w:p>
    <w:p w14:paraId="19290D1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基础地理要素</w:t>
      </w:r>
    </w:p>
    <w:p w14:paraId="177C02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166236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（1）地形：等高距一般平原20~50m；丘陵50~100m；山区100~200m。</w:t>
      </w:r>
    </w:p>
    <w:p w14:paraId="378515C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（2）水系：河流、湖泊、水库、水渠是否标识。</w:t>
      </w:r>
    </w:p>
    <w:p w14:paraId="580182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（3）居民点：建成区以完整面状图斑表示；较小的乡镇、村级可以用点状符号表示。</w:t>
      </w:r>
    </w:p>
    <w:p w14:paraId="71BCC9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（4）境界线：参照自然资源部地图技术审查中心的标准地图，正确表示县界、市界、省界。</w:t>
      </w:r>
    </w:p>
    <w:p w14:paraId="1CBF7C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（5）符号化：非土壤制图单元的制图符号按国家基本比例尺地图图示国家标准进行符号化（GB/T 20257.3—2017）。</w:t>
      </w:r>
    </w:p>
    <w:p w14:paraId="136197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（6）色标：按照《土壤制图 1：25000 1：50000 1：100000 中国土壤图用色和图例规范》。</w:t>
      </w:r>
    </w:p>
    <w:p w14:paraId="524CA1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3839407">
      <w:pPr>
        <w:keepNext/>
        <w:keepLines w:val="0"/>
        <w:pageBreakBefore w:val="0"/>
        <w:widowControl w:val="0"/>
        <w:numPr>
          <w:ilvl w:val="0"/>
          <w:numId w:val="7"/>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政府驻地应有专有符号，</w:t>
      </w:r>
      <w:r>
        <w:rPr>
          <w:rFonts w:hint="eastAsia" w:ascii="宋体" w:hAnsi="宋体" w:eastAsia="宋体" w:cs="宋体"/>
          <w:b w:val="0"/>
          <w:sz w:val="24"/>
          <w:u w:val="none"/>
          <w:lang w:eastAsia="zh-CN"/>
        </w:rPr>
        <w:t>水系</w:t>
      </w:r>
      <w:r>
        <w:rPr>
          <w:rFonts w:hint="eastAsia" w:ascii="宋体" w:hAnsi="宋体" w:eastAsia="宋体" w:cs="宋体"/>
          <w:b w:val="0"/>
          <w:sz w:val="24"/>
          <w:u w:val="none"/>
          <w:lang w:val="en-US" w:eastAsia="zh-CN"/>
        </w:rPr>
        <w:t>等缺少标识。</w:t>
      </w:r>
    </w:p>
    <w:p w14:paraId="71D115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w:t>
      </w:r>
      <w:r>
        <w:rPr>
          <w:rFonts w:hint="eastAsia" w:ascii="宋体" w:hAnsi="宋体" w:eastAsia="宋体" w:cs="宋体"/>
          <w:b w:val="0"/>
          <w:sz w:val="24"/>
          <w:u w:val="none"/>
          <w:lang w:eastAsia="zh-CN"/>
        </w:rPr>
        <w:t>图例使用错误，请按照第三次全国国土调查技术规范使用。</w:t>
      </w:r>
    </w:p>
    <w:p w14:paraId="529E660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3）</w:t>
      </w:r>
      <w:r>
        <w:rPr>
          <w:rFonts w:hint="eastAsia" w:ascii="宋体" w:hAnsi="宋体" w:eastAsia="宋体" w:cs="宋体"/>
          <w:b w:val="0"/>
          <w:sz w:val="24"/>
          <w:u w:val="none"/>
          <w:lang w:eastAsia="zh-CN"/>
        </w:rPr>
        <w:t>行政区边界显示了晕线，但并未在图例中展现。</w:t>
      </w:r>
    </w:p>
    <w:p w14:paraId="6BF444C1">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1786890" cy="1656080"/>
            <wp:effectExtent l="0" t="0" r="3810" b="127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9"/>
                    <a:stretch>
                      <a:fillRect/>
                    </a:stretch>
                  </pic:blipFill>
                  <pic:spPr>
                    <a:xfrm>
                      <a:off x="0" y="0"/>
                      <a:ext cx="1786890" cy="165608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358390" cy="1440180"/>
            <wp:effectExtent l="0" t="0" r="3810" b="762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0"/>
                    <a:stretch>
                      <a:fillRect/>
                    </a:stretch>
                  </pic:blipFill>
                  <pic:spPr>
                    <a:xfrm>
                      <a:off x="0" y="0"/>
                      <a:ext cx="2358390" cy="1440180"/>
                    </a:xfrm>
                    <a:prstGeom prst="rect">
                      <a:avLst/>
                    </a:prstGeom>
                    <a:noFill/>
                    <a:ln>
                      <a:noFill/>
                    </a:ln>
                  </pic:spPr>
                </pic:pic>
              </a:graphicData>
            </a:graphic>
          </wp:inline>
        </w:drawing>
      </w:r>
    </w:p>
    <w:p w14:paraId="332CB2F8">
      <w:pPr>
        <w:keepNext/>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4"/>
          <w:szCs w:val="32"/>
          <w:lang w:val="en-US" w:eastAsia="zh-CN"/>
        </w:rPr>
      </w:pPr>
      <w:r>
        <w:rPr>
          <w:rFonts w:hint="eastAsia"/>
          <w:sz w:val="24"/>
          <w:szCs w:val="32"/>
          <w:lang w:val="en-US" w:eastAsia="zh-CN"/>
        </w:rPr>
        <w:t>参考：</w:t>
      </w:r>
    </w:p>
    <w:p w14:paraId="608D42EF">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lang w:val="en-US" w:eastAsia="zh-CN"/>
        </w:rPr>
      </w:pPr>
      <w:r>
        <w:drawing>
          <wp:inline distT="0" distB="0" distL="114300" distR="114300">
            <wp:extent cx="3368675" cy="2807970"/>
            <wp:effectExtent l="0" t="0" r="3175" b="1143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1"/>
                    <a:stretch>
                      <a:fillRect/>
                    </a:stretch>
                  </pic:blipFill>
                  <pic:spPr>
                    <a:xfrm>
                      <a:off x="0" y="0"/>
                      <a:ext cx="3368675" cy="2807970"/>
                    </a:xfrm>
                    <a:prstGeom prst="rect">
                      <a:avLst/>
                    </a:prstGeom>
                    <a:noFill/>
                    <a:ln>
                      <a:noFill/>
                    </a:ln>
                  </pic:spPr>
                </pic:pic>
              </a:graphicData>
            </a:graphic>
          </wp:inline>
        </w:drawing>
      </w:r>
    </w:p>
    <w:p w14:paraId="176738E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7" w:name="_Toc25965"/>
      <w:r>
        <w:rPr>
          <w:rFonts w:hint="eastAsia" w:ascii="宋体" w:hAnsi="宋体" w:eastAsia="宋体" w:cs="宋体"/>
          <w:b/>
          <w:sz w:val="28"/>
          <w:u w:val="none"/>
          <w:lang w:eastAsia="zh-CN"/>
        </w:rPr>
        <w:t>（三）注记核查</w:t>
      </w:r>
      <w:bookmarkEnd w:id="7"/>
    </w:p>
    <w:p w14:paraId="0ED1817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注记要素</w:t>
      </w:r>
    </w:p>
    <w:p w14:paraId="019771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B3D1FA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（1）土壤类型按照分类层次进行标记，不宜跨越4个及以上分类层级。</w:t>
      </w:r>
    </w:p>
    <w:p w14:paraId="7AFAED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（2）顺序号可采用罗马数字、阿拉伯数字和小写字母分别标记，并在图例中对顺序号进行说明。</w:t>
      </w:r>
    </w:p>
    <w:p w14:paraId="7A161D1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（3）对于图斑较小的情况，采用引线标记；面积分布范围过大的制图单元，可以进行多次标记。</w:t>
      </w:r>
    </w:p>
    <w:p w14:paraId="2A3149E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（4）政府驻地、铁路站场、民用机场、公路与铁路、河流、湖泊、水库、干渠、国家公园、自然保护区、自然公园等重要地物名称是否注记。</w:t>
      </w:r>
    </w:p>
    <w:p w14:paraId="55ECEC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（5）注记文字种类不超过4种，汉字优先采用宋体，可选用黑体、楷体、仿宋、隶书；英文和数字优先采用Times New Roman，可选用Arial Black。注记方向一般为正向，字头朝北。注记排列方式按照实际情况从水平字列、垂直字列、雁行字列和屈曲字列中选择。</w:t>
      </w:r>
    </w:p>
    <w:p w14:paraId="6091F47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铁路站场、民用机场、河流、湖泊、水库、干渠、国家公园、自然保护区、自然公园等重要地物名称未注记。</w:t>
      </w:r>
    </w:p>
    <w:p w14:paraId="1E88445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8" w:name="_Toc18263"/>
      <w:r>
        <w:rPr>
          <w:rFonts w:hint="eastAsia" w:ascii="宋体" w:hAnsi="宋体" w:eastAsia="宋体" w:cs="宋体"/>
          <w:b/>
          <w:sz w:val="28"/>
          <w:u w:val="none"/>
          <w:lang w:eastAsia="zh-CN"/>
        </w:rPr>
        <w:t>（四）图面配置与整饰</w:t>
      </w:r>
      <w:bookmarkEnd w:id="8"/>
    </w:p>
    <w:p w14:paraId="58C954D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土壤类型与土地利用类型面积统计表</w:t>
      </w:r>
    </w:p>
    <w:p w14:paraId="57FA11F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70AB2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（1）面积统计表对各土种不同农用地土地利用现状类型进行了面积和占比统计。</w:t>
      </w:r>
    </w:p>
    <w:p w14:paraId="4C3F2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（2）辖区面积与2023年国土变更调查的数据一致，</w:t>
      </w:r>
      <w:r>
        <w:rPr>
          <w:rFonts w:hint="eastAsia" w:ascii="宋体" w:hAnsi="宋体" w:eastAsia="宋体" w:cs="宋体"/>
          <w:b w:val="0"/>
          <w:color w:val="auto"/>
          <w:sz w:val="24"/>
          <w:highlight w:val="yellow"/>
          <w:u w:val="none"/>
          <w:lang w:eastAsia="zh-CN"/>
        </w:rPr>
        <w:t>要进行平差</w:t>
      </w:r>
      <w:r>
        <w:rPr>
          <w:rFonts w:hint="eastAsia" w:ascii="宋体" w:hAnsi="宋体" w:eastAsia="宋体" w:cs="宋体"/>
          <w:b w:val="0"/>
          <w:sz w:val="24"/>
          <w:u w:val="none"/>
          <w:lang w:eastAsia="zh-CN"/>
        </w:rPr>
        <w:t>。</w:t>
      </w:r>
    </w:p>
    <w:p w14:paraId="049358E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286434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面积统计表缺少总计，同时注意各个数据的县域面积要和三调一致。</w:t>
      </w:r>
    </w:p>
    <w:p w14:paraId="4ECB71B3">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sz w:val="24"/>
          <w:u w:val="none"/>
          <w:lang w:val="en-US" w:eastAsia="zh-CN"/>
        </w:rPr>
      </w:pPr>
      <w:r>
        <w:drawing>
          <wp:inline distT="0" distB="0" distL="114300" distR="114300">
            <wp:extent cx="5266055" cy="756285"/>
            <wp:effectExtent l="0" t="0" r="10795" b="571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2"/>
                    <a:stretch>
                      <a:fillRect/>
                    </a:stretch>
                  </pic:blipFill>
                  <pic:spPr>
                    <a:xfrm>
                      <a:off x="0" y="0"/>
                      <a:ext cx="5266055" cy="756285"/>
                    </a:xfrm>
                    <a:prstGeom prst="rect">
                      <a:avLst/>
                    </a:prstGeom>
                    <a:noFill/>
                    <a:ln>
                      <a:noFill/>
                    </a:ln>
                  </pic:spPr>
                </pic:pic>
              </a:graphicData>
            </a:graphic>
          </wp:inline>
        </w:drawing>
      </w:r>
    </w:p>
    <w:p w14:paraId="43C771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土壤类型分布断面图</w:t>
      </w:r>
    </w:p>
    <w:p w14:paraId="0871883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087788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（1）断面图断面选择合理，贯穿全域。</w:t>
      </w:r>
    </w:p>
    <w:p w14:paraId="17902D7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（2）断面图标注了关键地点名称、断面方向、土种名称，并且对应了地形地貌和成土母质。</w:t>
      </w:r>
    </w:p>
    <w:p w14:paraId="16FB70C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符合要求。</w:t>
      </w:r>
    </w:p>
    <w:p w14:paraId="540BFB6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图例制作与图面配置</w:t>
      </w:r>
    </w:p>
    <w:p w14:paraId="5FE8A88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DF510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（1）图例用土壤类型代码、分类名称、颜色和几何图形表示制图单元；包括地形、农业利用等内容，能够反应与土壤形成分布有关的自然因素和农业利用状况。</w:t>
      </w:r>
    </w:p>
    <w:p w14:paraId="33323A3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（2）图名按要求命名；制图时间、单位等文字说明位于图幅右下方/外轮廓右下方；图廓直线表示，外粗内细，有清晰可见的经纬度坐标注记。</w:t>
      </w:r>
    </w:p>
    <w:p w14:paraId="4B683C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审查结果：图廓直线表示，外粗内细，</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清晰可见的经纬度坐标注记</w:t>
      </w:r>
      <w:r>
        <w:rPr>
          <w:rFonts w:hint="eastAsia" w:ascii="宋体" w:hAnsi="宋体" w:eastAsia="宋体" w:cs="宋体"/>
          <w:b w:val="0"/>
          <w:sz w:val="24"/>
          <w:u w:val="none"/>
          <w:lang w:val="en-US" w:eastAsia="zh-CN"/>
        </w:rPr>
        <w:t>。</w:t>
      </w:r>
    </w:p>
    <w:p w14:paraId="79FBEEF6">
      <w:pPr>
        <w:keepNext/>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val="en-US" w:eastAsia="zh-CN"/>
        </w:rPr>
      </w:pPr>
      <w:r>
        <w:drawing>
          <wp:inline distT="0" distB="0" distL="114300" distR="114300">
            <wp:extent cx="5271770" cy="794385"/>
            <wp:effectExtent l="0" t="0" r="5080" b="571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3"/>
                    <a:stretch>
                      <a:fillRect/>
                    </a:stretch>
                  </pic:blipFill>
                  <pic:spPr>
                    <a:xfrm>
                      <a:off x="0" y="0"/>
                      <a:ext cx="5271770" cy="794385"/>
                    </a:xfrm>
                    <a:prstGeom prst="rect">
                      <a:avLst/>
                    </a:prstGeom>
                    <a:noFill/>
                    <a:ln>
                      <a:noFill/>
                    </a:ln>
                  </pic:spPr>
                </pic:pic>
              </a:graphicData>
            </a:graphic>
          </wp:inline>
        </w:drawing>
      </w:r>
    </w:p>
    <w:p w14:paraId="17A4B73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9" w:name="_Toc12952"/>
      <w:r>
        <w:rPr>
          <w:rFonts w:hint="eastAsia" w:ascii="黑体" w:hAnsi="黑体" w:eastAsia="黑体" w:cs="黑体"/>
          <w:b/>
          <w:sz w:val="30"/>
          <w:u w:val="none"/>
          <w:lang w:eastAsia="zh-CN"/>
        </w:rPr>
        <w:t>三、文本成果</w:t>
      </w:r>
      <w:bookmarkEnd w:id="9"/>
    </w:p>
    <w:p w14:paraId="1C0405B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0" w:name="_Toc9799"/>
      <w:r>
        <w:rPr>
          <w:rFonts w:hint="eastAsia" w:ascii="宋体" w:hAnsi="宋体" w:eastAsia="宋体" w:cs="宋体"/>
          <w:b/>
          <w:sz w:val="28"/>
          <w:u w:val="none"/>
          <w:lang w:eastAsia="zh-CN"/>
        </w:rPr>
        <w:t>（一）土壤类型制图技术报告</w:t>
      </w:r>
      <w:bookmarkEnd w:id="10"/>
    </w:p>
    <w:p w14:paraId="545941F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1F3984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5E0F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（1）目录规范：是否设有图、表目录。</w:t>
      </w:r>
    </w:p>
    <w:p w14:paraId="7A8602A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单位规范：计量单位是否全文统一；土壤分层单位是否全文统一为cm；土地面积单位为亩的数值是否保留到整数，单位为万亩时是否保留两位小数；土壤属性指标值是否保留1位小数（砂、粉、黏等质地类型指标值可保留到整数）。</w:t>
      </w:r>
    </w:p>
    <w:p w14:paraId="73751E2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标题规范：目录字体是否统一；标题级别设置是否正确；章节标题为小二号宋体加粗居中；一级标题为三号黑体；二级标题为四号宋体加粗；三级标题为小四号黑体；四级标题为小四号宋体加粗；标题段前段后各0.5倍行距。</w:t>
      </w:r>
    </w:p>
    <w:p w14:paraId="7AB25A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（4）制图规范：图名是否准确；图件的设计制作是否主题突出，清晰易读且美观大方。</w:t>
      </w:r>
    </w:p>
    <w:p w14:paraId="7D65CE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（5）制表规范：是否存在重复表格；表名是否准确。</w:t>
      </w:r>
    </w:p>
    <w:p w14:paraId="6C9344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（6）正文规范：正文是否为小四号宋体，图名、表名五号黑体；正文是否为单倍行距；全文涉及的数字及英文字母是否一律用Times New Roman字体。</w:t>
      </w:r>
    </w:p>
    <w:p w14:paraId="2DAD6F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（7）质地规范：土种命名时，是否采用质地5级；土体质地构型与命名是否准确。</w:t>
      </w:r>
    </w:p>
    <w:p w14:paraId="59DA36C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9CCF58E">
      <w:pPr>
        <w:keepNext/>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单位</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w:t>
      </w:r>
      <w:r>
        <w:rPr>
          <w:rFonts w:hint="eastAsia" w:ascii="宋体" w:hAnsi="宋体" w:eastAsia="宋体" w:cs="宋体"/>
          <w:b w:val="0"/>
          <w:sz w:val="24"/>
          <w:u w:val="none"/>
          <w:lang w:val="en-US" w:eastAsia="zh-CN"/>
        </w:rPr>
        <w:t>个别数值缺少面积单位；</w:t>
      </w:r>
      <w:r>
        <w:rPr>
          <w:rFonts w:hint="eastAsia" w:ascii="宋体" w:hAnsi="宋体" w:eastAsia="宋体" w:cs="宋体"/>
          <w:b w:val="0"/>
          <w:sz w:val="24"/>
          <w:u w:val="none"/>
          <w:lang w:eastAsia="zh-CN"/>
        </w:rPr>
        <w:t>计量单位全文</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统一，土地面积单位（</w:t>
      </w:r>
      <w:r>
        <w:rPr>
          <w:rFonts w:hint="eastAsia" w:ascii="宋体" w:hAnsi="宋体" w:eastAsia="宋体" w:cs="宋体"/>
          <w:b w:val="0"/>
          <w:sz w:val="24"/>
          <w:u w:val="none"/>
          <w:lang w:val="en-US" w:eastAsia="zh-CN"/>
        </w:rPr>
        <w:t>亩、公顷）</w:t>
      </w:r>
      <w:r>
        <w:rPr>
          <w:rFonts w:hint="eastAsia" w:ascii="宋体" w:hAnsi="宋体" w:eastAsia="宋体" w:cs="宋体"/>
          <w:b w:val="0"/>
          <w:sz w:val="24"/>
          <w:u w:val="none"/>
          <w:lang w:eastAsia="zh-CN"/>
        </w:rPr>
        <w:t>混用。</w:t>
      </w:r>
    </w:p>
    <w:p w14:paraId="054A3280">
      <w:pPr>
        <w:keepNext/>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pPr>
      <w:r>
        <w:drawing>
          <wp:inline distT="0" distB="0" distL="114300" distR="114300">
            <wp:extent cx="5269865" cy="810895"/>
            <wp:effectExtent l="0" t="0" r="6985" b="825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4"/>
                    <a:stretch>
                      <a:fillRect/>
                    </a:stretch>
                  </pic:blipFill>
                  <pic:spPr>
                    <a:xfrm>
                      <a:off x="0" y="0"/>
                      <a:ext cx="5269865" cy="810895"/>
                    </a:xfrm>
                    <a:prstGeom prst="rect">
                      <a:avLst/>
                    </a:prstGeom>
                    <a:noFill/>
                    <a:ln>
                      <a:noFill/>
                    </a:ln>
                  </pic:spPr>
                </pic:pic>
              </a:graphicData>
            </a:graphic>
          </wp:inline>
        </w:drawing>
      </w:r>
    </w:p>
    <w:p w14:paraId="21355E93">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w:t>
      </w:r>
      <w:r>
        <w:rPr>
          <w:rFonts w:hint="eastAsia" w:ascii="宋体" w:hAnsi="宋体" w:eastAsia="宋体" w:cs="宋体"/>
          <w:b w:val="0"/>
          <w:sz w:val="24"/>
          <w:u w:val="none"/>
          <w:lang w:eastAsia="zh-CN"/>
        </w:rPr>
        <w:t>）制表规范：是否存在重复</w:t>
      </w:r>
      <w:r>
        <w:rPr>
          <w:rFonts w:hint="eastAsia" w:ascii="宋体" w:hAnsi="宋体" w:eastAsia="宋体" w:cs="宋体"/>
          <w:b w:val="0"/>
          <w:sz w:val="24"/>
          <w:u w:val="none"/>
          <w:lang w:val="en-US" w:eastAsia="zh-CN"/>
        </w:rPr>
        <w:t>表名</w:t>
      </w:r>
      <w:r>
        <w:rPr>
          <w:rFonts w:hint="eastAsia" w:ascii="宋体" w:hAnsi="宋体" w:eastAsia="宋体" w:cs="宋体"/>
          <w:b w:val="0"/>
          <w:sz w:val="24"/>
          <w:u w:val="none"/>
          <w:lang w:eastAsia="zh-CN"/>
        </w:rPr>
        <w:t>。</w:t>
      </w:r>
    </w:p>
    <w:p w14:paraId="0D64580F">
      <w:pPr>
        <w:keepNext/>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pPr>
      <w:r>
        <w:drawing>
          <wp:inline distT="0" distB="0" distL="114300" distR="114300">
            <wp:extent cx="5270500" cy="406400"/>
            <wp:effectExtent l="0" t="0" r="6350" b="1270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5"/>
                    <a:stretch>
                      <a:fillRect/>
                    </a:stretch>
                  </pic:blipFill>
                  <pic:spPr>
                    <a:xfrm>
                      <a:off x="0" y="0"/>
                      <a:ext cx="5270500" cy="406400"/>
                    </a:xfrm>
                    <a:prstGeom prst="rect">
                      <a:avLst/>
                    </a:prstGeom>
                    <a:noFill/>
                    <a:ln>
                      <a:noFill/>
                    </a:ln>
                  </pic:spPr>
                </pic:pic>
              </a:graphicData>
            </a:graphic>
          </wp:inline>
        </w:drawing>
      </w:r>
    </w:p>
    <w:p w14:paraId="2C4DACC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6C31FE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678F4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（1）第一章 土壤分类：是否在土种级别进行了针对本县区的三普土壤分类和二普土壤分类（规则）对照；是否进行了本县区土壤系统分类与发生学分类的对照。</w:t>
      </w:r>
    </w:p>
    <w:p w14:paraId="194207D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（2）第二章 土壤类型与变化：是否对本县区的主要土壤类型、数量和分布进行了规律性总结；是否对土壤类型的变化进行了分门别类的详细阐述。</w:t>
      </w:r>
    </w:p>
    <w:p w14:paraId="27877E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（3）第三章 土壤类型图编制：</w:t>
      </w:r>
    </w:p>
    <w:p w14:paraId="2CBFC2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a. 是否以不同校核内容为分项，对室内校核结果进行量化和效用阐述；</w:t>
      </w:r>
    </w:p>
    <w:p w14:paraId="31196D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b. 是否在野外校核路线和校核点设计描述中回应了室内校核结果；</w:t>
      </w:r>
    </w:p>
    <w:p w14:paraId="3A04A2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c. 是否在推测制图部分给出虚点的选择原则和虚点对土壤类型代表性的证明示例；</w:t>
      </w:r>
    </w:p>
    <w:p w14:paraId="01EACFC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d. 是否在推测制图部分给出环境变量的重要性排序及合理性评述；</w:t>
      </w:r>
    </w:p>
    <w:p w14:paraId="430CBD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u w:val="none"/>
          <w:lang w:eastAsia="zh-CN"/>
        </w:rPr>
        <w:t xml:space="preserve">    e. 推测制图的土种空间分布图和不确定性分布图是否展示并选用了</w:t>
      </w:r>
      <w:r>
        <w:rPr>
          <w:rFonts w:hint="eastAsia" w:ascii="宋体" w:hAnsi="宋体" w:eastAsia="宋体" w:cs="宋体"/>
          <w:b w:val="0"/>
          <w:sz w:val="24"/>
          <w:highlight w:val="none"/>
          <w:u w:val="none"/>
          <w:lang w:eastAsia="zh-CN"/>
        </w:rPr>
        <w:t>正确的图例；</w:t>
      </w:r>
    </w:p>
    <w:p w14:paraId="2E7D8D1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f. 是否对推测制图的效果进行评述，且突出最优和最劣情况；</w:t>
      </w:r>
    </w:p>
    <w:p w14:paraId="33A30ED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g. 是否详述了土壤推测制图结果在土壤类型制图中的具体应用情况；</w:t>
      </w:r>
    </w:p>
    <w:p w14:paraId="59AFCA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h. 是否结合室内校核、野外校核和推测制图结果，明确给出土壤类型改变区提取和类型预判的依据；</w:t>
      </w:r>
    </w:p>
    <w:p w14:paraId="438D7F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i. 是否明确说明野外验证路线设计的思路和验证的量化结果；</w:t>
      </w:r>
    </w:p>
    <w:p w14:paraId="345BC9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j. 是否对本县区二普和三普土壤分布格局进行了定性、定量比较和变化原因分析。</w:t>
      </w:r>
    </w:p>
    <w:p w14:paraId="7675F56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7F67EC6">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（1）缺少</w:t>
      </w:r>
      <w:r>
        <w:rPr>
          <w:rFonts w:hint="eastAsia" w:ascii="宋体" w:hAnsi="宋体" w:eastAsia="宋体" w:cs="宋体"/>
          <w:b w:val="0"/>
          <w:sz w:val="24"/>
          <w:u w:val="none"/>
          <w:lang w:eastAsia="zh-CN"/>
        </w:rPr>
        <w:t>在推测制图部分给出虚点的选择原则和虚点对土壤类型代表性的证明示例。</w:t>
      </w:r>
    </w:p>
    <w:p w14:paraId="532B4A28">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（2）缺少</w:t>
      </w:r>
      <w:r>
        <w:rPr>
          <w:rFonts w:hint="eastAsia" w:ascii="宋体" w:hAnsi="宋体" w:eastAsia="宋体" w:cs="宋体"/>
          <w:b w:val="0"/>
          <w:sz w:val="24"/>
          <w:u w:val="none"/>
          <w:lang w:eastAsia="zh-CN"/>
        </w:rPr>
        <w:t>对推测制图的效果进行评述，且突出最优和最劣情况。</w:t>
      </w:r>
    </w:p>
    <w:p w14:paraId="0BF0E70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1" w:name="_Toc12692"/>
      <w:r>
        <w:rPr>
          <w:rFonts w:hint="eastAsia" w:ascii="宋体" w:hAnsi="宋体" w:eastAsia="宋体" w:cs="宋体"/>
          <w:b/>
          <w:sz w:val="28"/>
          <w:u w:val="none"/>
          <w:lang w:eastAsia="zh-CN"/>
        </w:rPr>
        <w:t>（二）土壤类型制图工作报告</w:t>
      </w:r>
      <w:bookmarkEnd w:id="11"/>
    </w:p>
    <w:p w14:paraId="7479768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487821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54A4E6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参照技术报告全文规范中的（1）至（7）条，检查工作报告是否符合相应格式要求。</w:t>
      </w:r>
    </w:p>
    <w:p w14:paraId="7282926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CCE3C4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w:t>
      </w:r>
      <w:r>
        <w:rPr>
          <w:rFonts w:hint="eastAsia" w:ascii="宋体" w:hAnsi="宋体" w:eastAsia="宋体" w:cs="宋体"/>
          <w:b w:val="0"/>
          <w:sz w:val="24"/>
          <w:u w:val="none"/>
          <w:lang w:eastAsia="zh-CN"/>
        </w:rPr>
        <w:t>）标题</w:t>
      </w:r>
      <w:r>
        <w:rPr>
          <w:rFonts w:hint="eastAsia" w:ascii="宋体" w:hAnsi="宋体" w:eastAsia="宋体" w:cs="宋体"/>
          <w:b w:val="0"/>
          <w:sz w:val="24"/>
          <w:u w:val="none"/>
          <w:lang w:val="en-US" w:eastAsia="zh-CN"/>
        </w:rPr>
        <w:t>字体不</w:t>
      </w:r>
      <w:r>
        <w:rPr>
          <w:rFonts w:hint="eastAsia" w:ascii="宋体" w:hAnsi="宋体" w:eastAsia="宋体" w:cs="宋体"/>
          <w:b w:val="0"/>
          <w:sz w:val="24"/>
          <w:u w:val="none"/>
          <w:lang w:eastAsia="zh-CN"/>
        </w:rPr>
        <w:t>规范。</w:t>
      </w:r>
    </w:p>
    <w:p w14:paraId="3340A043">
      <w:pPr>
        <w:keepNext/>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2910840" cy="791845"/>
            <wp:effectExtent l="0" t="0" r="3810" b="825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6"/>
                    <a:stretch>
                      <a:fillRect/>
                    </a:stretch>
                  </pic:blipFill>
                  <pic:spPr>
                    <a:xfrm>
                      <a:off x="0" y="0"/>
                      <a:ext cx="2910840" cy="791845"/>
                    </a:xfrm>
                    <a:prstGeom prst="rect">
                      <a:avLst/>
                    </a:prstGeom>
                    <a:noFill/>
                    <a:ln>
                      <a:noFill/>
                    </a:ln>
                  </pic:spPr>
                </pic:pic>
              </a:graphicData>
            </a:graphic>
          </wp:inline>
        </w:drawing>
      </w:r>
    </w:p>
    <w:p w14:paraId="59A2F661">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3）</w:t>
      </w:r>
      <w:r>
        <w:rPr>
          <w:rFonts w:hint="eastAsia" w:ascii="宋体" w:hAnsi="宋体" w:eastAsia="宋体" w:cs="宋体"/>
          <w:b w:val="0"/>
          <w:sz w:val="24"/>
          <w:u w:val="none"/>
          <w:lang w:eastAsia="zh-CN"/>
        </w:rPr>
        <w:t>正文规范：正文、图名、表名、行距、全文涉及的数字及英文字母</w:t>
      </w:r>
      <w:r>
        <w:rPr>
          <w:rFonts w:hint="eastAsia" w:ascii="宋体" w:hAnsi="宋体" w:eastAsia="宋体" w:cs="宋体"/>
          <w:b w:val="0"/>
          <w:sz w:val="24"/>
          <w:u w:val="none"/>
          <w:lang w:val="en-US" w:eastAsia="zh-CN"/>
        </w:rPr>
        <w:t>须按要求进行统一标准、避免低级错误。</w:t>
      </w:r>
    </w:p>
    <w:p w14:paraId="345C206E">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lang w:val="en-US" w:eastAsia="zh-CN"/>
        </w:rPr>
      </w:pPr>
      <w:r>
        <w:drawing>
          <wp:inline distT="0" distB="0" distL="114300" distR="114300">
            <wp:extent cx="3503295" cy="1548130"/>
            <wp:effectExtent l="0" t="0" r="1905" b="1397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7"/>
                    <a:stretch>
                      <a:fillRect/>
                    </a:stretch>
                  </pic:blipFill>
                  <pic:spPr>
                    <a:xfrm>
                      <a:off x="0" y="0"/>
                      <a:ext cx="3503295" cy="1548130"/>
                    </a:xfrm>
                    <a:prstGeom prst="rect">
                      <a:avLst/>
                    </a:prstGeom>
                    <a:noFill/>
                    <a:ln>
                      <a:noFill/>
                    </a:ln>
                  </pic:spPr>
                </pic:pic>
              </a:graphicData>
            </a:graphic>
          </wp:inline>
        </w:drawing>
      </w:r>
    </w:p>
    <w:p w14:paraId="645F772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5FFC1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56F593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（1）质量控制章节：</w:t>
      </w:r>
    </w:p>
    <w:p w14:paraId="3D1A306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（2）结论与建议：</w:t>
      </w:r>
    </w:p>
    <w:p w14:paraId="4CA1A17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结论与建议部分内容较单薄。</w:t>
      </w:r>
      <w:r>
        <w:rPr>
          <w:rFonts w:hint="default"/>
          <w:sz w:val="24"/>
          <w:szCs w:val="24"/>
          <w:lang w:val="en-US" w:eastAsia="zh-CN"/>
        </w:rPr>
        <w:br w:type="page"/>
      </w:r>
    </w:p>
    <w:p w14:paraId="3E74B82B">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第二部分：土壤属性图成果质控意见</w:t>
      </w:r>
    </w:p>
    <w:p w14:paraId="56F632EA">
      <w:pPr>
        <w:ind w:firstLine="1960" w:firstLineChars="700"/>
        <w:jc w:val="both"/>
        <w:rPr>
          <w:rFonts w:hint="eastAsia"/>
          <w:sz w:val="28"/>
          <w:szCs w:val="28"/>
          <w:lang w:val="en-US" w:eastAsia="zh-CN"/>
        </w:rPr>
      </w:pPr>
      <w:bookmarkStart w:id="12" w:name="_GoBack"/>
      <w:bookmarkEnd w:id="12"/>
      <w:r>
        <w:rPr>
          <w:rFonts w:hint="eastAsia"/>
          <w:sz w:val="28"/>
          <w:szCs w:val="28"/>
          <w:lang w:val="en-US" w:eastAsia="zh-CN"/>
        </w:rPr>
        <w:t>土壤属性图质控问题反馈——定州市</w:t>
      </w:r>
    </w:p>
    <w:p w14:paraId="3298E80A">
      <w:pPr>
        <w:numPr>
          <w:ilvl w:val="0"/>
          <w:numId w:val="9"/>
        </w:numPr>
        <w:spacing w:line="360" w:lineRule="auto"/>
        <w:jc w:val="both"/>
        <w:rPr>
          <w:rFonts w:hint="eastAsia"/>
          <w:b/>
          <w:bCs/>
          <w:sz w:val="24"/>
          <w:szCs w:val="24"/>
          <w:lang w:val="en-US" w:eastAsia="zh-CN"/>
        </w:rPr>
      </w:pPr>
      <w:r>
        <w:rPr>
          <w:rFonts w:hint="eastAsia"/>
          <w:b/>
          <w:bCs/>
          <w:sz w:val="24"/>
          <w:szCs w:val="24"/>
          <w:lang w:val="en-US" w:eastAsia="zh-CN"/>
        </w:rPr>
        <w:t>数据库成果</w:t>
      </w:r>
    </w:p>
    <w:p w14:paraId="3D29F99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(一)数据库结构：</w:t>
      </w:r>
    </w:p>
    <w:p w14:paraId="13AFDEDE">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1.按目录结构整理数据库，数据库内容是否完整。</w:t>
      </w:r>
    </w:p>
    <w:p w14:paraId="78F693F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缺少</w:t>
      </w:r>
      <w:r>
        <w:rPr>
          <w:rFonts w:hint="eastAsia" w:ascii="宋体" w:hAnsi="宋体" w:eastAsia="宋体" w:cs="宋体"/>
          <w:kern w:val="2"/>
          <w:sz w:val="24"/>
          <w:szCs w:val="24"/>
          <w:lang w:val="en-US" w:eastAsia="zh-CN" w:bidi="ar-SA"/>
        </w:rPr>
        <w:t>数字化成果</w:t>
      </w:r>
      <w:r>
        <w:rPr>
          <w:rFonts w:hint="eastAsia" w:ascii="Times New Roman" w:hAnsi="Times New Roman" w:eastAsia="宋体" w:cs="Times New Roman"/>
          <w:b w:val="0"/>
          <w:bCs w:val="0"/>
          <w:color w:val="FF0000"/>
          <w:sz w:val="24"/>
          <w:szCs w:val="24"/>
          <w:lang w:val="en-US" w:eastAsia="zh-CN"/>
        </w:rPr>
        <w:t>（未单独建立文件夹）</w:t>
      </w:r>
    </w:p>
    <w:p w14:paraId="4B3D2C47">
      <w:pPr>
        <w:numPr>
          <w:ilvl w:val="0"/>
          <w:numId w:val="0"/>
        </w:numPr>
        <w:spacing w:line="360" w:lineRule="auto"/>
        <w:jc w:val="both"/>
      </w:pPr>
      <w:r>
        <w:drawing>
          <wp:inline distT="0" distB="0" distL="114300" distR="114300">
            <wp:extent cx="4314190" cy="1758950"/>
            <wp:effectExtent l="0" t="0" r="3810" b="635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8"/>
                    <a:stretch>
                      <a:fillRect/>
                    </a:stretch>
                  </pic:blipFill>
                  <pic:spPr>
                    <a:xfrm>
                      <a:off x="0" y="0"/>
                      <a:ext cx="4314190" cy="1758950"/>
                    </a:xfrm>
                    <a:prstGeom prst="rect">
                      <a:avLst/>
                    </a:prstGeom>
                    <a:noFill/>
                    <a:ln>
                      <a:noFill/>
                    </a:ln>
                  </pic:spPr>
                </pic:pic>
              </a:graphicData>
            </a:graphic>
          </wp:inline>
        </w:drawing>
      </w:r>
    </w:p>
    <w:p w14:paraId="599159E7">
      <w:pPr>
        <w:numPr>
          <w:ilvl w:val="0"/>
          <w:numId w:val="0"/>
        </w:numPr>
        <w:spacing w:line="360" w:lineRule="auto"/>
        <w:jc w:val="both"/>
      </w:pPr>
      <w:r>
        <w:drawing>
          <wp:inline distT="0" distB="0" distL="114300" distR="114300">
            <wp:extent cx="3524250" cy="2515235"/>
            <wp:effectExtent l="0" t="0" r="6350" b="1206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9"/>
                    <a:stretch>
                      <a:fillRect/>
                    </a:stretch>
                  </pic:blipFill>
                  <pic:spPr>
                    <a:xfrm>
                      <a:off x="0" y="0"/>
                      <a:ext cx="3524250" cy="2515235"/>
                    </a:xfrm>
                    <a:prstGeom prst="rect">
                      <a:avLst/>
                    </a:prstGeom>
                    <a:noFill/>
                    <a:ln>
                      <a:noFill/>
                    </a:ln>
                  </pic:spPr>
                </pic:pic>
              </a:graphicData>
            </a:graphic>
          </wp:inline>
        </w:drawing>
      </w:r>
    </w:p>
    <w:p w14:paraId="1AC97D1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缺失元数据</w:t>
      </w:r>
    </w:p>
    <w:p w14:paraId="4B128010">
      <w:pPr>
        <w:numPr>
          <w:ilvl w:val="0"/>
          <w:numId w:val="0"/>
        </w:numPr>
        <w:spacing w:line="360" w:lineRule="auto"/>
        <w:jc w:val="both"/>
        <w:rPr>
          <w:rFonts w:hint="default"/>
          <w:lang w:val="en-US" w:eastAsia="zh-CN"/>
        </w:rPr>
      </w:pPr>
      <w:r>
        <w:drawing>
          <wp:inline distT="0" distB="0" distL="114300" distR="114300">
            <wp:extent cx="5274310" cy="2447925"/>
            <wp:effectExtent l="0" t="0" r="8890" b="3175"/>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20"/>
                    <a:stretch>
                      <a:fillRect/>
                    </a:stretch>
                  </pic:blipFill>
                  <pic:spPr>
                    <a:xfrm>
                      <a:off x="0" y="0"/>
                      <a:ext cx="5274310" cy="2447925"/>
                    </a:xfrm>
                    <a:prstGeom prst="rect">
                      <a:avLst/>
                    </a:prstGeom>
                    <a:noFill/>
                    <a:ln>
                      <a:noFill/>
                    </a:ln>
                  </pic:spPr>
                </pic:pic>
              </a:graphicData>
            </a:graphic>
          </wp:inline>
        </w:drawing>
      </w:r>
    </w:p>
    <w:p w14:paraId="3F00CAF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(二)</w:t>
      </w:r>
      <w:r>
        <w:rPr>
          <w:rFonts w:hint="default" w:ascii="Times New Roman" w:hAnsi="Times New Roman" w:eastAsia="宋体" w:cs="Times New Roman"/>
          <w:b w:val="0"/>
          <w:bCs w:val="0"/>
          <w:sz w:val="24"/>
          <w:szCs w:val="24"/>
          <w:lang w:val="en-US" w:eastAsia="zh-CN"/>
        </w:rPr>
        <w:t>提交成果的名称是否规范</w:t>
      </w:r>
      <w:r>
        <w:rPr>
          <w:rFonts w:hint="eastAsia" w:ascii="Times New Roman" w:hAnsi="Times New Roman" w:eastAsia="宋体" w:cs="Times New Roman"/>
          <w:b w:val="0"/>
          <w:bCs w:val="0"/>
          <w:sz w:val="24"/>
          <w:szCs w:val="24"/>
          <w:lang w:val="en-US" w:eastAsia="zh-CN"/>
        </w:rPr>
        <w:t>：</w:t>
      </w:r>
    </w:p>
    <w:p w14:paraId="28EAD75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2.提交的成果与目录结构中的文件名称要求是否一致。</w:t>
      </w:r>
    </w:p>
    <w:p w14:paraId="51E591A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文字报告未按规范要求命名，标准如下：</w:t>
      </w:r>
    </w:p>
    <w:p w14:paraId="43E29B33">
      <w:pPr>
        <w:widowControl w:val="0"/>
        <w:numPr>
          <w:ilvl w:val="0"/>
          <w:numId w:val="0"/>
        </w:numPr>
        <w:spacing w:line="360" w:lineRule="auto"/>
        <w:ind w:left="0" w:leftChars="0" w:firstLine="0" w:firstLineChars="0"/>
        <w:jc w:val="both"/>
        <w:rPr>
          <w:rFonts w:hint="default" w:ascii="Times New Roman" w:hAnsi="Times New Roman" w:eastAsia="宋体" w:cs="Times New Roman"/>
          <w:b w:val="0"/>
          <w:bCs w:val="0"/>
          <w:kern w:val="2"/>
          <w:sz w:val="24"/>
          <w:szCs w:val="24"/>
          <w:lang w:val="en-US" w:eastAsia="zh-CN" w:bidi="ar-SA"/>
        </w:rPr>
      </w:pPr>
      <w:r>
        <w:drawing>
          <wp:inline distT="0" distB="0" distL="114300" distR="114300">
            <wp:extent cx="5270500" cy="734695"/>
            <wp:effectExtent l="0" t="0" r="0" b="1905"/>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21"/>
                    <a:stretch>
                      <a:fillRect/>
                    </a:stretch>
                  </pic:blipFill>
                  <pic:spPr>
                    <a:xfrm>
                      <a:off x="0" y="0"/>
                      <a:ext cx="5270500" cy="734695"/>
                    </a:xfrm>
                    <a:prstGeom prst="rect">
                      <a:avLst/>
                    </a:prstGeom>
                    <a:noFill/>
                    <a:ln>
                      <a:noFill/>
                    </a:ln>
                  </pic:spPr>
                </pic:pic>
              </a:graphicData>
            </a:graphic>
          </wp:inline>
        </w:drawing>
      </w:r>
    </w:p>
    <w:p w14:paraId="71F3E073">
      <w:pPr>
        <w:numPr>
          <w:ilvl w:val="0"/>
          <w:numId w:val="9"/>
        </w:numPr>
        <w:spacing w:line="360" w:lineRule="auto"/>
        <w:jc w:val="both"/>
        <w:rPr>
          <w:rFonts w:hint="eastAsia"/>
          <w:b/>
          <w:bCs/>
          <w:sz w:val="24"/>
          <w:szCs w:val="24"/>
          <w:lang w:val="en-US" w:eastAsia="zh-CN"/>
        </w:rPr>
      </w:pPr>
      <w:r>
        <w:rPr>
          <w:rFonts w:hint="eastAsia"/>
          <w:b/>
          <w:bCs/>
          <w:sz w:val="24"/>
          <w:szCs w:val="24"/>
          <w:lang w:val="en-US" w:eastAsia="zh-CN"/>
        </w:rPr>
        <w:t>制图过程</w:t>
      </w:r>
    </w:p>
    <w:p w14:paraId="22589CF4">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(一)三普样点</w:t>
      </w:r>
    </w:p>
    <w:p w14:paraId="595566F1">
      <w:pPr>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BFBFBF" w:themeColor="background1" w:themeShade="BF"/>
          <w:sz w:val="24"/>
          <w:szCs w:val="24"/>
          <w:lang w:val="en-US" w:eastAsia="zh-CN"/>
        </w:rPr>
        <w:t>1</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.数据库中提交入模属性样点矢量数据（shp格式）</w:t>
      </w:r>
    </w:p>
    <w:p w14:paraId="5EB9367D">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是</w:t>
      </w:r>
    </w:p>
    <w:p w14:paraId="337D3911">
      <w:pPr>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2.样点经纬度是否为定位经纬度、CGCS2000坐标系。</w:t>
      </w:r>
    </w:p>
    <w:p w14:paraId="0FFD61B8">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是</w:t>
      </w:r>
    </w:p>
    <w:p w14:paraId="5253FCEB">
      <w:pPr>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3.剖面样点土壤属性值是否根据土层厚度进行加权平均处理（0-20cm）</w:t>
      </w:r>
    </w:p>
    <w:p w14:paraId="6FB1DE6D">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报告中未提及，数据库中无法核实，须在报告中指出该项工作。</w:t>
      </w:r>
    </w:p>
    <w:p w14:paraId="53608D27">
      <w:pPr>
        <w:numPr>
          <w:ilvl w:val="0"/>
          <w:numId w:val="0"/>
        </w:numPr>
        <w:spacing w:line="360" w:lineRule="auto"/>
        <w:jc w:val="both"/>
        <w:rPr>
          <w:rFonts w:hint="default" w:ascii="Times New Roman" w:hAnsi="Times New Roman" w:eastAsia="宋体" w:cs="Times New Roman"/>
          <w:b w:val="0"/>
          <w:bCs w:val="0"/>
          <w:sz w:val="24"/>
          <w:szCs w:val="24"/>
          <w:highlight w:val="none"/>
          <w:lang w:val="en-US" w:eastAsia="zh-CN"/>
        </w:rPr>
      </w:pPr>
      <w:r>
        <w:rPr>
          <w:rFonts w:hint="default" w:ascii="Times New Roman" w:hAnsi="Times New Roman" w:eastAsia="宋体" w:cs="Times New Roman"/>
          <w:b w:val="0"/>
          <w:bCs w:val="0"/>
          <w:sz w:val="24"/>
          <w:szCs w:val="24"/>
          <w:highlight w:val="none"/>
          <w:lang w:val="en-US" w:eastAsia="zh-CN"/>
        </w:rPr>
        <w:t>4.入模样点是否针对每个土壤属性指标划分训练集与验证集。</w:t>
      </w:r>
    </w:p>
    <w:p w14:paraId="5748C62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default" w:ascii="Times New Roman" w:hAnsi="Times New Roman" w:eastAsia="宋体" w:cs="Times New Roman"/>
          <w:b w:val="0"/>
          <w:bCs w:val="0"/>
          <w:sz w:val="24"/>
          <w:szCs w:val="24"/>
          <w:highlight w:val="none"/>
          <w:lang w:val="en-US" w:eastAsia="zh-CN"/>
        </w:rPr>
        <w:t>是</w:t>
      </w:r>
      <w:r>
        <w:rPr>
          <w:rFonts w:hint="eastAsia" w:ascii="Times New Roman" w:hAnsi="Times New Roman" w:eastAsia="宋体" w:cs="Times New Roman"/>
          <w:b w:val="0"/>
          <w:bCs w:val="0"/>
          <w:sz w:val="24"/>
          <w:szCs w:val="24"/>
          <w:highlight w:val="none"/>
          <w:lang w:val="en-US" w:eastAsia="zh-CN"/>
        </w:rPr>
        <w:t>。训练集与验证集比例与文字报告中的数据一致。</w:t>
      </w:r>
    </w:p>
    <w:p w14:paraId="24037C2E">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lang w:val="en-US" w:eastAsia="zh-CN"/>
        </w:rPr>
      </w:pPr>
      <w:r>
        <w:rPr>
          <w:rFonts w:hint="default" w:ascii="Times New Roman" w:hAnsi="Times New Roman" w:eastAsia="宋体" w:cs="Times New Roman"/>
          <w:b w:val="0"/>
          <w:bCs w:val="0"/>
          <w:color w:val="FF0000"/>
          <w:sz w:val="24"/>
          <w:szCs w:val="24"/>
          <w:lang w:val="en-US" w:eastAsia="zh-CN"/>
        </w:rPr>
        <w:t>在入模之前需要对属性数据进行正态分布检验，提交数据中</w:t>
      </w:r>
      <w:r>
        <w:rPr>
          <w:rFonts w:hint="eastAsia" w:ascii="Times New Roman" w:hAnsi="Times New Roman" w:eastAsia="宋体" w:cs="Times New Roman"/>
          <w:b w:val="0"/>
          <w:bCs w:val="0"/>
          <w:color w:val="FF0000"/>
          <w:sz w:val="24"/>
          <w:szCs w:val="24"/>
          <w:lang w:val="en-US" w:eastAsia="zh-CN"/>
        </w:rPr>
        <w:t>不</w:t>
      </w:r>
      <w:r>
        <w:rPr>
          <w:rFonts w:hint="default" w:ascii="Times New Roman" w:hAnsi="Times New Roman" w:eastAsia="宋体" w:cs="Times New Roman"/>
          <w:b w:val="0"/>
          <w:bCs w:val="0"/>
          <w:color w:val="FF0000"/>
          <w:sz w:val="24"/>
          <w:szCs w:val="24"/>
          <w:lang w:val="en-US" w:eastAsia="zh-CN"/>
        </w:rPr>
        <w:t>存在正态性检验结果数据。</w:t>
      </w:r>
    </w:p>
    <w:p w14:paraId="3AA737F6">
      <w:pPr>
        <w:keepNext w:val="0"/>
        <w:keepLines w:val="0"/>
        <w:pageBreakBefore w:val="0"/>
        <w:widowControl w:val="0"/>
        <w:kinsoku/>
        <w:wordWrap/>
        <w:overflowPunct/>
        <w:topLinePunct w:val="0"/>
        <w:autoSpaceDE/>
        <w:autoSpaceDN/>
        <w:bidi w:val="0"/>
        <w:adjustRightInd/>
        <w:snapToGrid/>
        <w:spacing w:before="0" w:after="0" w:line="360" w:lineRule="auto"/>
        <w:jc w:val="both"/>
        <w:textAlignment w:val="auto"/>
        <w:rPr>
          <w:rFonts w:ascii="宋体" w:hAnsi="宋体" w:eastAsia="宋体" w:cs="宋体"/>
          <w:color w:val="auto"/>
          <w:sz w:val="24"/>
          <w:szCs w:val="24"/>
        </w:rPr>
      </w:pPr>
      <w:r>
        <w:rPr>
          <w:rFonts w:hint="eastAsia" w:ascii="宋体" w:hAnsi="宋体" w:eastAsia="宋体" w:cs="宋体"/>
          <w:color w:val="auto"/>
          <w:sz w:val="24"/>
          <w:szCs w:val="24"/>
          <w:lang w:val="en-US" w:eastAsia="zh-CN"/>
        </w:rPr>
        <w:t>5.</w:t>
      </w:r>
      <w:r>
        <w:rPr>
          <w:rFonts w:ascii="宋体" w:hAnsi="宋体" w:eastAsia="宋体" w:cs="宋体"/>
          <w:color w:val="auto"/>
          <w:sz w:val="24"/>
          <w:szCs w:val="24"/>
        </w:rPr>
        <w:t>数据库中砂粒，粉粒，黏粒的栅格计算器相加</w:t>
      </w:r>
      <w:r>
        <w:rPr>
          <w:rFonts w:hint="eastAsia" w:ascii="宋体" w:hAnsi="宋体" w:eastAsia="宋体" w:cs="宋体"/>
          <w:color w:val="auto"/>
          <w:sz w:val="24"/>
          <w:szCs w:val="24"/>
          <w:lang w:val="en-US" w:eastAsia="zh-CN"/>
        </w:rPr>
        <w:t>是否</w:t>
      </w:r>
      <w:r>
        <w:rPr>
          <w:rFonts w:ascii="宋体" w:hAnsi="宋体" w:eastAsia="宋体" w:cs="宋体"/>
          <w:color w:val="auto"/>
          <w:sz w:val="24"/>
          <w:szCs w:val="24"/>
        </w:rPr>
        <w:t>100%</w:t>
      </w:r>
    </w:p>
    <w:p w14:paraId="21C32F04">
      <w:pPr>
        <w:numPr>
          <w:ilvl w:val="0"/>
          <w:numId w:val="0"/>
        </w:numPr>
        <w:spacing w:line="360" w:lineRule="auto"/>
        <w:ind w:firstLine="480" w:firstLineChars="200"/>
        <w:jc w:val="both"/>
        <w:rPr>
          <w:rFonts w:hint="default" w:ascii="Times New Roman" w:hAnsi="Times New Roman" w:eastAsia="宋体" w:cs="Times New Roman"/>
          <w:b w:val="0"/>
          <w:bCs w:val="0"/>
          <w:color w:val="auto"/>
          <w:sz w:val="24"/>
          <w:szCs w:val="24"/>
          <w:lang w:val="en-US" w:eastAsia="zh-CN"/>
        </w:rPr>
      </w:pPr>
      <w:r>
        <w:rPr>
          <w:rFonts w:hint="eastAsia" w:ascii="Times New Roman" w:hAnsi="Times New Roman" w:eastAsia="宋体" w:cs="Times New Roman"/>
          <w:b w:val="0"/>
          <w:bCs w:val="0"/>
          <w:color w:val="auto"/>
          <w:sz w:val="24"/>
          <w:szCs w:val="24"/>
          <w:lang w:val="en-US" w:eastAsia="zh-CN"/>
        </w:rPr>
        <w:t>不符合</w:t>
      </w:r>
    </w:p>
    <w:p w14:paraId="0C9ECBCD">
      <w:pPr>
        <w:numPr>
          <w:ilvl w:val="0"/>
          <w:numId w:val="0"/>
        </w:numPr>
        <w:spacing w:line="360" w:lineRule="auto"/>
        <w:ind w:firstLine="420" w:firstLineChars="200"/>
        <w:jc w:val="both"/>
        <w:rPr>
          <w:rFonts w:hint="default" w:ascii="Times New Roman" w:hAnsi="Times New Roman" w:eastAsia="宋体" w:cs="Times New Roman"/>
          <w:b w:val="0"/>
          <w:bCs w:val="0"/>
          <w:color w:val="FF0000"/>
          <w:sz w:val="24"/>
          <w:szCs w:val="24"/>
          <w:lang w:val="en-US" w:eastAsia="zh-CN"/>
        </w:rPr>
      </w:pPr>
      <w:r>
        <w:drawing>
          <wp:inline distT="0" distB="0" distL="114300" distR="114300">
            <wp:extent cx="4457700" cy="1923415"/>
            <wp:effectExtent l="0" t="0" r="0" b="698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2"/>
                    <a:stretch>
                      <a:fillRect/>
                    </a:stretch>
                  </pic:blipFill>
                  <pic:spPr>
                    <a:xfrm>
                      <a:off x="0" y="0"/>
                      <a:ext cx="4457700" cy="1923415"/>
                    </a:xfrm>
                    <a:prstGeom prst="rect">
                      <a:avLst/>
                    </a:prstGeom>
                    <a:noFill/>
                    <a:ln>
                      <a:noFill/>
                    </a:ln>
                  </pic:spPr>
                </pic:pic>
              </a:graphicData>
            </a:graphic>
          </wp:inline>
        </w:drawing>
      </w:r>
    </w:p>
    <w:p w14:paraId="0BDA622C">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(二)历史样点</w:t>
      </w:r>
    </w:p>
    <w:p w14:paraId="283105EA">
      <w:pPr>
        <w:widowControl w:val="0"/>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1.要求土壤二普、测土配方施肥（采集时间应为2008-2010年）、耕地地力监测样点数据，三者至少有一个。</w:t>
      </w:r>
    </w:p>
    <w:p w14:paraId="3DE448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缺少历史样点数据</w:t>
      </w:r>
    </w:p>
    <w:p w14:paraId="009D37A6">
      <w:pPr>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2.是否将历史样点数据转为矢量（shp）格式并生成相应的栅格数据（Geotiff）</w:t>
      </w:r>
    </w:p>
    <w:p w14:paraId="549227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缺少历史样点数据</w:t>
      </w:r>
    </w:p>
    <w:p w14:paraId="1D8EDC6C">
      <w:pPr>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3.土壤pH、有机质、全氮、有效磷、速效钾等关键土壤属性的历史样点数据和栅格数据是否完整准确。</w:t>
      </w:r>
    </w:p>
    <w:p w14:paraId="69B4A2A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缺少历史样点数据</w:t>
      </w:r>
    </w:p>
    <w:p w14:paraId="5FD117C8">
      <w:pPr>
        <w:numPr>
          <w:ilvl w:val="0"/>
          <w:numId w:val="0"/>
        </w:numPr>
        <w:spacing w:line="360" w:lineRule="auto"/>
        <w:jc w:val="both"/>
        <w:rPr>
          <w:rFonts w:hint="eastAsia" w:ascii="Times New Roman" w:eastAsia="宋体"/>
          <w:b/>
          <w:bCs/>
          <w:color w:val="000000" w:themeColor="text1"/>
          <w:sz w:val="24"/>
          <w:szCs w:val="24"/>
          <w:lang w:val="en-US" w:eastAsia="zh-CN"/>
          <w14:textFill>
            <w14:solidFill>
              <w14:schemeClr w14:val="tx1"/>
            </w14:solidFill>
          </w14:textFill>
        </w:rPr>
      </w:pPr>
      <w:r>
        <w:rPr>
          <w:rFonts w:hint="eastAsia" w:ascii="Times New Roman" w:eastAsia="宋体"/>
          <w:b/>
          <w:bCs/>
          <w:color w:val="000000" w:themeColor="text1"/>
          <w:sz w:val="24"/>
          <w:szCs w:val="24"/>
          <w:lang w:val="en-US" w:eastAsia="zh-CN"/>
          <w14:textFill>
            <w14:solidFill>
              <w14:schemeClr w14:val="tx1"/>
            </w14:solidFill>
          </w14:textFill>
        </w:rPr>
        <w:t>(三)环境变量</w:t>
      </w:r>
    </w:p>
    <w:p w14:paraId="11A25CEB">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1.坐标系需要统一，统一使用三度带且所有环境变量在同一分带下</w:t>
      </w:r>
    </w:p>
    <w:p w14:paraId="7DB9A65E">
      <w:pPr>
        <w:numPr>
          <w:ilvl w:val="0"/>
          <w:numId w:val="0"/>
        </w:numPr>
        <w:spacing w:line="360" w:lineRule="auto"/>
        <w:ind w:firstLine="480" w:firstLineChars="200"/>
        <w:jc w:val="both"/>
        <w:rPr>
          <w:rFonts w:hint="default" w:ascii="宋体" w:hAnsi="宋体" w:eastAsia="宋体" w:cs="宋体"/>
          <w:color w:val="000000" w:themeColor="text1"/>
          <w:sz w:val="24"/>
          <w:szCs w:val="24"/>
          <w:lang w:val="en-US" w:eastAsia="zh-CN"/>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否。环境变量采用CGCS2000高斯—克吕格六度带第20带投影，而训练集、测试集、属性成果栅格及成果数据库采用CGCS2000高斯—克吕格三度带第38带投影。环境变量未按要求统一转换为三度带，坐标系分带不一致。</w:t>
      </w:r>
    </w:p>
    <w:p w14:paraId="2AD39696">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2.审核入模环境变量图层数据是否为栅格（Geotiff）格式</w:t>
      </w:r>
    </w:p>
    <w:p w14:paraId="112FF665">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未见问题。</w:t>
      </w:r>
    </w:p>
    <w:p w14:paraId="7B4EB469">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3.坐标与投影是否为CGCS2000坐标系和高斯-克吕格投影，空间分辨率是否统一为30米。</w:t>
      </w:r>
    </w:p>
    <w:p w14:paraId="664CC56B">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否。环境变量采用CGCS2000高斯—克吕格六度带第20带投影，而训练集、测试集、属性成果栅格及成果数据库采用CGCS2000高斯—克吕格三度带第38带投影。</w:t>
      </w:r>
    </w:p>
    <w:p w14:paraId="144F1746">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4.各个环境变量图层在空间上是否严格匹配（栅格四至一一对应、像素空间完全吻合）</w:t>
      </w:r>
    </w:p>
    <w:p w14:paraId="58BE53C8">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未发现问题</w:t>
      </w:r>
    </w:p>
    <w:p w14:paraId="52EE9C6E">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5.环境变量图层是否按照国土三调县级行政边界（2023年度）进行剪裁处理</w:t>
      </w:r>
    </w:p>
    <w:p w14:paraId="1CDDDCA2">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未发现问题</w:t>
      </w:r>
    </w:p>
    <w:p w14:paraId="0D8893B2">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6.环境变量制备的年限需要在报告中说明</w:t>
      </w:r>
    </w:p>
    <w:p w14:paraId="460E5E10">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存在，但是数据精度要统一为30m</w:t>
      </w:r>
    </w:p>
    <w:p w14:paraId="3227C016">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rPr>
          <w:color w:val="AFABAB" w:themeColor="background2" w:themeShade="BF"/>
        </w:rPr>
        <w:drawing>
          <wp:inline distT="0" distB="0" distL="114300" distR="114300">
            <wp:extent cx="4343400" cy="2348865"/>
            <wp:effectExtent l="0" t="0" r="0" b="635"/>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23"/>
                    <a:stretch>
                      <a:fillRect/>
                    </a:stretch>
                  </pic:blipFill>
                  <pic:spPr>
                    <a:xfrm>
                      <a:off x="0" y="0"/>
                      <a:ext cx="4343400" cy="2348865"/>
                    </a:xfrm>
                    <a:prstGeom prst="rect">
                      <a:avLst/>
                    </a:prstGeom>
                    <a:noFill/>
                    <a:ln>
                      <a:noFill/>
                    </a:ln>
                  </pic:spPr>
                </pic:pic>
              </a:graphicData>
            </a:graphic>
          </wp:inline>
        </w:drawing>
      </w:r>
    </w:p>
    <w:p w14:paraId="5DE4ACF4">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7.土地利用这一环境变量图层是否使用2023年度国土变更调查数据.</w:t>
      </w:r>
    </w:p>
    <w:p w14:paraId="43CB5301">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缺少土地利用数据</w:t>
      </w:r>
    </w:p>
    <w:p w14:paraId="42FCAF83">
      <w:pPr>
        <w:numPr>
          <w:ilvl w:val="0"/>
          <w:numId w:val="0"/>
        </w:numPr>
        <w:spacing w:line="360" w:lineRule="auto"/>
        <w:jc w:val="both"/>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t>(四)环境变量制备规范要求</w:t>
      </w:r>
    </w:p>
    <w:p w14:paraId="23377696">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1.审核环境变量类型是否包括主要成土要素（气候、母质、地形、植被、土地利用）</w:t>
      </w:r>
    </w:p>
    <w:p w14:paraId="1A878033">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数据库中缺失土地利用数据</w:t>
      </w:r>
    </w:p>
    <w:p w14:paraId="3FD3A1DC">
      <w:pPr>
        <w:numPr>
          <w:ilvl w:val="0"/>
          <w:numId w:val="0"/>
        </w:numPr>
        <w:spacing w:line="360" w:lineRule="auto"/>
        <w:ind w:firstLine="42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3634105" cy="2444115"/>
            <wp:effectExtent l="0" t="0" r="10795" b="6985"/>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24"/>
                    <a:stretch>
                      <a:fillRect/>
                    </a:stretch>
                  </pic:blipFill>
                  <pic:spPr>
                    <a:xfrm>
                      <a:off x="0" y="0"/>
                      <a:ext cx="3634105" cy="2444115"/>
                    </a:xfrm>
                    <a:prstGeom prst="rect">
                      <a:avLst/>
                    </a:prstGeom>
                    <a:noFill/>
                    <a:ln>
                      <a:noFill/>
                    </a:ln>
                  </pic:spPr>
                </pic:pic>
              </a:graphicData>
            </a:graphic>
          </wp:inline>
        </w:drawing>
      </w:r>
    </w:p>
    <w:p w14:paraId="2771BDAE">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2.</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审核气候、植被环境变量的制备是否采用长时间序列数据</w:t>
      </w:r>
    </w:p>
    <w:p w14:paraId="0A1B75C3">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气候变量应当是多年均值。气温降水应当是近20年均值，植被数据（NDVI、叶面积指数等）应当是5-10年数据。部分缺失年份，逐一核实修改问题。</w:t>
      </w:r>
    </w:p>
    <w:p w14:paraId="35A0CB5A">
      <w:pPr>
        <w:numPr>
          <w:ilvl w:val="0"/>
          <w:numId w:val="0"/>
        </w:numPr>
        <w:spacing w:line="360" w:lineRule="auto"/>
        <w:ind w:firstLine="42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4343400" cy="2348865"/>
            <wp:effectExtent l="0" t="0" r="0" b="635"/>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23"/>
                    <a:stretch>
                      <a:fillRect/>
                    </a:stretch>
                  </pic:blipFill>
                  <pic:spPr>
                    <a:xfrm>
                      <a:off x="0" y="0"/>
                      <a:ext cx="4343400" cy="2348865"/>
                    </a:xfrm>
                    <a:prstGeom prst="rect">
                      <a:avLst/>
                    </a:prstGeom>
                    <a:noFill/>
                    <a:ln>
                      <a:noFill/>
                    </a:ln>
                  </pic:spPr>
                </pic:pic>
              </a:graphicData>
            </a:graphic>
          </wp:inline>
        </w:drawing>
      </w:r>
    </w:p>
    <w:p w14:paraId="74405793">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3.审核土地利用现状图、土壤类型图、母岩母质图等类别型变量是否进行数值化处理。</w:t>
      </w:r>
    </w:p>
    <w:p w14:paraId="41A9DE78">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未处理</w:t>
      </w:r>
    </w:p>
    <w:p w14:paraId="78A72792">
      <w:pPr>
        <w:numPr>
          <w:ilvl w:val="0"/>
          <w:numId w:val="1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环境变量图层数据的空间分布是否准确合理，是否存在明显的条带状或斑点噪声</w:t>
      </w:r>
    </w:p>
    <w:p w14:paraId="12EC922B">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类似问题请逐一核实修改。</w:t>
      </w:r>
    </w:p>
    <w:p w14:paraId="35E6B16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 xml:space="preserve">  </w:t>
      </w:r>
      <w:r>
        <w:drawing>
          <wp:inline distT="0" distB="0" distL="114300" distR="114300">
            <wp:extent cx="4549140" cy="3279140"/>
            <wp:effectExtent l="0" t="0" r="10160" b="10160"/>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25"/>
                    <a:stretch>
                      <a:fillRect/>
                    </a:stretch>
                  </pic:blipFill>
                  <pic:spPr>
                    <a:xfrm>
                      <a:off x="0" y="0"/>
                      <a:ext cx="4549140" cy="3279140"/>
                    </a:xfrm>
                    <a:prstGeom prst="rect">
                      <a:avLst/>
                    </a:prstGeom>
                    <a:noFill/>
                    <a:ln>
                      <a:noFill/>
                    </a:ln>
                  </pic:spPr>
                </pic:pic>
              </a:graphicData>
            </a:graphic>
          </wp:inline>
        </w:drawing>
      </w:r>
    </w:p>
    <w:p w14:paraId="7A445F56">
      <w:pPr>
        <w:numPr>
          <w:ilvl w:val="0"/>
          <w:numId w:val="0"/>
        </w:numPr>
        <w:spacing w:line="360" w:lineRule="auto"/>
        <w:jc w:val="both"/>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t>(五)入模环境变量的选取合理性</w:t>
      </w:r>
    </w:p>
    <w:p w14:paraId="256B53F6">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1.速磷速钾的环境变量重要性排序中将自然因素排在前面，气候、植被不应对该两个属性影响因素大</w:t>
      </w:r>
    </w:p>
    <w:p w14:paraId="1639D808">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报告中未见针对不同属性详细的重要性排序</w:t>
      </w:r>
    </w:p>
    <w:p w14:paraId="75C0EF0A">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2.入模环境变量存在共线性、用土壤属性作为环境变量</w:t>
      </w:r>
    </w:p>
    <w:p w14:paraId="2267A3D6">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查看报告中存在共线性分析，相关性分析，</w:t>
      </w:r>
    </w:p>
    <w:p w14:paraId="61FB720C">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环境变量的选取中不存在使用已经预测的土壤属性作为环境变量的情况。</w:t>
      </w:r>
    </w:p>
    <w:p w14:paraId="525626EA">
      <w:pPr>
        <w:numPr>
          <w:ilvl w:val="0"/>
          <w:numId w:val="0"/>
        </w:numPr>
        <w:spacing w:line="360" w:lineRule="auto"/>
        <w:jc w:val="both"/>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t>(六)制图模型或方法选择合理</w:t>
      </w:r>
    </w:p>
    <w:p w14:paraId="41ECB1E3">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1.山区选取普通克里格或全域采用IDW进行属性制图.</w:t>
      </w:r>
    </w:p>
    <w:p w14:paraId="1534C03D">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未发现问题</w:t>
      </w:r>
    </w:p>
    <w:p w14:paraId="34ABB7AF">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2.耕层厚度采用以点带面、机器学习方法进行制图</w:t>
      </w:r>
    </w:p>
    <w:p w14:paraId="5FCD4B82">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耕层厚度的预测是采用以点带面，赋值预测，符合。</w:t>
      </w:r>
    </w:p>
    <w:p w14:paraId="4C7BC518">
      <w:pPr>
        <w:numPr>
          <w:ilvl w:val="0"/>
          <w:numId w:val="0"/>
        </w:numPr>
        <w:spacing w:line="360" w:lineRule="auto"/>
        <w:jc w:val="both"/>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t>(七)</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制图结果验证评价</w:t>
      </w:r>
    </w:p>
    <w:p w14:paraId="5B36699C">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1.精度评价指标(用R2、RMSE)过高或过低</w:t>
      </w:r>
    </w:p>
    <w:p w14:paraId="0E1B2FC2">
      <w:pPr>
        <w:numPr>
          <w:ilvl w:val="0"/>
          <w:numId w:val="0"/>
        </w:numPr>
        <w:spacing w:line="360" w:lineRule="auto"/>
        <w:ind w:firstLine="420" w:firstLineChars="200"/>
        <w:jc w:val="both"/>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74310" cy="3992880"/>
            <wp:effectExtent l="0" t="0" r="8890" b="7620"/>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26"/>
                    <a:stretch>
                      <a:fillRect/>
                    </a:stretch>
                  </pic:blipFill>
                  <pic:spPr>
                    <a:xfrm>
                      <a:off x="0" y="0"/>
                      <a:ext cx="5274310" cy="3992880"/>
                    </a:xfrm>
                    <a:prstGeom prst="rect">
                      <a:avLst/>
                    </a:prstGeom>
                    <a:noFill/>
                    <a:ln>
                      <a:noFill/>
                    </a:ln>
                  </pic:spPr>
                </pic:pic>
              </a:graphicData>
            </a:graphic>
          </wp:inline>
        </w:drawing>
      </w:r>
    </w:p>
    <w:p w14:paraId="5D58E49D">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建模参数表中的精度指标（R²和RMSE）存在严重问题，其中有效铁、有效锰、有效磷、粉粒等多项指标的验证精度极差或存在明显过拟合，表明这些属性的空间预测制图成果基本不可用，类似问题请核实修改。</w:t>
      </w:r>
    </w:p>
    <w:p w14:paraId="0D563EF9">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2.报告中是否存在制图结果的验证评价和分析</w:t>
      </w:r>
    </w:p>
    <w:p w14:paraId="1086D26E">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精度指标存在问题，分析中需要说明</w:t>
      </w:r>
    </w:p>
    <w:p w14:paraId="20C57BDD">
      <w:pPr>
        <w:numPr>
          <w:ilvl w:val="0"/>
          <w:numId w:val="0"/>
        </w:numPr>
        <w:spacing w:line="360" w:lineRule="auto"/>
        <w:jc w:val="both"/>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t>(八)数字化图件成果</w:t>
      </w:r>
    </w:p>
    <w:p w14:paraId="63F25E37">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1.乡镇统计表不能只统计耕地的结果</w:t>
      </w:r>
    </w:p>
    <w:p w14:paraId="5A2B789E">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未发现问题</w:t>
      </w:r>
    </w:p>
    <w:p w14:paraId="5FECC4A6">
      <w:pPr>
        <w:numPr>
          <w:ilvl w:val="0"/>
          <w:numId w:val="11"/>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乡镇耕地统计结果应该和分地类统计的耕地结果能对齐</w:t>
      </w:r>
    </w:p>
    <w:p w14:paraId="35C81922">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无法对齐，类似问题请核实修改</w:t>
      </w:r>
    </w:p>
    <w:p w14:paraId="3F1CF7DF">
      <w:pPr>
        <w:numPr>
          <w:ilvl w:val="0"/>
          <w:numId w:val="0"/>
        </w:numPr>
        <w:spacing w:line="360" w:lineRule="auto"/>
        <w:ind w:firstLine="42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5269230" cy="5464175"/>
            <wp:effectExtent l="0" t="0" r="1270" b="9525"/>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pic:cNvPicPr>
                  </pic:nvPicPr>
                  <pic:blipFill>
                    <a:blip r:embed="rId27"/>
                    <a:stretch>
                      <a:fillRect/>
                    </a:stretch>
                  </pic:blipFill>
                  <pic:spPr>
                    <a:xfrm>
                      <a:off x="0" y="0"/>
                      <a:ext cx="5269230" cy="5464175"/>
                    </a:xfrm>
                    <a:prstGeom prst="rect">
                      <a:avLst/>
                    </a:prstGeom>
                    <a:noFill/>
                    <a:ln>
                      <a:noFill/>
                    </a:ln>
                  </pic:spPr>
                </pic:pic>
              </a:graphicData>
            </a:graphic>
          </wp:inline>
        </w:drawing>
      </w:r>
    </w:p>
    <w:p w14:paraId="5E0B79B6">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3.数据分级标准是否使用九大农区的标准</w:t>
      </w:r>
    </w:p>
    <w:p w14:paraId="56F79BB3">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参考《全国九大农区、省级耕地质量监测指标分级标准的通知》</w:t>
      </w:r>
    </w:p>
    <w:p w14:paraId="1980D868">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4.分级图缺少注记</w:t>
      </w:r>
    </w:p>
    <w:p w14:paraId="39FF727A">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p>
    <w:p w14:paraId="49C954D2">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5.耕层质地按12级分级的标准进行上图，颜色按GB 45298-2025的标准上图，酸碱度同步参考</w:t>
      </w:r>
    </w:p>
    <w:p w14:paraId="621EA4A5">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p>
    <w:p w14:paraId="1B2299C7">
      <w:pPr>
        <w:numPr>
          <w:ilvl w:val="0"/>
          <w:numId w:val="9"/>
        </w:numPr>
        <w:spacing w:line="360" w:lineRule="auto"/>
        <w:jc w:val="both"/>
        <w:rPr>
          <w:rFonts w:hint="eastAsia"/>
          <w:b/>
          <w:bCs/>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图面表达</w:t>
      </w:r>
    </w:p>
    <w:p w14:paraId="44B61B80">
      <w:pPr>
        <w:numPr>
          <w:ilvl w:val="0"/>
          <w:numId w:val="0"/>
        </w:numPr>
        <w:spacing w:line="360" w:lineRule="auto"/>
        <w:jc w:val="both"/>
        <w:rPr>
          <w:rFonts w:hint="eastAsia"/>
          <w:b/>
          <w:bCs/>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(一)图件制作是否符合规范</w:t>
      </w:r>
    </w:p>
    <w:p w14:paraId="0C55D45A">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图面内容配置、要素搭配、图例等是否完全符合技术规范；图名、比例尺等图廓信息是否符合规范；配色是否符合规范；是否符合A3图幅要求；基础地理要素标注是否符合规范；</w:t>
      </w:r>
    </w:p>
    <w:p w14:paraId="3D10259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color w:val="000000" w:themeColor="text1"/>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审核问题如下：</w:t>
      </w:r>
      <w:r>
        <w:rPr>
          <w:rFonts w:hint="eastAsia" w:cs="Times New Roman"/>
          <w:color w:val="000000" w:themeColor="text1"/>
          <w:kern w:val="2"/>
          <w:sz w:val="24"/>
          <w:szCs w:val="24"/>
          <w:lang w:val="en-US" w:eastAsia="zh-CN" w:bidi="ar-SA"/>
          <w14:textFill>
            <w14:solidFill>
              <w14:schemeClr w14:val="tx1"/>
            </w14:solidFill>
          </w14:textFill>
        </w:rPr>
        <w:t>（1）图件的图例中县级行政区边界未显示晕线</w:t>
      </w:r>
      <w:r>
        <w:rPr>
          <w:rFonts w:hint="eastAsia"/>
          <w:color w:val="000000" w:themeColor="text1"/>
          <w:sz w:val="24"/>
          <w:szCs w:val="24"/>
          <w:lang w:val="en-US" w:eastAsia="zh-CN"/>
          <w14:textFill>
            <w14:solidFill>
              <w14:schemeClr w14:val="tx1"/>
            </w14:solidFill>
          </w14:textFill>
        </w:rPr>
        <w:t>，标准画法如下图</w:t>
      </w:r>
      <w:r>
        <w:rPr>
          <w:rFonts w:hint="eastAsia" w:cs="Times New Roman"/>
          <w:color w:val="000000" w:themeColor="text1"/>
          <w:kern w:val="2"/>
          <w:sz w:val="24"/>
          <w:szCs w:val="24"/>
          <w:lang w:val="en-US" w:eastAsia="zh-CN" w:bidi="ar-SA"/>
          <w14:textFill>
            <w14:solidFill>
              <w14:schemeClr w14:val="tx1"/>
            </w14:solidFill>
          </w14:textFill>
        </w:rPr>
        <w:t>。</w:t>
      </w:r>
    </w:p>
    <w:p w14:paraId="7D15456C">
      <w:pPr>
        <w:numPr>
          <w:ilvl w:val="0"/>
          <w:numId w:val="0"/>
        </w:numPr>
        <w:spacing w:line="360" w:lineRule="auto"/>
        <w:jc w:val="both"/>
        <w:rPr>
          <w:rFonts w:hint="eastAsia"/>
          <w:color w:val="000000" w:themeColor="text1"/>
          <w:sz w:val="24"/>
          <w:szCs w:val="24"/>
          <w:lang w:val="en-US" w:eastAsia="zh-CN"/>
          <w14:textFill>
            <w14:solidFill>
              <w14:schemeClr w14:val="tx1"/>
            </w14:solidFill>
          </w14:textFill>
        </w:rPr>
      </w:pPr>
      <w:r>
        <w:rPr>
          <w:rFonts w:hint="eastAsia" w:eastAsia="宋体"/>
          <w:color w:val="000000" w:themeColor="text1"/>
          <w:sz w:val="24"/>
          <w:szCs w:val="24"/>
          <w:lang w:val="en-US" w:eastAsia="zh-CN"/>
          <w14:textFill>
            <w14:solidFill>
              <w14:schemeClr w14:val="tx1"/>
            </w14:solidFill>
          </w14:textFill>
        </w:rPr>
        <w:drawing>
          <wp:inline distT="0" distB="0" distL="114300" distR="114300">
            <wp:extent cx="4092575" cy="3211195"/>
            <wp:effectExtent l="0" t="0" r="9525" b="1905"/>
            <wp:docPr id="47" name="图片 47" descr="7426f9ed57a673ac369bceb6ec219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7426f9ed57a673ac369bceb6ec219de7"/>
                    <pic:cNvPicPr>
                      <a:picLocks noChangeAspect="1"/>
                    </pic:cNvPicPr>
                  </pic:nvPicPr>
                  <pic:blipFill>
                    <a:blip r:embed="rId28"/>
                    <a:srcRect l="22396" t="8646" b="23246"/>
                    <a:stretch>
                      <a:fillRect/>
                    </a:stretch>
                  </pic:blipFill>
                  <pic:spPr>
                    <a:xfrm>
                      <a:off x="0" y="0"/>
                      <a:ext cx="4092575" cy="3211195"/>
                    </a:xfrm>
                    <a:prstGeom prst="rect">
                      <a:avLst/>
                    </a:prstGeom>
                  </pic:spPr>
                </pic:pic>
              </a:graphicData>
            </a:graphic>
          </wp:inline>
        </w:drawing>
      </w:r>
    </w:p>
    <w:p w14:paraId="654E8F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cs="Times New Roman"/>
          <w:color w:val="000000" w:themeColor="text1"/>
          <w:kern w:val="2"/>
          <w:sz w:val="24"/>
          <w:szCs w:val="24"/>
          <w:lang w:val="en-US" w:eastAsia="zh-CN" w:bidi="ar-SA"/>
          <w14:textFill>
            <w14:solidFill>
              <w14:schemeClr w14:val="tx1"/>
            </w14:solidFill>
          </w14:textFill>
        </w:rPr>
      </w:pPr>
      <w:r>
        <w:rPr>
          <w:rFonts w:hint="eastAsia" w:cs="Times New Roman"/>
          <w:color w:val="000000" w:themeColor="text1"/>
          <w:kern w:val="2"/>
          <w:sz w:val="24"/>
          <w:szCs w:val="24"/>
          <w:lang w:val="en-US" w:eastAsia="zh-CN" w:bidi="ar-SA"/>
          <w14:textFill>
            <w14:solidFill>
              <w14:schemeClr w14:val="tx1"/>
            </w14:solidFill>
          </w14:textFill>
        </w:rPr>
        <w:t>（2）缺失经纬度，标准如下</w:t>
      </w:r>
    </w:p>
    <w:p w14:paraId="1B964976">
      <w:pPr>
        <w:numPr>
          <w:ilvl w:val="0"/>
          <w:numId w:val="0"/>
        </w:numPr>
        <w:spacing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4785" cy="2700655"/>
            <wp:effectExtent l="0" t="0" r="5715" b="4445"/>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29"/>
                    <a:stretch>
                      <a:fillRect/>
                    </a:stretch>
                  </pic:blipFill>
                  <pic:spPr>
                    <a:xfrm>
                      <a:off x="0" y="0"/>
                      <a:ext cx="5264785" cy="2700655"/>
                    </a:xfrm>
                    <a:prstGeom prst="rect">
                      <a:avLst/>
                    </a:prstGeom>
                    <a:noFill/>
                    <a:ln>
                      <a:noFill/>
                    </a:ln>
                  </pic:spPr>
                </pic:pic>
              </a:graphicData>
            </a:graphic>
          </wp:inline>
        </w:drawing>
      </w:r>
    </w:p>
    <w:p w14:paraId="47E3A5E6">
      <w:pPr>
        <w:numPr>
          <w:ilvl w:val="0"/>
          <w:numId w:val="0"/>
        </w:numPr>
        <w:spacing w:line="360" w:lineRule="auto"/>
        <w:jc w:val="both"/>
        <w:rPr>
          <w:rFonts w:hint="default"/>
          <w:color w:val="000000" w:themeColor="text1"/>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5267325" cy="4449445"/>
            <wp:effectExtent l="0" t="0" r="3175" b="8255"/>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30"/>
                    <a:stretch>
                      <a:fillRect/>
                    </a:stretch>
                  </pic:blipFill>
                  <pic:spPr>
                    <a:xfrm>
                      <a:off x="0" y="0"/>
                      <a:ext cx="5267325" cy="4449445"/>
                    </a:xfrm>
                    <a:prstGeom prst="rect">
                      <a:avLst/>
                    </a:prstGeom>
                    <a:noFill/>
                    <a:ln>
                      <a:noFill/>
                    </a:ln>
                  </pic:spPr>
                </pic:pic>
              </a:graphicData>
            </a:graphic>
          </wp:inline>
        </w:drawing>
      </w:r>
    </w:p>
    <w:p w14:paraId="4A73FC7D">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（3）河流图例错误，请核实修改同类型错误</w:t>
      </w:r>
    </w:p>
    <w:p w14:paraId="5865C141">
      <w:pPr>
        <w:numPr>
          <w:ilvl w:val="0"/>
          <w:numId w:val="0"/>
        </w:numPr>
        <w:spacing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990850" cy="2847975"/>
            <wp:effectExtent l="0" t="0" r="6350" b="9525"/>
            <wp:docPr id="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pic:cNvPicPr>
                      <a:picLocks noChangeAspect="1"/>
                    </pic:cNvPicPr>
                  </pic:nvPicPr>
                  <pic:blipFill>
                    <a:blip r:embed="rId31"/>
                    <a:stretch>
                      <a:fillRect/>
                    </a:stretch>
                  </pic:blipFill>
                  <pic:spPr>
                    <a:xfrm>
                      <a:off x="0" y="0"/>
                      <a:ext cx="2990850" cy="2847975"/>
                    </a:xfrm>
                    <a:prstGeom prst="rect">
                      <a:avLst/>
                    </a:prstGeom>
                    <a:noFill/>
                    <a:ln>
                      <a:noFill/>
                    </a:ln>
                  </pic:spPr>
                </pic:pic>
              </a:graphicData>
            </a:graphic>
          </wp:inline>
        </w:drawing>
      </w:r>
    </w:p>
    <w:p w14:paraId="5E577511">
      <w:pPr>
        <w:numPr>
          <w:ilvl w:val="0"/>
          <w:numId w:val="0"/>
        </w:numPr>
        <w:spacing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29225" cy="2686050"/>
            <wp:effectExtent l="0" t="0" r="3175" b="6350"/>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32"/>
                    <a:stretch>
                      <a:fillRect/>
                    </a:stretch>
                  </pic:blipFill>
                  <pic:spPr>
                    <a:xfrm>
                      <a:off x="0" y="0"/>
                      <a:ext cx="5229225" cy="2686050"/>
                    </a:xfrm>
                    <a:prstGeom prst="rect">
                      <a:avLst/>
                    </a:prstGeom>
                    <a:noFill/>
                    <a:ln>
                      <a:noFill/>
                    </a:ln>
                  </pic:spPr>
                </pic:pic>
              </a:graphicData>
            </a:graphic>
          </wp:inline>
        </w:drawing>
      </w:r>
    </w:p>
    <w:p w14:paraId="5FA286D5">
      <w:pPr>
        <w:numPr>
          <w:ilvl w:val="0"/>
          <w:numId w:val="0"/>
        </w:numPr>
        <w:spacing w:line="360" w:lineRule="auto"/>
        <w:ind w:firstLine="42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5272405" cy="3767455"/>
            <wp:effectExtent l="0" t="0" r="10795" b="4445"/>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pic:cNvPicPr>
                      <a:picLocks noChangeAspect="1"/>
                    </pic:cNvPicPr>
                  </pic:nvPicPr>
                  <pic:blipFill>
                    <a:blip r:embed="rId33"/>
                    <a:stretch>
                      <a:fillRect/>
                    </a:stretch>
                  </pic:blipFill>
                  <pic:spPr>
                    <a:xfrm>
                      <a:off x="0" y="0"/>
                      <a:ext cx="5272405" cy="3767455"/>
                    </a:xfrm>
                    <a:prstGeom prst="rect">
                      <a:avLst/>
                    </a:prstGeom>
                    <a:noFill/>
                    <a:ln>
                      <a:noFill/>
                    </a:ln>
                  </pic:spPr>
                </pic:pic>
              </a:graphicData>
            </a:graphic>
          </wp:inline>
        </w:drawing>
      </w:r>
    </w:p>
    <w:p w14:paraId="4141304B">
      <w:pPr>
        <w:numPr>
          <w:ilvl w:val="0"/>
          <w:numId w:val="0"/>
        </w:numPr>
        <w:spacing w:line="360" w:lineRule="auto"/>
        <w:jc w:val="both"/>
        <w:rPr>
          <w:rFonts w:hint="eastAsia"/>
          <w:b/>
          <w:bCs/>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(二)图件信息缺失</w:t>
      </w:r>
    </w:p>
    <w:p w14:paraId="68B99BEE">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（1）缺少调查时间</w:t>
      </w:r>
    </w:p>
    <w:p w14:paraId="09D67679">
      <w:pPr>
        <w:numPr>
          <w:ilvl w:val="0"/>
          <w:numId w:val="0"/>
        </w:numPr>
        <w:spacing w:line="360" w:lineRule="auto"/>
        <w:ind w:firstLine="42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5267960" cy="249555"/>
            <wp:effectExtent l="0" t="0" r="2540" b="4445"/>
            <wp:docPr id="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pic:cNvPicPr>
                      <a:picLocks noChangeAspect="1"/>
                    </pic:cNvPicPr>
                  </pic:nvPicPr>
                  <pic:blipFill>
                    <a:blip r:embed="rId34"/>
                    <a:stretch>
                      <a:fillRect/>
                    </a:stretch>
                  </pic:blipFill>
                  <pic:spPr>
                    <a:xfrm>
                      <a:off x="0" y="0"/>
                      <a:ext cx="5267960" cy="249555"/>
                    </a:xfrm>
                    <a:prstGeom prst="rect">
                      <a:avLst/>
                    </a:prstGeom>
                    <a:noFill/>
                    <a:ln>
                      <a:noFill/>
                    </a:ln>
                  </pic:spPr>
                </pic:pic>
              </a:graphicData>
            </a:graphic>
          </wp:inline>
        </w:drawing>
      </w:r>
    </w:p>
    <w:p w14:paraId="79B5C0B4">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（2）缺少表名（两个统计表：①各乡镇耕地土壤分级面积统计表；②各地类土壤分级面积统计表）</w:t>
      </w:r>
    </w:p>
    <w:p w14:paraId="6F8C2C35">
      <w:pPr>
        <w:numPr>
          <w:ilvl w:val="0"/>
          <w:numId w:val="0"/>
        </w:numPr>
        <w:spacing w:line="360" w:lineRule="auto"/>
        <w:ind w:firstLine="42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3313430" cy="5565140"/>
            <wp:effectExtent l="0" t="0" r="1270" b="10160"/>
            <wp:docPr id="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pic:cNvPicPr>
                      <a:picLocks noChangeAspect="1"/>
                    </pic:cNvPicPr>
                  </pic:nvPicPr>
                  <pic:blipFill>
                    <a:blip r:embed="rId35"/>
                    <a:stretch>
                      <a:fillRect/>
                    </a:stretch>
                  </pic:blipFill>
                  <pic:spPr>
                    <a:xfrm>
                      <a:off x="0" y="0"/>
                      <a:ext cx="3313430" cy="5565140"/>
                    </a:xfrm>
                    <a:prstGeom prst="rect">
                      <a:avLst/>
                    </a:prstGeom>
                    <a:noFill/>
                    <a:ln>
                      <a:noFill/>
                    </a:ln>
                  </pic:spPr>
                </pic:pic>
              </a:graphicData>
            </a:graphic>
          </wp:inline>
        </w:drawing>
      </w:r>
    </w:p>
    <w:p w14:paraId="77A89F1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(三)图件缺失</w:t>
      </w:r>
    </w:p>
    <w:p w14:paraId="7022F82C">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数据库中不存在图件（未单独建立文件夹）</w:t>
      </w:r>
    </w:p>
    <w:p w14:paraId="69438D24">
      <w:pPr>
        <w:numPr>
          <w:ilvl w:val="0"/>
          <w:numId w:val="0"/>
        </w:numPr>
        <w:spacing w:line="360" w:lineRule="auto"/>
        <w:ind w:firstLine="482" w:firstLineChars="200"/>
        <w:jc w:val="both"/>
        <w:rPr>
          <w:rFonts w:hint="default"/>
          <w:b/>
          <w:bCs/>
          <w:sz w:val="24"/>
          <w:szCs w:val="24"/>
          <w:lang w:val="en-US" w:eastAsia="zh-CN"/>
        </w:rPr>
      </w:pPr>
      <w:r>
        <w:rPr>
          <w:rFonts w:hint="eastAsia"/>
          <w:b/>
          <w:bCs/>
          <w:sz w:val="24"/>
          <w:szCs w:val="24"/>
          <w:lang w:val="en-US" w:eastAsia="zh-CN"/>
        </w:rPr>
        <w:t>(四)其他</w:t>
      </w:r>
    </w:p>
    <w:p w14:paraId="07645F2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美观性，易读性，着色。图面清晰度、图件信息清晰度。</w:t>
      </w:r>
    </w:p>
    <w:p w14:paraId="0F21FDF3">
      <w:pPr>
        <w:numPr>
          <w:ilvl w:val="0"/>
          <w:numId w:val="9"/>
        </w:numPr>
        <w:spacing w:line="360" w:lineRule="auto"/>
        <w:jc w:val="both"/>
        <w:rPr>
          <w:rFonts w:hint="eastAsia"/>
          <w:b/>
          <w:bCs/>
          <w:sz w:val="24"/>
          <w:szCs w:val="24"/>
          <w:lang w:val="en-US" w:eastAsia="zh-CN"/>
        </w:rPr>
      </w:pPr>
      <w:r>
        <w:rPr>
          <w:rFonts w:hint="eastAsia"/>
          <w:b/>
          <w:bCs/>
          <w:sz w:val="24"/>
          <w:szCs w:val="24"/>
          <w:lang w:val="en-US" w:eastAsia="zh-CN"/>
        </w:rPr>
        <w:t>报告-制图过程</w:t>
      </w:r>
    </w:p>
    <w:p w14:paraId="228760C7">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(一)技术路线与规范</w:t>
      </w:r>
    </w:p>
    <w:p w14:paraId="75EE3E6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1.属性制图技术路线图是否缺失或过于简单</w:t>
      </w:r>
    </w:p>
    <w:p w14:paraId="7FEE6A5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存在。</w:t>
      </w:r>
    </w:p>
    <w:p w14:paraId="50F954F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2.属性制图技术路线内容阐述是否完整或清晰、</w:t>
      </w:r>
    </w:p>
    <w:p w14:paraId="4694A149">
      <w:pPr>
        <w:spacing w:before="0" w:after="0" w:line="360" w:lineRule="auto"/>
        <w:jc w:val="both"/>
        <w:rPr>
          <w:rFonts w:hint="default" w:eastAsia="宋体"/>
          <w:lang w:val="en-US" w:eastAsia="zh-CN"/>
        </w:rPr>
      </w:pPr>
      <w:r>
        <w:rPr>
          <w:rFonts w:ascii="Times New Roman" w:hAnsi="Times New Roman" w:eastAsia="宋体"/>
          <w:color w:val="000000"/>
          <w:sz w:val="24"/>
        </w:rPr>
        <w:t>技术路线文字较简略，且模型名称和最终精度表互相矛盾，不能形成清晰、可追溯的技术路线。</w:t>
      </w:r>
      <w:r>
        <w:rPr>
          <w:rFonts w:hint="eastAsia" w:ascii="Times New Roman" w:hAnsi="Times New Roman" w:eastAsia="宋体"/>
          <w:color w:val="000000"/>
          <w:sz w:val="24"/>
          <w:lang w:val="en-US" w:eastAsia="zh-CN"/>
        </w:rPr>
        <w:t>同时图片模糊，字体不一。</w:t>
      </w:r>
    </w:p>
    <w:p w14:paraId="0A61ACAF">
      <w:pPr>
        <w:numPr>
          <w:ilvl w:val="0"/>
          <w:numId w:val="0"/>
        </w:numPr>
        <w:spacing w:line="360" w:lineRule="auto"/>
        <w:jc w:val="both"/>
        <w:rPr>
          <w:rFonts w:hint="eastAsia"/>
          <w:lang w:val="en-US" w:eastAsia="zh-CN"/>
        </w:rPr>
      </w:pPr>
      <w:r>
        <w:drawing>
          <wp:inline distT="0" distB="0" distL="114300" distR="114300">
            <wp:extent cx="5273675" cy="2409825"/>
            <wp:effectExtent l="0" t="0" r="9525" b="317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36"/>
                    <a:stretch>
                      <a:fillRect/>
                    </a:stretch>
                  </pic:blipFill>
                  <pic:spPr>
                    <a:xfrm>
                      <a:off x="0" y="0"/>
                      <a:ext cx="5273675" cy="2409825"/>
                    </a:xfrm>
                    <a:prstGeom prst="rect">
                      <a:avLst/>
                    </a:prstGeom>
                    <a:noFill/>
                    <a:ln>
                      <a:noFill/>
                    </a:ln>
                  </pic:spPr>
                </pic:pic>
              </a:graphicData>
            </a:graphic>
          </wp:inline>
        </w:drawing>
      </w:r>
    </w:p>
    <w:p w14:paraId="629922D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(二)数据收集与处理不规范</w:t>
      </w:r>
    </w:p>
    <w:p w14:paraId="6B9B142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1.数据的来源、时间跨度、格式等说明是否充分</w:t>
      </w:r>
    </w:p>
    <w:p w14:paraId="40EEA2A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有说明，问题见前几页，</w:t>
      </w:r>
    </w:p>
    <w:p w14:paraId="1C510E8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2.土壤样点空间分布图是否缺失</w:t>
      </w:r>
    </w:p>
    <w:p w14:paraId="32E6B9E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缺失</w:t>
      </w:r>
    </w:p>
    <w:p w14:paraId="078B39F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3.环境变量制备过程未说明或说明不具体</w:t>
      </w:r>
    </w:p>
    <w:p w14:paraId="376B15D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有说明，说明不具体</w:t>
      </w:r>
    </w:p>
    <w:p w14:paraId="7A286CD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4.数据处理过程是否合理</w:t>
      </w:r>
    </w:p>
    <w:p w14:paraId="1025F31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23CE2F45">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(三)制图模型确定是否合理</w:t>
      </w:r>
    </w:p>
    <w:p w14:paraId="4546CDE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1.模型优选是否进行了多种方法对比</w:t>
      </w:r>
    </w:p>
    <w:p w14:paraId="6D6B072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重点检查报告中存在多个模型的比对。</w:t>
      </w:r>
    </w:p>
    <w:p w14:paraId="559546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2.环境变量的筛选方法和过程说明</w:t>
      </w:r>
    </w:p>
    <w:p w14:paraId="19D86714">
      <w:pPr>
        <w:widowControl w:val="0"/>
        <w:numPr>
          <w:ilvl w:val="0"/>
          <w:numId w:val="0"/>
        </w:numPr>
        <w:spacing w:line="360" w:lineRule="auto"/>
        <w:ind w:left="0" w:leftChars="0" w:firstLine="480" w:firstLineChars="200"/>
        <w:jc w:val="both"/>
        <w:rPr>
          <w:rFonts w:hint="default"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严重缺失</w:t>
      </w:r>
      <w:r>
        <w:rPr>
          <w:rFonts w:hint="default" w:ascii="Times New Roman" w:hAnsi="Times New Roman" w:eastAsia="宋体" w:cs="Times New Roman"/>
          <w:b w:val="0"/>
          <w:bCs w:val="0"/>
          <w:kern w:val="2"/>
          <w:sz w:val="24"/>
          <w:szCs w:val="24"/>
          <w:lang w:val="en-US" w:eastAsia="zh-CN" w:bidi="ar-SA"/>
        </w:rPr>
        <w:t>。报告中完全没有提及环境变量筛选的方法</w:t>
      </w:r>
      <w:r>
        <w:rPr>
          <w:rFonts w:hint="eastAsia" w:ascii="Times New Roman" w:hAnsi="Times New Roman" w:eastAsia="宋体"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但每个属性最终建模时究竟使用了哪些环境变量作为入模变量，报告中完全没有列出。</w:t>
      </w:r>
    </w:p>
    <w:p w14:paraId="2B225B18">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w:t>
      </w:r>
      <w:r>
        <w:rPr>
          <w:rFonts w:hint="default"/>
          <w:b/>
          <w:bCs/>
          <w:sz w:val="24"/>
          <w:szCs w:val="24"/>
          <w:lang w:val="en-US" w:eastAsia="zh-CN"/>
        </w:rPr>
        <w:t>结果验证与分析</w:t>
      </w:r>
      <w:r>
        <w:rPr>
          <w:rFonts w:hint="eastAsia"/>
          <w:b/>
          <w:bCs/>
          <w:sz w:val="24"/>
          <w:szCs w:val="24"/>
          <w:lang w:val="en-US" w:eastAsia="zh-CN"/>
        </w:rPr>
        <w:t>是否</w:t>
      </w:r>
      <w:r>
        <w:rPr>
          <w:rFonts w:hint="default"/>
          <w:b/>
          <w:bCs/>
          <w:sz w:val="24"/>
          <w:szCs w:val="24"/>
          <w:lang w:val="en-US" w:eastAsia="zh-CN"/>
        </w:rPr>
        <w:t>充分</w:t>
      </w:r>
    </w:p>
    <w:p w14:paraId="7AAD46A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1.属性与环境的关联性（驱动因素）是否进行分析展示</w:t>
      </w:r>
    </w:p>
    <w:p w14:paraId="59D61A5E">
      <w:pPr>
        <w:widowControl w:val="0"/>
        <w:numPr>
          <w:ilvl w:val="0"/>
          <w:numId w:val="0"/>
        </w:numPr>
        <w:spacing w:line="360" w:lineRule="auto"/>
        <w:ind w:left="0" w:leftChars="0" w:firstLine="480" w:firstLineChars="200"/>
        <w:jc w:val="both"/>
        <w:rPr>
          <w:rFonts w:hint="default"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未分析土壤属性空间分布与环境变量（如地形、气候、母质、土地利用等）之间的关联性或驱动因素</w:t>
      </w:r>
      <w:r>
        <w:rPr>
          <w:rFonts w:hint="default" w:ascii="Times New Roman" w:hAnsi="Times New Roman" w:eastAsia="宋体" w:cs="Times New Roman"/>
          <w:b w:val="0"/>
          <w:bCs w:val="0"/>
          <w:kern w:val="2"/>
          <w:sz w:val="24"/>
          <w:szCs w:val="24"/>
          <w:lang w:val="en-US" w:eastAsia="zh-CN" w:bidi="ar-SA"/>
        </w:rPr>
        <w:t>。第二章第四节的“土壤属性间关联分析”仅分析了土壤属性指标之间的统计相关性，而非属性与环境因子的关系。</w:t>
      </w:r>
    </w:p>
    <w:p w14:paraId="660A07D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2.精度评价指标是否过于单一(仅用R2、RMSE验证)</w:t>
      </w:r>
    </w:p>
    <w:p w14:paraId="0C4BB62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5273675" cy="1905000"/>
            <wp:effectExtent l="0" t="0" r="9525" b="0"/>
            <wp:docPr id="3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
                    <pic:cNvPicPr>
                      <a:picLocks noChangeAspect="1"/>
                    </pic:cNvPicPr>
                  </pic:nvPicPr>
                  <pic:blipFill>
                    <a:blip r:embed="rId37"/>
                    <a:stretch>
                      <a:fillRect/>
                    </a:stretch>
                  </pic:blipFill>
                  <pic:spPr>
                    <a:xfrm>
                      <a:off x="0" y="0"/>
                      <a:ext cx="5273675" cy="1905000"/>
                    </a:xfrm>
                    <a:prstGeom prst="rect">
                      <a:avLst/>
                    </a:prstGeom>
                    <a:noFill/>
                    <a:ln>
                      <a:noFill/>
                    </a:ln>
                  </pic:spPr>
                </pic:pic>
              </a:graphicData>
            </a:graphic>
          </wp:inline>
        </w:drawing>
      </w:r>
    </w:p>
    <w:p w14:paraId="48CFE9B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3.土壤属性图是否进行空间分布分析</w:t>
      </w:r>
    </w:p>
    <w:p w14:paraId="67DCC9B2">
      <w:pPr>
        <w:widowControl w:val="0"/>
        <w:numPr>
          <w:ilvl w:val="0"/>
          <w:numId w:val="0"/>
        </w:numPr>
        <w:spacing w:line="360" w:lineRule="auto"/>
        <w:ind w:left="0" w:leftChars="0" w:firstLine="480" w:firstLineChars="200"/>
        <w:jc w:val="both"/>
        <w:rPr>
          <w:rFonts w:hint="default"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停留在对图和表格数据的文字复述层面</w:t>
      </w:r>
      <w:r>
        <w:rPr>
          <w:rFonts w:hint="default" w:ascii="Times New Roman" w:hAnsi="Times New Roman" w:eastAsia="宋体" w:cs="Times New Roman"/>
          <w:b w:val="0"/>
          <w:bCs w:val="0"/>
          <w:kern w:val="2"/>
          <w:sz w:val="24"/>
          <w:szCs w:val="24"/>
          <w:lang w:val="en-US" w:eastAsia="zh-CN" w:bidi="ar-SA"/>
        </w:rPr>
        <w:t>，未能深入挖掘其空间分布格局并解释其成因。</w:t>
      </w:r>
    </w:p>
    <w:p w14:paraId="2AA25D65">
      <w:pPr>
        <w:numPr>
          <w:ilvl w:val="0"/>
          <w:numId w:val="9"/>
        </w:numPr>
        <w:spacing w:line="360" w:lineRule="auto"/>
        <w:jc w:val="both"/>
        <w:rPr>
          <w:rFonts w:hint="eastAsia"/>
          <w:b/>
          <w:bCs/>
          <w:sz w:val="24"/>
          <w:szCs w:val="24"/>
          <w:lang w:val="en-US" w:eastAsia="zh-CN"/>
        </w:rPr>
      </w:pPr>
      <w:r>
        <w:rPr>
          <w:rFonts w:hint="eastAsia"/>
          <w:b/>
          <w:bCs/>
          <w:sz w:val="24"/>
          <w:szCs w:val="24"/>
          <w:lang w:val="en-US" w:eastAsia="zh-CN"/>
        </w:rPr>
        <w:t>报告-现状分析</w:t>
      </w:r>
    </w:p>
    <w:p w14:paraId="39DDD968">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(一)数据准确性与一致性</w:t>
      </w:r>
    </w:p>
    <w:p w14:paraId="68F1633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1.样点统计与制图统计数据差异是否显著</w:t>
      </w:r>
    </w:p>
    <w:p w14:paraId="688B81D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2BE21E7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2.数据是否错误或存疑，部分指标单位是否有误（亩或万亩）</w:t>
      </w:r>
    </w:p>
    <w:p w14:paraId="1C97485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第五章小结中，写到“有效磷平均值为 126.82 mg/kg”，而报告正文第32页表2.19及第34页文字均显示，有效磷平均值应为 26.82 mg/kg。“126.82”属于明显笔误。</w:t>
      </w:r>
    </w:p>
    <w:p w14:paraId="07B93B1B">
      <w:pPr>
        <w:numPr>
          <w:ilvl w:val="0"/>
          <w:numId w:val="0"/>
        </w:numPr>
        <w:spacing w:line="360" w:lineRule="auto"/>
        <w:ind w:firstLine="420" w:firstLineChars="200"/>
        <w:jc w:val="both"/>
      </w:pPr>
      <w:r>
        <w:drawing>
          <wp:inline distT="0" distB="0" distL="114300" distR="114300">
            <wp:extent cx="5273040" cy="755650"/>
            <wp:effectExtent l="0" t="0" r="10160" b="6350"/>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38"/>
                    <a:stretch>
                      <a:fillRect/>
                    </a:stretch>
                  </pic:blipFill>
                  <pic:spPr>
                    <a:xfrm>
                      <a:off x="0" y="0"/>
                      <a:ext cx="5273040" cy="755650"/>
                    </a:xfrm>
                    <a:prstGeom prst="rect">
                      <a:avLst/>
                    </a:prstGeom>
                    <a:noFill/>
                    <a:ln>
                      <a:noFill/>
                    </a:ln>
                  </pic:spPr>
                </pic:pic>
              </a:graphicData>
            </a:graphic>
          </wp:inline>
        </w:drawing>
      </w:r>
    </w:p>
    <w:p w14:paraId="61D67F2D">
      <w:pPr>
        <w:numPr>
          <w:ilvl w:val="0"/>
          <w:numId w:val="0"/>
        </w:numPr>
        <w:spacing w:line="360" w:lineRule="auto"/>
        <w:ind w:firstLine="420" w:firstLineChars="200"/>
        <w:jc w:val="both"/>
        <w:rPr>
          <w:rFonts w:hint="default"/>
          <w:lang w:val="en-US" w:eastAsia="zh-CN"/>
        </w:rPr>
      </w:pPr>
      <w:r>
        <w:drawing>
          <wp:inline distT="0" distB="0" distL="114300" distR="114300">
            <wp:extent cx="2976245" cy="2106930"/>
            <wp:effectExtent l="0" t="0" r="8255" b="1270"/>
            <wp:docPr id="3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2"/>
                    <pic:cNvPicPr>
                      <a:picLocks noChangeAspect="1"/>
                    </pic:cNvPicPr>
                  </pic:nvPicPr>
                  <pic:blipFill>
                    <a:blip r:embed="rId39"/>
                    <a:stretch>
                      <a:fillRect/>
                    </a:stretch>
                  </pic:blipFill>
                  <pic:spPr>
                    <a:xfrm>
                      <a:off x="0" y="0"/>
                      <a:ext cx="2976245" cy="2106930"/>
                    </a:xfrm>
                    <a:prstGeom prst="rect">
                      <a:avLst/>
                    </a:prstGeom>
                    <a:noFill/>
                    <a:ln>
                      <a:noFill/>
                    </a:ln>
                  </pic:spPr>
                </pic:pic>
              </a:graphicData>
            </a:graphic>
          </wp:inline>
        </w:drawing>
      </w:r>
      <w:r>
        <w:drawing>
          <wp:inline distT="0" distB="0" distL="114300" distR="114300">
            <wp:extent cx="5267325" cy="1292225"/>
            <wp:effectExtent l="0" t="0" r="3175" b="3175"/>
            <wp:docPr id="3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3"/>
                    <pic:cNvPicPr>
                      <a:picLocks noChangeAspect="1"/>
                    </pic:cNvPicPr>
                  </pic:nvPicPr>
                  <pic:blipFill>
                    <a:blip r:embed="rId40"/>
                    <a:stretch>
                      <a:fillRect/>
                    </a:stretch>
                  </pic:blipFill>
                  <pic:spPr>
                    <a:xfrm>
                      <a:off x="0" y="0"/>
                      <a:ext cx="5267325" cy="1292225"/>
                    </a:xfrm>
                    <a:prstGeom prst="rect">
                      <a:avLst/>
                    </a:prstGeom>
                    <a:noFill/>
                    <a:ln>
                      <a:noFill/>
                    </a:ln>
                  </pic:spPr>
                </pic:pic>
              </a:graphicData>
            </a:graphic>
          </wp:inline>
        </w:drawing>
      </w:r>
    </w:p>
    <w:p w14:paraId="50B671B2">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p>
    <w:p w14:paraId="10FC343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3.现状数据是否缺少分级表、中微量元素数据等</w:t>
      </w:r>
    </w:p>
    <w:p w14:paraId="78AF355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7340F7C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4.报告中的图表和现状数据是否匹配</w:t>
      </w:r>
    </w:p>
    <w:p w14:paraId="432F33A2">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508AE070">
      <w:pPr>
        <w:numPr>
          <w:ilvl w:val="0"/>
          <w:numId w:val="0"/>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(二)土壤属性分级与规范是否一致</w:t>
      </w:r>
    </w:p>
    <w:p w14:paraId="22B68B27">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1.属性数据分级标准与规范不一致、分级不规范，参考《全国九大农区、省级耕地质量监测指标分级标准的通知》</w:t>
      </w:r>
    </w:p>
    <w:p w14:paraId="6FCF866E">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430E18EC">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2.土壤分类系统不统一（未用三普土属名称）</w:t>
      </w:r>
    </w:p>
    <w:p w14:paraId="7910D0DA">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0577FDE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(三)现状分析深度与完整性不足</w:t>
      </w:r>
    </w:p>
    <w:p w14:paraId="08EAC1A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1.成因分析不深入或不合理</w:t>
      </w:r>
    </w:p>
    <w:p w14:paraId="3698827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038B03E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2.属性指标的土地利用类型、土壤类型分类分区差异对比不充分</w:t>
      </w:r>
    </w:p>
    <w:p w14:paraId="3DADECA9">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07EB75E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3.现状指标分析不完整</w:t>
      </w:r>
    </w:p>
    <w:p w14:paraId="1B69041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1CDFDC49">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(四)属性关联分析与实用性不足</w:t>
      </w:r>
    </w:p>
    <w:p w14:paraId="6FD7C20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1.现状土壤属性间关联分析不足</w:t>
      </w:r>
    </w:p>
    <w:p w14:paraId="2FE075A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2E31D9E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2.关联分析方法不规范</w:t>
      </w:r>
    </w:p>
    <w:p w14:paraId="3D38196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176CAF8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3.未针对性提出土壤培肥改良措施，乡镇土壤属性分析仅呈现数据，未结合当地土壤问题给出解决方案</w:t>
      </w:r>
    </w:p>
    <w:p w14:paraId="29FE3F4B">
      <w:pPr>
        <w:widowControl w:val="0"/>
        <w:numPr>
          <w:ilvl w:val="0"/>
          <w:numId w:val="0"/>
        </w:numPr>
        <w:spacing w:line="360" w:lineRule="auto"/>
        <w:ind w:left="0" w:leftChars="0" w:firstLine="480" w:firstLineChars="200"/>
        <w:jc w:val="both"/>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没有针对各乡镇的具体土壤问题（如某乡镇pH过高、某乡镇容重过大）提出差异化的解决方案</w:t>
      </w:r>
    </w:p>
    <w:p w14:paraId="31286588">
      <w:pPr>
        <w:numPr>
          <w:ilvl w:val="0"/>
          <w:numId w:val="9"/>
        </w:numPr>
        <w:spacing w:line="360" w:lineRule="auto"/>
        <w:jc w:val="both"/>
        <w:rPr>
          <w:rFonts w:hint="eastAsia"/>
          <w:b/>
          <w:bCs/>
          <w:sz w:val="24"/>
          <w:szCs w:val="24"/>
          <w:lang w:val="en-US" w:eastAsia="zh-CN"/>
        </w:rPr>
      </w:pPr>
      <w:r>
        <w:rPr>
          <w:rFonts w:hint="eastAsia"/>
          <w:b/>
          <w:bCs/>
          <w:sz w:val="24"/>
          <w:szCs w:val="24"/>
          <w:lang w:val="en-US" w:eastAsia="zh-CN"/>
        </w:rPr>
        <w:t>报告-历史变化及成因</w:t>
      </w:r>
    </w:p>
    <w:p w14:paraId="5668EF12">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(一)历史变化对比不符合导引要求</w:t>
      </w:r>
    </w:p>
    <w:p w14:paraId="6ED37E4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1.是否结合历史数据（二普、测土配方等）进行历史变化对比</w:t>
      </w:r>
    </w:p>
    <w:p w14:paraId="5A952D97">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kern w:val="2"/>
          <w:sz w:val="24"/>
          <w:szCs w:val="24"/>
          <w:lang w:val="en-US" w:eastAsia="zh-CN" w:bidi="ar-SA"/>
        </w:rPr>
        <w:t>有，但是</w:t>
      </w:r>
      <w:r>
        <w:rPr>
          <w:rFonts w:hint="default" w:ascii="Times New Roman" w:hAnsi="Times New Roman" w:eastAsia="宋体" w:cs="Times New Roman"/>
          <w:b w:val="0"/>
          <w:bCs w:val="0"/>
          <w:kern w:val="2"/>
          <w:sz w:val="24"/>
          <w:szCs w:val="24"/>
          <w:lang w:val="en-US" w:eastAsia="zh-CN" w:bidi="ar-SA"/>
        </w:rPr>
        <w:t>未提供二普的具体数值，多为定性描述</w:t>
      </w:r>
    </w:p>
    <w:p w14:paraId="3F1CE72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2.历史变化分析不充分或缺失、剖析不深入</w:t>
      </w:r>
    </w:p>
    <w:p w14:paraId="12472F7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1C20D27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3.对比分析的土壤属性指标分析缺失或不完整</w:t>
      </w:r>
    </w:p>
    <w:p w14:paraId="4EDE987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5CE62F1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4.仅文字分析、缺少图表统计对比</w:t>
      </w:r>
    </w:p>
    <w:p w14:paraId="0AE23267">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35ADFF3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(二)成因分析未按导引要求</w:t>
      </w:r>
    </w:p>
    <w:p w14:paraId="2A8E6BCA">
      <w:pPr>
        <w:numPr>
          <w:ilvl w:val="0"/>
          <w:numId w:val="0"/>
        </w:numPr>
        <w:spacing w:line="360" w:lineRule="auto"/>
        <w:ind w:firstLine="480" w:firstLineChars="200"/>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没有进行分类分区差异对比</w:t>
      </w:r>
    </w:p>
    <w:p w14:paraId="3BAA297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(三)结果分析表述不准确</w:t>
      </w:r>
    </w:p>
    <w:p w14:paraId="160481A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变化幅度、趋势方向、现象描述、是否有定量分析</w:t>
      </w:r>
    </w:p>
    <w:p w14:paraId="71B59E7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3F3AA12D">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493E688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制表和单位</w:t>
      </w:r>
      <w:r>
        <w:rPr>
          <w:rFonts w:hint="eastAsia" w:ascii="Times New Roman" w:hAnsi="Times New Roman" w:eastAsia="宋体" w:cs="Times New Roman"/>
          <w:b w:val="0"/>
          <w:bCs w:val="0"/>
          <w:sz w:val="24"/>
          <w:szCs w:val="24"/>
          <w:lang w:val="en-US" w:eastAsia="zh-CN"/>
        </w:rPr>
        <w:t>的规范</w:t>
      </w:r>
    </w:p>
    <w:p w14:paraId="018B2C4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4DCE4E0D">
      <w:pPr>
        <w:numPr>
          <w:ilvl w:val="0"/>
          <w:numId w:val="9"/>
        </w:numPr>
        <w:spacing w:line="360" w:lineRule="auto"/>
        <w:jc w:val="both"/>
        <w:rPr>
          <w:rFonts w:hint="eastAsia"/>
          <w:b/>
          <w:bCs/>
          <w:sz w:val="24"/>
          <w:szCs w:val="24"/>
          <w:lang w:val="en-US" w:eastAsia="zh-CN"/>
        </w:rPr>
      </w:pPr>
      <w:r>
        <w:rPr>
          <w:rFonts w:hint="eastAsia"/>
          <w:b/>
          <w:bCs/>
          <w:sz w:val="24"/>
          <w:szCs w:val="24"/>
          <w:lang w:val="en-US" w:eastAsia="zh-CN"/>
        </w:rPr>
        <w:t>报告质量</w:t>
      </w:r>
    </w:p>
    <w:p w14:paraId="374DDA4F">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(一)撰写与总结问题</w:t>
      </w:r>
    </w:p>
    <w:p w14:paraId="150D3F3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重点检查报告撰写的规范性（参考《土壤属性制图与专题图制图规范》）；表述是否严谨，语言文字随意性、小结部分是否进行归纳总结。</w:t>
      </w:r>
    </w:p>
    <w:p w14:paraId="6413115D">
      <w:pPr>
        <w:widowControl w:val="0"/>
        <w:numPr>
          <w:ilvl w:val="0"/>
          <w:numId w:val="0"/>
        </w:numPr>
        <w:spacing w:line="360" w:lineRule="auto"/>
        <w:ind w:left="0" w:leftChars="0" w:firstLine="480" w:firstLineChars="200"/>
        <w:jc w:val="both"/>
        <w:rPr>
          <w:rFonts w:hint="default"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第五章小结中“从速效钾来看，各乡镇差异极大，房庄镇林地、三朗镇......”这句话，</w:t>
      </w:r>
      <w:r>
        <w:rPr>
          <w:rFonts w:hint="default" w:ascii="Times New Roman" w:hAnsi="Times New Roman" w:eastAsia="宋体" w:cs="Times New Roman"/>
          <w:b w:val="0"/>
          <w:bCs w:val="0"/>
          <w:kern w:val="2"/>
          <w:sz w:val="24"/>
          <w:szCs w:val="24"/>
          <w:lang w:val="en-US" w:eastAsia="zh-CN" w:bidi="ar-SA"/>
        </w:rPr>
        <w:t>“房庄镇”、“三朗镇”并非定州市下辖乡镇。</w:t>
      </w:r>
    </w:p>
    <w:p w14:paraId="3A3E1378">
      <w:pPr>
        <w:widowControl w:val="0"/>
        <w:numPr>
          <w:ilvl w:val="0"/>
          <w:numId w:val="0"/>
        </w:numPr>
        <w:spacing w:line="360" w:lineRule="auto"/>
        <w:ind w:left="0" w:leftChars="0" w:firstLine="420" w:firstLineChars="200"/>
        <w:jc w:val="both"/>
        <w:rPr>
          <w:rFonts w:hint="default" w:ascii="Times New Roman" w:hAnsi="Times New Roman" w:eastAsia="宋体" w:cs="Times New Roman"/>
          <w:b w:val="0"/>
          <w:bCs w:val="0"/>
          <w:kern w:val="2"/>
          <w:sz w:val="24"/>
          <w:szCs w:val="24"/>
          <w:lang w:val="en-US" w:eastAsia="zh-CN" w:bidi="ar-SA"/>
        </w:rPr>
      </w:pPr>
      <w:r>
        <w:drawing>
          <wp:inline distT="0" distB="0" distL="114300" distR="114300">
            <wp:extent cx="5273040" cy="1129665"/>
            <wp:effectExtent l="0" t="0" r="10160" b="635"/>
            <wp:docPr id="4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4"/>
                    <pic:cNvPicPr>
                      <a:picLocks noChangeAspect="1"/>
                    </pic:cNvPicPr>
                  </pic:nvPicPr>
                  <pic:blipFill>
                    <a:blip r:embed="rId41"/>
                    <a:stretch>
                      <a:fillRect/>
                    </a:stretch>
                  </pic:blipFill>
                  <pic:spPr>
                    <a:xfrm>
                      <a:off x="0" y="0"/>
                      <a:ext cx="5273040" cy="1129665"/>
                    </a:xfrm>
                    <a:prstGeom prst="rect">
                      <a:avLst/>
                    </a:prstGeom>
                    <a:noFill/>
                    <a:ln>
                      <a:noFill/>
                    </a:ln>
                  </pic:spPr>
                </pic:pic>
              </a:graphicData>
            </a:graphic>
          </wp:inline>
        </w:drawing>
      </w:r>
    </w:p>
    <w:p w14:paraId="605A265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(二)分析不足</w:t>
      </w:r>
    </w:p>
    <w:p w14:paraId="5EDC525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分析不深入、仅就数据论数据</w:t>
      </w:r>
    </w:p>
    <w:p w14:paraId="292D781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22255AA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(三)统计表与规范性问题</w:t>
      </w:r>
    </w:p>
    <w:p w14:paraId="07C51C9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表格的格式、标题、单位、排版格式、表头、图表清晰度</w:t>
      </w:r>
    </w:p>
    <w:p w14:paraId="5295CB13">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259EF2D6">
      <w:pPr>
        <w:numPr>
          <w:ilvl w:val="0"/>
          <w:numId w:val="0"/>
        </w:numPr>
        <w:spacing w:line="360" w:lineRule="auto"/>
        <w:jc w:val="both"/>
        <w:rPr>
          <w:rFonts w:hint="default"/>
          <w:b/>
          <w:bCs/>
          <w:sz w:val="24"/>
          <w:szCs w:val="24"/>
          <w:highlight w:val="none"/>
          <w:lang w:val="en-US" w:eastAsia="zh-CN"/>
        </w:rPr>
      </w:pPr>
      <w:r>
        <w:rPr>
          <w:rFonts w:hint="eastAsia"/>
          <w:b/>
          <w:bCs/>
          <w:sz w:val="24"/>
          <w:szCs w:val="24"/>
          <w:highlight w:val="none"/>
          <w:lang w:val="en-US" w:eastAsia="zh-CN"/>
        </w:rPr>
        <w:t>(四)分析报告未按导引或规范要求</w:t>
      </w:r>
    </w:p>
    <w:p w14:paraId="1F4C0580">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4C51B231">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(五)现状分析不深入</w:t>
      </w:r>
    </w:p>
    <w:p w14:paraId="02CB4C0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结合当地农业生产方式等进行成因分析、仅对表格数据进行简单文字</w:t>
      </w:r>
      <w:r>
        <w:rPr>
          <w:rFonts w:hint="eastAsia" w:ascii="Times New Roman" w:hAnsi="Times New Roman" w:eastAsia="宋体" w:cs="Times New Roman"/>
          <w:b w:val="0"/>
          <w:bCs w:val="0"/>
          <w:sz w:val="24"/>
          <w:szCs w:val="24"/>
          <w:lang w:val="en-US" w:eastAsia="zh-CN"/>
        </w:rPr>
        <w:t>表述；对与土壤类型无关的属性进行分析，如速磷、速钾</w:t>
      </w:r>
    </w:p>
    <w:p w14:paraId="6BC2A69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24DE8D4A">
      <w:pPr>
        <w:numPr>
          <w:ilvl w:val="0"/>
          <w:numId w:val="9"/>
        </w:numPr>
        <w:spacing w:line="360" w:lineRule="auto"/>
        <w:jc w:val="both"/>
        <w:rPr>
          <w:rFonts w:hint="eastAsia"/>
          <w:b/>
          <w:bCs/>
          <w:sz w:val="24"/>
          <w:szCs w:val="24"/>
          <w:lang w:val="en-US" w:eastAsia="zh-CN"/>
        </w:rPr>
      </w:pPr>
      <w:r>
        <w:rPr>
          <w:rFonts w:hint="eastAsia"/>
          <w:b/>
          <w:bCs/>
          <w:sz w:val="24"/>
          <w:szCs w:val="24"/>
          <w:lang w:val="en-US" w:eastAsia="zh-CN"/>
        </w:rPr>
        <w:t>一票否决</w:t>
      </w:r>
    </w:p>
    <w:p w14:paraId="431C7E11">
      <w:pPr>
        <w:numPr>
          <w:ilvl w:val="0"/>
          <w:numId w:val="12"/>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剔除样点过多，且无明确的逐个样点剔除说明</w:t>
      </w:r>
    </w:p>
    <w:p w14:paraId="6AEF4D9E">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7DC06A04">
      <w:pPr>
        <w:numPr>
          <w:ilvl w:val="0"/>
          <w:numId w:val="12"/>
        </w:numPr>
        <w:spacing w:line="360" w:lineRule="auto"/>
        <w:ind w:left="0" w:leftChars="0" w:firstLine="0" w:firstLineChars="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环境变量制备仅包括部分成土要素，未针对指标特征筛选环境变量，造成入模环境变量不合理</w:t>
      </w:r>
    </w:p>
    <w:p w14:paraId="1AA49C61">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highlight w:val="none"/>
          <w:lang w:val="en-US" w:eastAsia="zh-CN"/>
        </w:rPr>
      </w:pPr>
      <w:r>
        <w:rPr>
          <w:rFonts w:hint="eastAsia" w:ascii="Times New Roman" w:hAnsi="Times New Roman" w:eastAsia="宋体" w:cs="Times New Roman"/>
          <w:b w:val="0"/>
          <w:bCs w:val="0"/>
          <w:color w:val="FF0000"/>
          <w:sz w:val="24"/>
          <w:szCs w:val="24"/>
          <w:highlight w:val="none"/>
          <w:lang w:val="en-US" w:eastAsia="zh-CN"/>
        </w:rPr>
        <w:t>未针对不同属性的成土过程差异筛选特异性环境变量</w:t>
      </w:r>
    </w:p>
    <w:p w14:paraId="0A4B8D0A">
      <w:pPr>
        <w:numPr>
          <w:ilvl w:val="0"/>
          <w:numId w:val="12"/>
        </w:numPr>
        <w:spacing w:line="360" w:lineRule="auto"/>
        <w:ind w:left="0" w:leftChars="0" w:firstLine="0" w:firstLineChars="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山地丘陵区采用普通克里格或IDW模型</w:t>
      </w:r>
    </w:p>
    <w:p w14:paraId="271667D1">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2072AC6D">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(四)制图结果空间分布明显与实际不符（如DEM高，PH低的规律）</w:t>
      </w:r>
    </w:p>
    <w:p w14:paraId="659759AA">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2D98D333">
      <w:pPr>
        <w:numPr>
          <w:ilvl w:val="0"/>
          <w:numId w:val="0"/>
        </w:numPr>
        <w:spacing w:line="360" w:lineRule="auto"/>
        <w:jc w:val="both"/>
        <w:rPr>
          <w:rFonts w:hint="default" w:ascii="Times New Roman" w:hAnsi="Times New Roman" w:eastAsia="宋体" w:cs="Times New Roman"/>
          <w:b w:val="0"/>
          <w:bCs w:val="0"/>
          <w:sz w:val="24"/>
          <w:szCs w:val="24"/>
          <w:highlight w:val="red"/>
          <w:lang w:val="en-US" w:eastAsia="zh-CN"/>
        </w:rPr>
      </w:pPr>
    </w:p>
    <w:p w14:paraId="4A7CB3A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p>
    <w:p w14:paraId="698E644D">
      <w:pPr>
        <w:rPr>
          <w:rFonts w:hint="eastAsia"/>
          <w:sz w:val="32"/>
          <w:szCs w:val="32"/>
          <w:lang w:val="en-US" w:eastAsia="zh-CN"/>
        </w:rPr>
      </w:pPr>
    </w:p>
    <w:p w14:paraId="56E6C250">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第三部分：土壤退化、障碍与改良成果质控意见</w:t>
      </w:r>
    </w:p>
    <w:p w14:paraId="70937E64">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第四部分：土壤农业利用适宜性评价成果质控意见</w:t>
      </w:r>
    </w:p>
    <w:p w14:paraId="266B0D62">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第五部分：耕地质量等级评价成果质控意见</w:t>
      </w:r>
    </w:p>
    <w:p w14:paraId="21E24481">
      <w:pPr>
        <w:keepNext w:val="0"/>
        <w:keepLines w:val="0"/>
        <w:pageBreakBefore w:val="0"/>
        <w:widowControl w:val="0"/>
        <w:kinsoku/>
        <w:wordWrap/>
        <w:overflowPunct/>
        <w:topLinePunct w:val="0"/>
        <w:autoSpaceDE/>
        <w:autoSpaceDN/>
        <w:bidi w:val="0"/>
        <w:adjustRightInd/>
        <w:snapToGrid/>
        <w:jc w:val="center"/>
        <w:textAlignment w:val="auto"/>
        <w:rPr>
          <w:rFonts w:hint="default"/>
          <w:sz w:val="32"/>
          <w:szCs w:val="32"/>
          <w:lang w:val="en-US" w:eastAsia="zh-CN"/>
        </w:rPr>
      </w:pPr>
      <w:r>
        <w:rPr>
          <w:rFonts w:hint="eastAsia"/>
          <w:sz w:val="32"/>
          <w:szCs w:val="32"/>
          <w:lang w:val="en-US" w:eastAsia="zh-CN"/>
        </w:rPr>
        <w:t>第六部分：土特产品土壤适宜性评价成果质控意见</w:t>
      </w:r>
    </w:p>
    <w:p w14:paraId="0CEBA02B">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FBDEF4"/>
    <w:multiLevelType w:val="singleLevel"/>
    <w:tmpl w:val="85FBDEF4"/>
    <w:lvl w:ilvl="0" w:tentative="0">
      <w:start w:val="1"/>
      <w:numFmt w:val="decimal"/>
      <w:suff w:val="nothing"/>
      <w:lvlText w:val="（%1）"/>
      <w:lvlJc w:val="left"/>
    </w:lvl>
  </w:abstractNum>
  <w:abstractNum w:abstractNumId="1">
    <w:nsid w:val="86AF1D9A"/>
    <w:multiLevelType w:val="singleLevel"/>
    <w:tmpl w:val="86AF1D9A"/>
    <w:lvl w:ilvl="0" w:tentative="0">
      <w:start w:val="1"/>
      <w:numFmt w:val="decimal"/>
      <w:suff w:val="space"/>
      <w:lvlText w:val="%1."/>
      <w:lvlJc w:val="left"/>
    </w:lvl>
  </w:abstractNum>
  <w:abstractNum w:abstractNumId="2">
    <w:nsid w:val="94EAE951"/>
    <w:multiLevelType w:val="singleLevel"/>
    <w:tmpl w:val="94EAE951"/>
    <w:lvl w:ilvl="0" w:tentative="0">
      <w:start w:val="1"/>
      <w:numFmt w:val="chineseCounting"/>
      <w:suff w:val="nothing"/>
      <w:lvlText w:val="%1、"/>
      <w:lvlJc w:val="left"/>
      <w:rPr>
        <w:rFonts w:hint="eastAsia"/>
      </w:rPr>
    </w:lvl>
  </w:abstractNum>
  <w:abstractNum w:abstractNumId="3">
    <w:nsid w:val="A1CD3B09"/>
    <w:multiLevelType w:val="singleLevel"/>
    <w:tmpl w:val="A1CD3B09"/>
    <w:lvl w:ilvl="0" w:tentative="0">
      <w:start w:val="1"/>
      <w:numFmt w:val="chineseCounting"/>
      <w:lvlText w:val="(%1)"/>
      <w:lvlJc w:val="left"/>
      <w:pPr>
        <w:tabs>
          <w:tab w:val="left" w:pos="312"/>
        </w:tabs>
      </w:pPr>
      <w:rPr>
        <w:rFonts w:hint="eastAsia"/>
      </w:rPr>
    </w:lvl>
  </w:abstractNum>
  <w:abstractNum w:abstractNumId="4">
    <w:nsid w:val="BFC5C279"/>
    <w:multiLevelType w:val="singleLevel"/>
    <w:tmpl w:val="BFC5C279"/>
    <w:lvl w:ilvl="0" w:tentative="0">
      <w:start w:val="1"/>
      <w:numFmt w:val="chineseCounting"/>
      <w:suff w:val="nothing"/>
      <w:lvlText w:val="（%1）"/>
      <w:lvlJc w:val="left"/>
      <w:rPr>
        <w:rFonts w:hint="eastAsia"/>
      </w:rPr>
    </w:lvl>
  </w:abstractNum>
  <w:abstractNum w:abstractNumId="5">
    <w:nsid w:val="E59200AC"/>
    <w:multiLevelType w:val="singleLevel"/>
    <w:tmpl w:val="E59200AC"/>
    <w:lvl w:ilvl="0" w:tentative="0">
      <w:start w:val="4"/>
      <w:numFmt w:val="decimal"/>
      <w:suff w:val="space"/>
      <w:lvlText w:val="%1."/>
      <w:lvlJc w:val="left"/>
    </w:lvl>
  </w:abstractNum>
  <w:abstractNum w:abstractNumId="6">
    <w:nsid w:val="F9BF65ED"/>
    <w:multiLevelType w:val="singleLevel"/>
    <w:tmpl w:val="F9BF65ED"/>
    <w:lvl w:ilvl="0" w:tentative="0">
      <w:start w:val="2"/>
      <w:numFmt w:val="decimal"/>
      <w:lvlText w:val="%1."/>
      <w:lvlJc w:val="left"/>
      <w:pPr>
        <w:tabs>
          <w:tab w:val="left" w:pos="312"/>
        </w:tabs>
      </w:pPr>
    </w:lvl>
  </w:abstractNum>
  <w:abstractNum w:abstractNumId="7">
    <w:nsid w:val="3B50BEA1"/>
    <w:multiLevelType w:val="singleLevel"/>
    <w:tmpl w:val="3B50BEA1"/>
    <w:lvl w:ilvl="0" w:tentative="0">
      <w:start w:val="1"/>
      <w:numFmt w:val="decimal"/>
      <w:suff w:val="nothing"/>
      <w:lvlText w:val="（%1）"/>
      <w:lvlJc w:val="left"/>
    </w:lvl>
  </w:abstractNum>
  <w:abstractNum w:abstractNumId="8">
    <w:nsid w:val="40E1F2E8"/>
    <w:multiLevelType w:val="singleLevel"/>
    <w:tmpl w:val="40E1F2E8"/>
    <w:lvl w:ilvl="0" w:tentative="0">
      <w:start w:val="1"/>
      <w:numFmt w:val="chineseCounting"/>
      <w:suff w:val="nothing"/>
      <w:lvlText w:val="%1、"/>
      <w:lvlJc w:val="left"/>
      <w:rPr>
        <w:rFonts w:hint="eastAsia"/>
      </w:rPr>
    </w:lvl>
  </w:abstractNum>
  <w:abstractNum w:abstractNumId="9">
    <w:nsid w:val="6888C8A3"/>
    <w:multiLevelType w:val="singleLevel"/>
    <w:tmpl w:val="6888C8A3"/>
    <w:lvl w:ilvl="0" w:tentative="0">
      <w:start w:val="1"/>
      <w:numFmt w:val="decimal"/>
      <w:suff w:val="nothing"/>
      <w:lvlText w:val="（%1）"/>
      <w:lvlJc w:val="left"/>
    </w:lvl>
  </w:abstractNum>
  <w:abstractNum w:abstractNumId="10">
    <w:nsid w:val="75D92306"/>
    <w:multiLevelType w:val="singleLevel"/>
    <w:tmpl w:val="75D92306"/>
    <w:lvl w:ilvl="0" w:tentative="0">
      <w:start w:val="4"/>
      <w:numFmt w:val="decimal"/>
      <w:lvlText w:val="%1."/>
      <w:lvlJc w:val="left"/>
      <w:pPr>
        <w:tabs>
          <w:tab w:val="left" w:pos="312"/>
        </w:tabs>
      </w:pPr>
    </w:lvl>
  </w:abstractNum>
  <w:abstractNum w:abstractNumId="11">
    <w:nsid w:val="7B291DEC"/>
    <w:multiLevelType w:val="singleLevel"/>
    <w:tmpl w:val="7B291DEC"/>
    <w:lvl w:ilvl="0" w:tentative="0">
      <w:start w:val="1"/>
      <w:numFmt w:val="decimal"/>
      <w:suff w:val="nothing"/>
      <w:lvlText w:val="（%1）"/>
      <w:lvlJc w:val="left"/>
    </w:lvl>
  </w:abstractNum>
  <w:num w:numId="1">
    <w:abstractNumId w:val="2"/>
  </w:num>
  <w:num w:numId="2">
    <w:abstractNumId w:val="4"/>
  </w:num>
  <w:num w:numId="3">
    <w:abstractNumId w:val="1"/>
  </w:num>
  <w:num w:numId="4">
    <w:abstractNumId w:val="9"/>
  </w:num>
  <w:num w:numId="5">
    <w:abstractNumId w:val="0"/>
  </w:num>
  <w:num w:numId="6">
    <w:abstractNumId w:val="5"/>
  </w:num>
  <w:num w:numId="7">
    <w:abstractNumId w:val="7"/>
  </w:num>
  <w:num w:numId="8">
    <w:abstractNumId w:val="11"/>
  </w:num>
  <w:num w:numId="9">
    <w:abstractNumId w:val="8"/>
  </w:num>
  <w:num w:numId="10">
    <w:abstractNumId w:val="10"/>
  </w:num>
  <w:num w:numId="11">
    <w:abstractNumId w:val="6"/>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5D27D5"/>
    <w:rsid w:val="02CB036C"/>
    <w:rsid w:val="17F16BC0"/>
    <w:rsid w:val="18797770"/>
    <w:rsid w:val="19B81AFF"/>
    <w:rsid w:val="1EF1268E"/>
    <w:rsid w:val="206F7715"/>
    <w:rsid w:val="20A538E9"/>
    <w:rsid w:val="22D65B11"/>
    <w:rsid w:val="23645C20"/>
    <w:rsid w:val="27CB7F20"/>
    <w:rsid w:val="289B4DD5"/>
    <w:rsid w:val="343241B7"/>
    <w:rsid w:val="35035260"/>
    <w:rsid w:val="37AE2D39"/>
    <w:rsid w:val="3D733971"/>
    <w:rsid w:val="3F704E97"/>
    <w:rsid w:val="44B70F53"/>
    <w:rsid w:val="49626DF3"/>
    <w:rsid w:val="50951E8B"/>
    <w:rsid w:val="555B2926"/>
    <w:rsid w:val="58F4465D"/>
    <w:rsid w:val="5C990189"/>
    <w:rsid w:val="5D4A7966"/>
    <w:rsid w:val="5D4E6CF7"/>
    <w:rsid w:val="67E601AA"/>
    <w:rsid w:val="684306D8"/>
    <w:rsid w:val="735D27D5"/>
    <w:rsid w:val="75652C8D"/>
    <w:rsid w:val="7FF86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toc 3"/>
    <w:basedOn w:val="1"/>
    <w:next w:val="1"/>
    <w:qFormat/>
    <w:uiPriority w:val="0"/>
    <w:pPr>
      <w:ind w:left="840" w:leftChars="400"/>
    </w:pPr>
  </w:style>
  <w:style w:type="paragraph" w:styleId="3">
    <w:name w:val="toc 1"/>
    <w:basedOn w:val="1"/>
    <w:next w:val="1"/>
    <w:qFormat/>
    <w:uiPriority w:val="0"/>
  </w:style>
  <w:style w:type="paragraph" w:styleId="4">
    <w:name w:val="toc 2"/>
    <w:basedOn w:val="1"/>
    <w:next w:val="1"/>
    <w:qFormat/>
    <w:uiPriority w:val="0"/>
    <w:pPr>
      <w:ind w:left="420" w:leftChars="200"/>
    </w:p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jpe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5753</Words>
  <Characters>6100</Characters>
  <Lines>0</Lines>
  <Paragraphs>0</Paragraphs>
  <TotalTime>0</TotalTime>
  <ScaleCrop>false</ScaleCrop>
  <LinksUpToDate>false</LinksUpToDate>
  <CharactersWithSpaces>6225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2026-07-09T11:10:00Z</dcterms:created>
  <dc:creator>颖</dc:creator>
  <cp:lastModifiedBy>行</cp:lastModifiedBy>
  <dcterms:modified xsi:type="dcterms:W3CDTF">2026-07-20T01:28:03Z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B11DACCA9BA3461C82093E017FF15BCD_13</vt:lpwstr>
  </property>
  <property fmtid="{D5CDD505-2E9C-101B-9397-08002B2CF9AE}" pid="4" name="KSOTemplateDocerSaveRecord">
    <vt:lpwstr>eyJoZGlkIjoiMjg1ZTFhZTI0N2UzMmIxMTc0YjNhZTU1ZTllNTMzMDUiLCJ1c2VySWQiOiIxMjM2NzI1Mjk2In0=</vt:lpwstr>
  </property>
</Properties>
</file>