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BB0FF">
      <w:pPr>
        <w:jc w:val="center"/>
        <w:rPr>
          <w:rFonts w:hint="eastAsia"/>
          <w:sz w:val="28"/>
          <w:szCs w:val="36"/>
          <w:lang w:val="en-US" w:eastAsia="zh-CN"/>
        </w:rPr>
      </w:pPr>
    </w:p>
    <w:p w14:paraId="3C937BC2">
      <w:pPr>
        <w:jc w:val="center"/>
        <w:rPr>
          <w:rFonts w:hint="eastAsia"/>
          <w:sz w:val="28"/>
          <w:szCs w:val="36"/>
          <w:lang w:val="en-US" w:eastAsia="zh-CN"/>
        </w:rPr>
      </w:pPr>
    </w:p>
    <w:p w14:paraId="51305CB5">
      <w:pPr>
        <w:jc w:val="center"/>
        <w:rPr>
          <w:rFonts w:hint="eastAsia"/>
          <w:sz w:val="28"/>
          <w:szCs w:val="36"/>
          <w:lang w:val="en-US" w:eastAsia="zh-CN"/>
        </w:rPr>
      </w:pPr>
    </w:p>
    <w:p w14:paraId="0D0A3176">
      <w:pPr>
        <w:jc w:val="center"/>
        <w:rPr>
          <w:rFonts w:hint="eastAsia"/>
          <w:sz w:val="28"/>
          <w:szCs w:val="36"/>
          <w:lang w:val="en-US" w:eastAsia="zh-CN"/>
        </w:rPr>
      </w:pPr>
    </w:p>
    <w:p w14:paraId="38D42EA3">
      <w:pPr>
        <w:jc w:val="center"/>
        <w:rPr>
          <w:rFonts w:hint="eastAsia"/>
          <w:sz w:val="36"/>
          <w:szCs w:val="44"/>
          <w:lang w:val="en-US" w:eastAsia="zh-CN"/>
        </w:rPr>
      </w:pPr>
      <w:r>
        <w:rPr>
          <w:rFonts w:hint="eastAsia"/>
          <w:sz w:val="36"/>
          <w:szCs w:val="44"/>
          <w:lang w:val="en-US" w:eastAsia="zh-CN"/>
        </w:rPr>
        <w:t>涞源县、顺平、易县第三次全国土壤普查成果质控报告</w:t>
      </w:r>
    </w:p>
    <w:p w14:paraId="1529B11F">
      <w:pPr>
        <w:jc w:val="center"/>
        <w:rPr>
          <w:rFonts w:hint="default"/>
          <w:sz w:val="36"/>
          <w:szCs w:val="44"/>
          <w:lang w:val="en-US" w:eastAsia="zh-CN"/>
        </w:rPr>
      </w:pPr>
      <w:r>
        <w:rPr>
          <w:rFonts w:hint="eastAsia"/>
          <w:sz w:val="36"/>
          <w:szCs w:val="44"/>
          <w:lang w:val="en-US" w:eastAsia="zh-CN"/>
        </w:rPr>
        <w:t xml:space="preserve">                              </w:t>
      </w:r>
      <w:bookmarkStart w:id="12" w:name="_GoBack"/>
      <w:bookmarkEnd w:id="12"/>
      <w:r>
        <w:rPr>
          <w:rFonts w:hint="eastAsia"/>
          <w:sz w:val="36"/>
          <w:szCs w:val="44"/>
          <w:lang w:val="en-US" w:eastAsia="zh-CN"/>
        </w:rPr>
        <w:t>——以涞源县为例</w:t>
      </w:r>
    </w:p>
    <w:p w14:paraId="4934620B">
      <w:pPr>
        <w:jc w:val="center"/>
        <w:rPr>
          <w:rFonts w:hint="eastAsia"/>
          <w:sz w:val="36"/>
          <w:szCs w:val="44"/>
          <w:lang w:val="en-US" w:eastAsia="zh-CN"/>
        </w:rPr>
      </w:pPr>
      <w:r>
        <w:rPr>
          <w:rFonts w:hint="eastAsia"/>
          <w:sz w:val="36"/>
          <w:szCs w:val="44"/>
          <w:lang w:val="en-US" w:eastAsia="zh-CN"/>
        </w:rPr>
        <w:t>（第一轮）</w:t>
      </w:r>
    </w:p>
    <w:p w14:paraId="523351B0">
      <w:pPr>
        <w:jc w:val="center"/>
        <w:rPr>
          <w:rFonts w:hint="eastAsia"/>
          <w:sz w:val="28"/>
          <w:szCs w:val="36"/>
          <w:lang w:val="en-US" w:eastAsia="zh-CN"/>
        </w:rPr>
      </w:pPr>
    </w:p>
    <w:p w14:paraId="0B68E88C">
      <w:pPr>
        <w:jc w:val="center"/>
        <w:rPr>
          <w:rFonts w:hint="eastAsia"/>
          <w:sz w:val="28"/>
          <w:szCs w:val="36"/>
          <w:lang w:val="en-US" w:eastAsia="zh-CN"/>
        </w:rPr>
      </w:pPr>
    </w:p>
    <w:p w14:paraId="19D2A476">
      <w:pPr>
        <w:jc w:val="center"/>
        <w:rPr>
          <w:rFonts w:hint="eastAsia"/>
          <w:sz w:val="28"/>
          <w:szCs w:val="36"/>
          <w:lang w:val="en-US" w:eastAsia="zh-CN"/>
        </w:rPr>
      </w:pPr>
    </w:p>
    <w:p w14:paraId="2AD4F402">
      <w:pPr>
        <w:jc w:val="center"/>
        <w:rPr>
          <w:rFonts w:hint="eastAsia"/>
          <w:sz w:val="28"/>
          <w:szCs w:val="36"/>
          <w:lang w:val="en-US" w:eastAsia="zh-CN"/>
        </w:rPr>
      </w:pPr>
    </w:p>
    <w:p w14:paraId="73790DA4">
      <w:pPr>
        <w:jc w:val="center"/>
        <w:rPr>
          <w:rFonts w:hint="eastAsia"/>
          <w:sz w:val="28"/>
          <w:szCs w:val="36"/>
          <w:lang w:val="en-US" w:eastAsia="zh-CN"/>
        </w:rPr>
      </w:pPr>
    </w:p>
    <w:p w14:paraId="31B59BBA">
      <w:pPr>
        <w:jc w:val="center"/>
        <w:rPr>
          <w:rFonts w:hint="eastAsia"/>
          <w:sz w:val="28"/>
          <w:szCs w:val="36"/>
          <w:lang w:val="en-US" w:eastAsia="zh-CN"/>
        </w:rPr>
      </w:pPr>
    </w:p>
    <w:p w14:paraId="174E10FA">
      <w:pPr>
        <w:jc w:val="center"/>
        <w:rPr>
          <w:rFonts w:hint="eastAsia"/>
          <w:sz w:val="28"/>
          <w:szCs w:val="36"/>
          <w:lang w:val="en-US" w:eastAsia="zh-CN"/>
        </w:rPr>
      </w:pPr>
    </w:p>
    <w:p w14:paraId="74E85DBD">
      <w:pPr>
        <w:jc w:val="center"/>
        <w:rPr>
          <w:rFonts w:hint="eastAsia"/>
          <w:sz w:val="28"/>
          <w:szCs w:val="36"/>
          <w:lang w:val="en-US" w:eastAsia="zh-CN"/>
        </w:rPr>
      </w:pPr>
    </w:p>
    <w:p w14:paraId="156994B2">
      <w:pPr>
        <w:jc w:val="center"/>
        <w:rPr>
          <w:rFonts w:hint="eastAsia"/>
          <w:sz w:val="28"/>
          <w:szCs w:val="36"/>
          <w:lang w:val="en-US" w:eastAsia="zh-CN"/>
        </w:rPr>
      </w:pPr>
    </w:p>
    <w:p w14:paraId="0F98AD73">
      <w:pPr>
        <w:jc w:val="center"/>
        <w:rPr>
          <w:rFonts w:hint="eastAsia"/>
          <w:sz w:val="28"/>
          <w:szCs w:val="36"/>
          <w:lang w:val="en-US" w:eastAsia="zh-CN"/>
        </w:rPr>
      </w:pPr>
    </w:p>
    <w:p w14:paraId="237A9149">
      <w:pPr>
        <w:jc w:val="center"/>
        <w:rPr>
          <w:rFonts w:hint="eastAsia"/>
          <w:sz w:val="28"/>
          <w:szCs w:val="36"/>
          <w:lang w:val="en-US" w:eastAsia="zh-CN"/>
        </w:rPr>
      </w:pPr>
    </w:p>
    <w:p w14:paraId="136EE33D">
      <w:pPr>
        <w:jc w:val="center"/>
        <w:rPr>
          <w:rFonts w:hint="eastAsia"/>
          <w:sz w:val="28"/>
          <w:szCs w:val="36"/>
          <w:lang w:val="en-US" w:eastAsia="zh-CN"/>
        </w:rPr>
      </w:pPr>
    </w:p>
    <w:p w14:paraId="47104D32">
      <w:pPr>
        <w:jc w:val="center"/>
        <w:rPr>
          <w:rFonts w:hint="eastAsia"/>
          <w:sz w:val="28"/>
          <w:szCs w:val="36"/>
          <w:lang w:val="en-US" w:eastAsia="zh-CN"/>
        </w:rPr>
      </w:pPr>
    </w:p>
    <w:p w14:paraId="69A786F9">
      <w:pPr>
        <w:jc w:val="center"/>
        <w:rPr>
          <w:rFonts w:hint="default"/>
          <w:sz w:val="28"/>
          <w:szCs w:val="36"/>
          <w:lang w:val="en-US" w:eastAsia="zh-CN"/>
        </w:rPr>
        <w:sectPr>
          <w:pgSz w:w="11906" w:h="16838"/>
          <w:pgMar w:top="1440" w:right="1800" w:bottom="1440" w:left="1800" w:header="851" w:footer="992" w:gutter="0"/>
          <w:cols w:space="425" w:num="1"/>
          <w:docGrid w:type="lines" w:linePitch="312" w:charSpace="0"/>
        </w:sectPr>
      </w:pPr>
      <w:r>
        <w:rPr>
          <w:rFonts w:hint="eastAsia"/>
          <w:sz w:val="28"/>
          <w:szCs w:val="36"/>
          <w:lang w:val="en-US" w:eastAsia="zh-CN"/>
        </w:rPr>
        <w:t>2026年7月15日</w:t>
      </w:r>
    </w:p>
    <w:sdt>
      <w:sdtPr>
        <w:rPr>
          <w:rFonts w:ascii="宋体" w:hAnsi="宋体" w:eastAsia="宋体" w:cstheme="minorBidi"/>
          <w:kern w:val="2"/>
          <w:sz w:val="21"/>
          <w:szCs w:val="24"/>
          <w:lang w:val="en-US" w:eastAsia="zh-CN" w:bidi="ar-SA"/>
        </w:rPr>
        <w:id w:val="147471173"/>
        <w15:color w:val="DBDBDB"/>
        <w:docPartObj>
          <w:docPartGallery w:val="Table of Contents"/>
          <w:docPartUnique/>
        </w:docPartObj>
      </w:sdtPr>
      <w:sdtEndPr>
        <w:rPr>
          <w:rFonts w:hint="default" w:asciiTheme="minorHAnsi" w:hAnsiTheme="minorHAnsi" w:eastAsiaTheme="minorEastAsia" w:cstheme="minorBidi"/>
          <w:kern w:val="2"/>
          <w:sz w:val="21"/>
          <w:szCs w:val="36"/>
          <w:lang w:val="en-US" w:eastAsia="zh-CN" w:bidi="ar-SA"/>
        </w:rPr>
      </w:sdtEndPr>
      <w:sdtContent>
        <w:p w14:paraId="14201439">
          <w:pPr>
            <w:spacing w:before="0" w:beforeLines="0" w:after="0" w:afterLines="0" w:line="240" w:lineRule="auto"/>
            <w:ind w:left="0" w:leftChars="0" w:right="0" w:rightChars="0" w:firstLine="0" w:firstLineChars="0"/>
            <w:jc w:val="center"/>
          </w:pPr>
          <w:r>
            <w:rPr>
              <w:rFonts w:ascii="宋体" w:hAnsi="宋体" w:eastAsia="宋体"/>
              <w:sz w:val="32"/>
              <w:szCs w:val="40"/>
            </w:rPr>
            <w:t>目录</w:t>
          </w:r>
        </w:p>
        <w:p w14:paraId="175C44AF">
          <w:pPr>
            <w:pStyle w:val="2"/>
            <w:tabs>
              <w:tab w:val="right" w:leader="dot" w:pos="8306"/>
            </w:tabs>
          </w:pPr>
          <w:r>
            <w:rPr>
              <w:rFonts w:hint="default" w:asciiTheme="minorHAnsi" w:hAnsiTheme="minorHAnsi" w:eastAsiaTheme="minorEastAsia" w:cstheme="minorBidi"/>
              <w:kern w:val="2"/>
              <w:sz w:val="21"/>
              <w:szCs w:val="36"/>
              <w:lang w:val="en-US" w:eastAsia="zh-CN" w:bidi="ar-SA"/>
            </w:rPr>
            <w:fldChar w:fldCharType="begin"/>
          </w:r>
          <w:r>
            <w:rPr>
              <w:rFonts w:hint="default" w:asciiTheme="minorHAnsi" w:hAnsiTheme="minorHAnsi" w:eastAsiaTheme="minorEastAsia" w:cstheme="minorBidi"/>
              <w:kern w:val="2"/>
              <w:sz w:val="21"/>
              <w:szCs w:val="36"/>
              <w:lang w:val="en-US" w:eastAsia="zh-CN" w:bidi="ar-SA"/>
            </w:rPr>
            <w:instrText xml:space="preserve">TOC \o "1-2" \h \u </w:instrText>
          </w:r>
          <w:r>
            <w:rPr>
              <w:rFonts w:hint="default" w:asciiTheme="minorHAnsi" w:hAnsiTheme="minorHAnsi" w:eastAsiaTheme="minorEastAsia" w:cstheme="minorBidi"/>
              <w:kern w:val="2"/>
              <w:sz w:val="21"/>
              <w:szCs w:val="36"/>
              <w:lang w:val="en-US" w:eastAsia="zh-CN" w:bidi="ar-SA"/>
            </w:rPr>
            <w:fldChar w:fldCharType="separate"/>
          </w: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_Toc5483 </w:instrText>
          </w:r>
          <w:r>
            <w:rPr>
              <w:rFonts w:hint="default" w:asciiTheme="minorHAnsi" w:hAnsiTheme="minorHAnsi" w:eastAsiaTheme="minorEastAsia" w:cstheme="minorBidi"/>
              <w:kern w:val="2"/>
              <w:szCs w:val="36"/>
              <w:lang w:val="en-US" w:eastAsia="zh-CN" w:bidi="ar-SA"/>
            </w:rPr>
            <w:fldChar w:fldCharType="separate"/>
          </w:r>
          <w:r>
            <w:rPr>
              <w:rFonts w:hint="eastAsia"/>
              <w:szCs w:val="32"/>
              <w:lang w:val="en-US" w:eastAsia="zh-CN"/>
            </w:rPr>
            <w:t>第一部分：土壤类型图成果质控意见</w:t>
          </w:r>
          <w:r>
            <w:tab/>
          </w:r>
          <w:r>
            <w:fldChar w:fldCharType="begin"/>
          </w:r>
          <w:r>
            <w:instrText xml:space="preserve"> PAGEREF _Toc5483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56913ED5">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_Toc17825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szCs w:val="30"/>
              <w:lang w:eastAsia="zh-CN"/>
            </w:rPr>
            <w:t>一、 数据成果</w:t>
          </w:r>
          <w:r>
            <w:tab/>
          </w:r>
          <w:r>
            <w:fldChar w:fldCharType="begin"/>
          </w:r>
          <w:r>
            <w:instrText xml:space="preserve"> PAGEREF _Toc17825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20756760">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_Toc7394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szCs w:val="28"/>
              <w:lang w:eastAsia="zh-CN"/>
            </w:rPr>
            <w:t>（一）数据组织与完整性</w:t>
          </w:r>
          <w:r>
            <w:tab/>
          </w:r>
          <w:r>
            <w:fldChar w:fldCharType="begin"/>
          </w:r>
          <w:r>
            <w:instrText xml:space="preserve"> PAGEREF _Toc7394 \h </w:instrText>
          </w:r>
          <w:r>
            <w:fldChar w:fldCharType="separate"/>
          </w:r>
          <w:r>
            <w:t>4</w:t>
          </w:r>
          <w:r>
            <w:fldChar w:fldCharType="end"/>
          </w:r>
          <w:r>
            <w:rPr>
              <w:rFonts w:hint="default" w:asciiTheme="minorHAnsi" w:hAnsiTheme="minorHAnsi" w:eastAsiaTheme="minorEastAsia" w:cstheme="minorBidi"/>
              <w:kern w:val="2"/>
              <w:szCs w:val="36"/>
              <w:lang w:val="en-US" w:eastAsia="zh-CN" w:bidi="ar-SA"/>
            </w:rPr>
            <w:fldChar w:fldCharType="end"/>
          </w:r>
        </w:p>
        <w:p w14:paraId="7ECDDF6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_Toc18472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（二）核心数据成果核查</w:t>
          </w:r>
          <w:r>
            <w:tab/>
          </w:r>
          <w:r>
            <w:fldChar w:fldCharType="begin"/>
          </w:r>
          <w:r>
            <w:instrText xml:space="preserve"> PAGEREF _Toc18472 \h </w:instrText>
          </w:r>
          <w:r>
            <w:fldChar w:fldCharType="separate"/>
          </w:r>
          <w:r>
            <w:t>6</w:t>
          </w:r>
          <w:r>
            <w:fldChar w:fldCharType="end"/>
          </w:r>
          <w:r>
            <w:rPr>
              <w:rFonts w:hint="default" w:asciiTheme="minorHAnsi" w:hAnsiTheme="minorHAnsi" w:eastAsiaTheme="minorEastAsia" w:cstheme="minorBidi"/>
              <w:kern w:val="2"/>
              <w:szCs w:val="36"/>
              <w:lang w:val="en-US" w:eastAsia="zh-CN" w:bidi="ar-SA"/>
            </w:rPr>
            <w:fldChar w:fldCharType="end"/>
          </w:r>
        </w:p>
        <w:p w14:paraId="4FA6125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_Toc14635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二、图件成果</w:t>
          </w:r>
          <w:r>
            <w:tab/>
          </w:r>
          <w:r>
            <w:fldChar w:fldCharType="begin"/>
          </w:r>
          <w:r>
            <w:instrText xml:space="preserve"> PAGEREF _Toc14635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7208F2FD">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_Toc15312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（一）图件规范性审查</w:t>
          </w:r>
          <w:r>
            <w:tab/>
          </w:r>
          <w:r>
            <w:fldChar w:fldCharType="begin"/>
          </w:r>
          <w:r>
            <w:instrText xml:space="preserve"> PAGEREF _Toc15312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700BBAE">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_Toc26692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（二）基础地理要素核查</w:t>
          </w:r>
          <w:r>
            <w:tab/>
          </w:r>
          <w:r>
            <w:fldChar w:fldCharType="begin"/>
          </w:r>
          <w:r>
            <w:instrText xml:space="preserve"> PAGEREF _Toc26692 \h </w:instrText>
          </w:r>
          <w:r>
            <w:fldChar w:fldCharType="separate"/>
          </w:r>
          <w:r>
            <w:t>7</w:t>
          </w:r>
          <w:r>
            <w:fldChar w:fldCharType="end"/>
          </w:r>
          <w:r>
            <w:rPr>
              <w:rFonts w:hint="default" w:asciiTheme="minorHAnsi" w:hAnsiTheme="minorHAnsi" w:eastAsiaTheme="minorEastAsia" w:cstheme="minorBidi"/>
              <w:kern w:val="2"/>
              <w:szCs w:val="36"/>
              <w:lang w:val="en-US" w:eastAsia="zh-CN" w:bidi="ar-SA"/>
            </w:rPr>
            <w:fldChar w:fldCharType="end"/>
          </w:r>
        </w:p>
        <w:p w14:paraId="40A90ED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_Toc25965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（三）注记核查</w:t>
          </w:r>
          <w:r>
            <w:tab/>
          </w:r>
          <w:r>
            <w:fldChar w:fldCharType="begin"/>
          </w:r>
          <w:r>
            <w:instrText xml:space="preserve"> PAGEREF _Toc25965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19DB23A">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_Toc18263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（四）图面配置与整饰</w:t>
          </w:r>
          <w:r>
            <w:tab/>
          </w:r>
          <w:r>
            <w:fldChar w:fldCharType="begin"/>
          </w:r>
          <w:r>
            <w:instrText xml:space="preserve"> PAGEREF _Toc18263 \h </w:instrText>
          </w:r>
          <w:r>
            <w:fldChar w:fldCharType="separate"/>
          </w:r>
          <w:r>
            <w:t>8</w:t>
          </w:r>
          <w:r>
            <w:fldChar w:fldCharType="end"/>
          </w:r>
          <w:r>
            <w:rPr>
              <w:rFonts w:hint="default" w:asciiTheme="minorHAnsi" w:hAnsiTheme="minorHAnsi" w:eastAsiaTheme="minorEastAsia" w:cstheme="minorBidi"/>
              <w:kern w:val="2"/>
              <w:szCs w:val="36"/>
              <w:lang w:val="en-US" w:eastAsia="zh-CN" w:bidi="ar-SA"/>
            </w:rPr>
            <w:fldChar w:fldCharType="end"/>
          </w:r>
        </w:p>
        <w:p w14:paraId="0F052CD1">
          <w:pPr>
            <w:pStyle w:val="2"/>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_Toc12952 </w:instrText>
          </w:r>
          <w:r>
            <w:rPr>
              <w:rFonts w:hint="default" w:asciiTheme="minorHAnsi" w:hAnsiTheme="minorHAnsi" w:eastAsiaTheme="minorEastAsia" w:cstheme="minorBidi"/>
              <w:kern w:val="2"/>
              <w:szCs w:val="36"/>
              <w:lang w:val="en-US" w:eastAsia="zh-CN" w:bidi="ar-SA"/>
            </w:rPr>
            <w:fldChar w:fldCharType="separate"/>
          </w:r>
          <w:r>
            <w:rPr>
              <w:rFonts w:hint="eastAsia" w:ascii="黑体" w:hAnsi="黑体" w:eastAsia="黑体" w:cs="黑体"/>
              <w:lang w:eastAsia="zh-CN"/>
            </w:rPr>
            <w:t>三、文本成果</w:t>
          </w:r>
          <w:r>
            <w:tab/>
          </w:r>
          <w:r>
            <w:fldChar w:fldCharType="begin"/>
          </w:r>
          <w:r>
            <w:instrText xml:space="preserve"> PAGEREF _Toc12952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52F93436">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_Toc9799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（一）土壤类型制图技术报告</w:t>
          </w:r>
          <w:r>
            <w:tab/>
          </w:r>
          <w:r>
            <w:fldChar w:fldCharType="begin"/>
          </w:r>
          <w:r>
            <w:instrText xml:space="preserve"> PAGEREF _Toc9799 \h </w:instrText>
          </w:r>
          <w:r>
            <w:fldChar w:fldCharType="separate"/>
          </w:r>
          <w:r>
            <w:t>9</w:t>
          </w:r>
          <w:r>
            <w:fldChar w:fldCharType="end"/>
          </w:r>
          <w:r>
            <w:rPr>
              <w:rFonts w:hint="default" w:asciiTheme="minorHAnsi" w:hAnsiTheme="minorHAnsi" w:eastAsiaTheme="minorEastAsia" w:cstheme="minorBidi"/>
              <w:kern w:val="2"/>
              <w:szCs w:val="36"/>
              <w:lang w:val="en-US" w:eastAsia="zh-CN" w:bidi="ar-SA"/>
            </w:rPr>
            <w:fldChar w:fldCharType="end"/>
          </w:r>
        </w:p>
        <w:p w14:paraId="47023608">
          <w:pPr>
            <w:pStyle w:val="3"/>
            <w:tabs>
              <w:tab w:val="right" w:leader="dot" w:pos="8306"/>
            </w:tabs>
          </w:pPr>
          <w:r>
            <w:rPr>
              <w:rFonts w:hint="default" w:asciiTheme="minorHAnsi" w:hAnsiTheme="minorHAnsi" w:eastAsiaTheme="minorEastAsia" w:cstheme="minorBidi"/>
              <w:kern w:val="2"/>
              <w:szCs w:val="36"/>
              <w:lang w:val="en-US" w:eastAsia="zh-CN" w:bidi="ar-SA"/>
            </w:rPr>
            <w:fldChar w:fldCharType="begin"/>
          </w:r>
          <w:r>
            <w:rPr>
              <w:rFonts w:hint="default" w:asciiTheme="minorHAnsi" w:hAnsiTheme="minorHAnsi" w:eastAsiaTheme="minorEastAsia" w:cstheme="minorBidi"/>
              <w:kern w:val="2"/>
              <w:szCs w:val="36"/>
              <w:lang w:val="en-US" w:eastAsia="zh-CN" w:bidi="ar-SA"/>
            </w:rPr>
            <w:instrText xml:space="preserve"> HYPERLINK \l _Toc12692 </w:instrText>
          </w:r>
          <w:r>
            <w:rPr>
              <w:rFonts w:hint="default" w:asciiTheme="minorHAnsi" w:hAnsiTheme="minorHAnsi" w:eastAsiaTheme="minorEastAsia" w:cstheme="minorBidi"/>
              <w:kern w:val="2"/>
              <w:szCs w:val="36"/>
              <w:lang w:val="en-US" w:eastAsia="zh-CN" w:bidi="ar-SA"/>
            </w:rPr>
            <w:fldChar w:fldCharType="separate"/>
          </w:r>
          <w:r>
            <w:rPr>
              <w:rFonts w:hint="eastAsia" w:ascii="宋体" w:hAnsi="宋体" w:eastAsia="宋体" w:cs="宋体"/>
              <w:lang w:eastAsia="zh-CN"/>
            </w:rPr>
            <w:t>（二）土壤类型制图工作报告</w:t>
          </w:r>
          <w:r>
            <w:tab/>
          </w:r>
          <w:r>
            <w:fldChar w:fldCharType="begin"/>
          </w:r>
          <w:r>
            <w:instrText xml:space="preserve"> PAGEREF _Toc12692 \h </w:instrText>
          </w:r>
          <w:r>
            <w:fldChar w:fldCharType="separate"/>
          </w:r>
          <w:r>
            <w:t>11</w:t>
          </w:r>
          <w:r>
            <w:fldChar w:fldCharType="end"/>
          </w:r>
          <w:r>
            <w:rPr>
              <w:rFonts w:hint="default" w:asciiTheme="minorHAnsi" w:hAnsiTheme="minorHAnsi" w:eastAsiaTheme="minorEastAsia" w:cstheme="minorBidi"/>
              <w:kern w:val="2"/>
              <w:szCs w:val="36"/>
              <w:lang w:val="en-US" w:eastAsia="zh-CN" w:bidi="ar-SA"/>
            </w:rPr>
            <w:fldChar w:fldCharType="end"/>
          </w:r>
        </w:p>
        <w:p w14:paraId="0647D50A">
          <w:pPr>
            <w:jc w:val="left"/>
            <w:rPr>
              <w:rFonts w:hint="default" w:asciiTheme="minorHAnsi" w:hAnsiTheme="minorHAnsi" w:eastAsiaTheme="minorEastAsia" w:cstheme="minorBidi"/>
              <w:kern w:val="2"/>
              <w:sz w:val="21"/>
              <w:szCs w:val="36"/>
              <w:lang w:val="en-US" w:eastAsia="zh-CN" w:bidi="ar-SA"/>
            </w:rPr>
          </w:pPr>
          <w:r>
            <w:rPr>
              <w:rFonts w:hint="default" w:asciiTheme="minorHAnsi" w:hAnsiTheme="minorHAnsi" w:eastAsiaTheme="minorEastAsia" w:cstheme="minorBidi"/>
              <w:kern w:val="2"/>
              <w:szCs w:val="36"/>
              <w:lang w:val="en-US" w:eastAsia="zh-CN" w:bidi="ar-SA"/>
            </w:rPr>
            <w:fldChar w:fldCharType="end"/>
          </w:r>
        </w:p>
      </w:sdtContent>
    </w:sdt>
    <w:p w14:paraId="58121CAF">
      <w:pPr>
        <w:jc w:val="left"/>
        <w:rPr>
          <w:rFonts w:hint="default" w:asciiTheme="minorHAnsi" w:hAnsiTheme="minorHAnsi" w:eastAsiaTheme="minorEastAsia" w:cstheme="minorBidi"/>
          <w:kern w:val="2"/>
          <w:sz w:val="21"/>
          <w:szCs w:val="36"/>
          <w:lang w:val="en-US" w:eastAsia="zh-CN" w:bidi="ar-SA"/>
        </w:rPr>
        <w:sectPr>
          <w:pgSz w:w="11906" w:h="16838"/>
          <w:pgMar w:top="1440" w:right="1800" w:bottom="1440" w:left="1800" w:header="851" w:footer="992" w:gutter="0"/>
          <w:cols w:space="425" w:num="1"/>
          <w:docGrid w:type="lines" w:linePitch="312" w:charSpace="0"/>
        </w:sectPr>
      </w:pPr>
    </w:p>
    <w:p w14:paraId="0DC83696">
      <w:pPr>
        <w:jc w:val="center"/>
        <w:rPr>
          <w:rFonts w:hint="default"/>
          <w:sz w:val="28"/>
          <w:szCs w:val="36"/>
          <w:lang w:val="en-US" w:eastAsia="zh-CN"/>
        </w:rPr>
      </w:pPr>
      <w:r>
        <w:rPr>
          <w:rFonts w:hint="eastAsia"/>
          <w:sz w:val="28"/>
          <w:szCs w:val="36"/>
          <w:lang w:val="en-US" w:eastAsia="zh-CN"/>
        </w:rPr>
        <w:t>涞源县</w:t>
      </w:r>
      <w:r>
        <w:rPr>
          <w:rFonts w:hint="default"/>
          <w:sz w:val="28"/>
          <w:szCs w:val="36"/>
          <w:lang w:val="en-US" w:eastAsia="zh-CN"/>
        </w:rPr>
        <w:t>第三次全国土壤普查成果质控</w:t>
      </w:r>
      <w:r>
        <w:rPr>
          <w:rFonts w:hint="eastAsia"/>
          <w:sz w:val="28"/>
          <w:szCs w:val="36"/>
          <w:lang w:val="en-US" w:eastAsia="zh-CN"/>
        </w:rPr>
        <w:t>情况</w:t>
      </w:r>
      <w:r>
        <w:rPr>
          <w:rFonts w:hint="default"/>
          <w:sz w:val="28"/>
          <w:szCs w:val="36"/>
          <w:lang w:val="en-US" w:eastAsia="zh-CN"/>
        </w:rPr>
        <w:t>（第一轮）</w:t>
      </w:r>
    </w:p>
    <w:p w14:paraId="4E363249">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sz w:val="24"/>
          <w:szCs w:val="24"/>
          <w:lang w:val="en-US" w:eastAsia="zh-CN"/>
        </w:rPr>
      </w:pPr>
      <w:r>
        <w:rPr>
          <w:rFonts w:hint="eastAsia"/>
          <w:sz w:val="24"/>
          <w:szCs w:val="24"/>
          <w:lang w:val="en-US" w:eastAsia="zh-CN"/>
        </w:rPr>
        <w:t>本次质控按照《第三次全国土壤普查县级成果编制导引》及相关技术规范要求，采用内业核查方式，对涞源县提交的第三次全国土壤普查全部成果进行齐全性、规范性、合理性和一致性的全面质控审查。审查成果范围涵盖：土壤类型图成果、土壤属性图成果、土壤退化与障碍分析成果、土壤农业利用适宜性评价成果、耕地质量等级评价成果、土特产品土壤适宜性评价成果以及相关文字报告成果等。审查内容重点包括：数据成果的组织结构完整性、数据库规范性、基础数据与过程数据齐全性；图件成果的图面要素完整性、制图规范性、基础地理要素准确性、注记与图例合理性；文本成果的报告格式规范性、章节完整性、成因分析深度及结论建议实用性等。各成果具体质控意见如下。</w:t>
      </w:r>
    </w:p>
    <w:p w14:paraId="01FB48C8">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sz w:val="24"/>
          <w:szCs w:val="24"/>
          <w:lang w:val="en-US" w:eastAsia="zh-CN"/>
        </w:rPr>
      </w:pPr>
      <w:r>
        <w:rPr>
          <w:rFonts w:hint="eastAsia"/>
          <w:sz w:val="24"/>
          <w:szCs w:val="24"/>
          <w:lang w:val="en-US" w:eastAsia="zh-CN"/>
        </w:rPr>
        <w:t>本次质控共核查涞源县第三次全国土壤普查成果共计六大类，合计项。其中，土壤类型图成果质控</w:t>
      </w:r>
      <w:r>
        <w:rPr>
          <w:rFonts w:hint="eastAsia"/>
          <w:color w:val="000000" w:themeColor="text1"/>
          <w:sz w:val="24"/>
          <w:szCs w:val="24"/>
          <w:lang w:val="en-US" w:eastAsia="zh-CN"/>
          <w14:textFill>
            <w14:solidFill>
              <w14:schemeClr w14:val="tx1"/>
            </w14:solidFill>
          </w14:textFill>
        </w:rPr>
        <w:t>19</w:t>
      </w:r>
      <w:r>
        <w:rPr>
          <w:rFonts w:hint="eastAsia"/>
          <w:sz w:val="24"/>
          <w:szCs w:val="24"/>
          <w:lang w:val="en-US" w:eastAsia="zh-CN"/>
        </w:rPr>
        <w:t>项，存在问题</w:t>
      </w:r>
      <w:r>
        <w:rPr>
          <w:rFonts w:hint="eastAsia"/>
          <w:color w:val="FF0000"/>
          <w:sz w:val="24"/>
          <w:szCs w:val="24"/>
          <w:lang w:val="en-US" w:eastAsia="zh-CN"/>
        </w:rPr>
        <w:t>16</w:t>
      </w:r>
      <w:r>
        <w:rPr>
          <w:rFonts w:hint="eastAsia"/>
          <w:sz w:val="24"/>
          <w:szCs w:val="24"/>
          <w:lang w:val="en-US" w:eastAsia="zh-CN"/>
        </w:rPr>
        <w:t>项；土壤属性图成果质控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项，；土壤退化与障碍分析成果质控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项；土壤农业利用适宜性评价成果质控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项；耕地质量等级评价成果质控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项；土特产品土壤适宜性评价成果质控</w:t>
      </w:r>
      <w:r>
        <w:rPr>
          <w:rFonts w:hint="eastAsia"/>
          <w:color w:val="FF0000"/>
          <w:sz w:val="24"/>
          <w:szCs w:val="24"/>
          <w:lang w:val="en-US" w:eastAsia="zh-CN"/>
        </w:rPr>
        <w:t>*</w:t>
      </w:r>
      <w:r>
        <w:rPr>
          <w:rFonts w:hint="eastAsia"/>
          <w:sz w:val="24"/>
          <w:szCs w:val="24"/>
          <w:lang w:val="en-US" w:eastAsia="zh-CN"/>
        </w:rPr>
        <w:t>项，存在问题</w:t>
      </w:r>
      <w:r>
        <w:rPr>
          <w:rFonts w:hint="eastAsia"/>
          <w:color w:val="FF0000"/>
          <w:sz w:val="24"/>
          <w:szCs w:val="24"/>
          <w:lang w:val="en-US" w:eastAsia="zh-CN"/>
        </w:rPr>
        <w:t>*</w:t>
      </w:r>
      <w:r>
        <w:rPr>
          <w:rFonts w:hint="eastAsia"/>
          <w:sz w:val="24"/>
          <w:szCs w:val="24"/>
          <w:lang w:val="en-US" w:eastAsia="zh-CN"/>
        </w:rPr>
        <w:t>项。整体来看，成果_____________（如：提交基本齐全/存在部分缺失），_____________（如：数据规范性有待加强/图件质量整体较好/报告深度尚可但部分章节需完善）。</w:t>
      </w:r>
    </w:p>
    <w:p w14:paraId="04FE52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sz w:val="24"/>
          <w:szCs w:val="24"/>
          <w:lang w:val="en-US" w:eastAsia="zh-CN"/>
        </w:rPr>
        <w:sectPr>
          <w:pgSz w:w="11906" w:h="16838"/>
          <w:pgMar w:top="1440" w:right="1800" w:bottom="1440" w:left="1800" w:header="851" w:footer="992" w:gutter="0"/>
          <w:cols w:space="425" w:num="1"/>
          <w:docGrid w:type="lines" w:linePitch="312" w:charSpace="0"/>
        </w:sectPr>
      </w:pPr>
    </w:p>
    <w:p w14:paraId="1BB1ACCD">
      <w:pPr>
        <w:keepNext w:val="0"/>
        <w:keepLines w:val="0"/>
        <w:pageBreakBefore w:val="0"/>
        <w:widowControl w:val="0"/>
        <w:kinsoku/>
        <w:wordWrap/>
        <w:overflowPunct/>
        <w:topLinePunct w:val="0"/>
        <w:autoSpaceDE/>
        <w:autoSpaceDN/>
        <w:bidi w:val="0"/>
        <w:adjustRightInd/>
        <w:snapToGrid/>
        <w:jc w:val="center"/>
        <w:textAlignment w:val="auto"/>
        <w:outlineLvl w:val="0"/>
        <w:rPr>
          <w:rFonts w:hint="eastAsia"/>
          <w:sz w:val="32"/>
          <w:szCs w:val="32"/>
          <w:lang w:val="en-US" w:eastAsia="zh-CN"/>
        </w:rPr>
      </w:pPr>
      <w:bookmarkStart w:id="0" w:name="_Toc5483"/>
      <w:r>
        <w:rPr>
          <w:rFonts w:hint="eastAsia"/>
          <w:sz w:val="32"/>
          <w:szCs w:val="32"/>
          <w:lang w:val="en-US" w:eastAsia="zh-CN"/>
        </w:rPr>
        <w:t>第一部分：土壤类型图成果质控意见</w:t>
      </w:r>
      <w:bookmarkEnd w:id="0"/>
    </w:p>
    <w:p w14:paraId="723D265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b/>
          <w:sz w:val="30"/>
          <w:szCs w:val="30"/>
          <w:u w:val="none"/>
          <w:lang w:eastAsia="zh-CN"/>
        </w:rPr>
      </w:pPr>
    </w:p>
    <w:p w14:paraId="203E5C53">
      <w:pPr>
        <w:keepNext w:val="0"/>
        <w:keepLines w:val="0"/>
        <w:pageBreakBefore w:val="0"/>
        <w:widowControl w:val="0"/>
        <w:numPr>
          <w:ilvl w:val="0"/>
          <w:numId w:val="1"/>
        </w:numPr>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szCs w:val="30"/>
          <w:u w:val="none"/>
          <w:lang w:eastAsia="zh-CN"/>
        </w:rPr>
      </w:pPr>
      <w:bookmarkStart w:id="1" w:name="_Toc17825"/>
      <w:r>
        <w:rPr>
          <w:rFonts w:hint="eastAsia" w:ascii="黑体" w:hAnsi="黑体" w:eastAsia="黑体" w:cs="黑体"/>
          <w:b/>
          <w:sz w:val="30"/>
          <w:szCs w:val="30"/>
          <w:u w:val="none"/>
          <w:lang w:eastAsia="zh-CN"/>
        </w:rPr>
        <w:t>数据成果</w:t>
      </w:r>
      <w:bookmarkEnd w:id="1"/>
    </w:p>
    <w:p w14:paraId="26424688">
      <w:pPr>
        <w:keepNext w:val="0"/>
        <w:keepLines w:val="0"/>
        <w:pageBreakBefore w:val="0"/>
        <w:widowControl w:val="0"/>
        <w:numPr>
          <w:ilvl w:val="0"/>
          <w:numId w:val="2"/>
        </w:numPr>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szCs w:val="28"/>
          <w:u w:val="none"/>
          <w:lang w:eastAsia="zh-CN"/>
        </w:rPr>
      </w:pPr>
      <w:bookmarkStart w:id="2" w:name="_Toc7394"/>
      <w:r>
        <w:rPr>
          <w:rFonts w:hint="eastAsia" w:ascii="宋体" w:hAnsi="宋体" w:eastAsia="宋体" w:cs="宋体"/>
          <w:b/>
          <w:sz w:val="28"/>
          <w:szCs w:val="28"/>
          <w:u w:val="none"/>
          <w:lang w:eastAsia="zh-CN"/>
        </w:rPr>
        <w:t>数据组织与完整性</w:t>
      </w:r>
      <w:bookmarkEnd w:id="2"/>
    </w:p>
    <w:p w14:paraId="1C8EC8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2"/>
        <w:rPr>
          <w:rFonts w:hint="eastAsia" w:ascii="宋体" w:hAnsi="宋体" w:eastAsia="宋体" w:cs="宋体"/>
          <w:b/>
          <w:sz w:val="24"/>
          <w:szCs w:val="24"/>
          <w:u w:val="none"/>
          <w:lang w:eastAsia="zh-CN"/>
        </w:rPr>
      </w:pPr>
      <w:r>
        <w:rPr>
          <w:rFonts w:hint="eastAsia" w:ascii="宋体" w:hAnsi="宋体" w:eastAsia="宋体" w:cs="宋体"/>
          <w:b/>
          <w:sz w:val="24"/>
          <w:szCs w:val="24"/>
          <w:u w:val="none"/>
          <w:lang w:eastAsia="zh-CN"/>
        </w:rPr>
        <w:t>1. 总体结构与命名规范</w:t>
      </w:r>
    </w:p>
    <w:p w14:paraId="14D1293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审查标准：（1）根目录命名格式：6位行政区划代码+县级行政区名称，示例：110108北京市海淀区。</w:t>
      </w:r>
    </w:p>
    <w:p w14:paraId="209D9D0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（2）第二层级目录必须包含以下七项：第三次全国土壤普查成果库.gdb、基础数据（文件夹）、过程数据（文件夹）、成果数据（文件夹）、地图文档/图层Layout包、汇报PPT（文件夹）、自查表扫描件（.pdf）。</w:t>
      </w:r>
    </w:p>
    <w:p w14:paraId="49C8E2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（3）成果提交格式：是否以压缩文件rar或zip格式提交；压缩文件命名方式是否为：xx省+xx市+xx县+“土壤三普土壤类型成果”</w:t>
      </w:r>
    </w:p>
    <w:p w14:paraId="69E5984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4B01F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第二层级目录缺少</w:t>
      </w:r>
      <w:r>
        <w:rPr>
          <w:rFonts w:hint="eastAsia" w:ascii="宋体" w:hAnsi="宋体" w:eastAsia="宋体" w:cs="宋体"/>
          <w:b w:val="0"/>
          <w:sz w:val="24"/>
          <w:u w:val="none"/>
          <w:lang w:eastAsia="zh-CN"/>
        </w:rPr>
        <w:t>地图文档/图层Layout包、汇报PPT（文件夹）、自查表扫描件（.pdf）；</w:t>
      </w:r>
    </w:p>
    <w:p w14:paraId="6105ED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压缩文件命名方式</w:t>
      </w:r>
      <w:r>
        <w:rPr>
          <w:rFonts w:hint="eastAsia" w:ascii="宋体" w:hAnsi="宋体" w:eastAsia="宋体" w:cs="宋体"/>
          <w:b w:val="0"/>
          <w:sz w:val="24"/>
          <w:u w:val="none"/>
          <w:lang w:val="en-US" w:eastAsia="zh-CN"/>
        </w:rPr>
        <w:t>应为</w:t>
      </w:r>
      <w:r>
        <w:rPr>
          <w:rFonts w:hint="eastAsia" w:ascii="宋体" w:hAnsi="宋体" w:eastAsia="宋体" w:cs="宋体"/>
          <w:b w:val="0"/>
          <w:sz w:val="24"/>
          <w:u w:val="none"/>
          <w:lang w:eastAsia="zh-CN"/>
        </w:rPr>
        <w:t>：xx省+xx市+xx县+“土壤三普土壤类型成果”</w:t>
      </w:r>
    </w:p>
    <w:p w14:paraId="374C3E60">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第三次全国土壤普查成果库.gdb 规范性</w:t>
      </w:r>
    </w:p>
    <w:p w14:paraId="0F6C0CC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4DB9243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（1）数据库结构：包含5个以英文命名的数据集，分别为BASE（基础地理数据）、HISTORY（历史土壤调查数据）、LANDUSE（土地利用数据）、PROCESS（过程数据）、RESULT（成果数据）。</w:t>
      </w:r>
    </w:p>
    <w:p w14:paraId="6E0FFE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（2）BASE数据集内容：必须包含行政区、居民点、道路、水系等矢量要素。</w:t>
      </w:r>
    </w:p>
    <w:p w14:paraId="348998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（3）HISTORY数据集内容：必须包含土壤二普县级土种志剖面样点矢量数据、原土壤二普县级土壤图矢量数据、分类校准更新后的土壤二普县级土壤图矢量数据、二普土壤样点数据。</w:t>
      </w:r>
    </w:p>
    <w:p w14:paraId="7B81C58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（4）LANDUSE数据集内容：包含土地利用相关矢量要素，如DLTB（地类图斑）等。</w:t>
      </w:r>
    </w:p>
    <w:p w14:paraId="6B8C35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PROCESS数据集内容：必须包含DCYD（调查样点）、土壤二普土壤图室内校核前/后图斑、重新定义坐标的土壤二普土壤剖面样点的土壤类型野外校核结果、土壤类型改变区各类地块提取结果、推测制图虚点数据、野外校核点位数据、推测的土壤三普图（矢量）、预测/推测不确定性分布图。</w:t>
      </w:r>
    </w:p>
    <w:p w14:paraId="107D6A6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RESULT数据集内容：必须包含土壤三普土壤类型成果图（矢量）。土壤类型图字段要求：图斑ID、县名(XM)、乡镇名(XZM)、面积(MJ)；分类校准后原土壤二普：土类(YTL)、亚类(YYL)、土属(YTS)、土种(YTZ)；土壤三普：土类(TL)、亚类(YL)、土属(TS)、土种(TZ)。</w:t>
      </w:r>
    </w:p>
    <w:p w14:paraId="690DD81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审查结果：）HISTORY数据集</w:t>
      </w: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二普土壤样点数据</w:t>
      </w:r>
      <w:r>
        <w:rPr>
          <w:rFonts w:hint="eastAsia" w:ascii="宋体" w:hAnsi="宋体" w:eastAsia="宋体" w:cs="宋体"/>
          <w:b w:val="0"/>
          <w:sz w:val="24"/>
          <w:u w:val="none"/>
          <w:lang w:val="en-US" w:eastAsia="zh-CN"/>
        </w:rPr>
        <w:t>或未按规范命名；</w:t>
      </w:r>
    </w:p>
    <w:p w14:paraId="66E88A3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545715" cy="2781300"/>
            <wp:effectExtent l="0" t="0" r="6985" b="0"/>
            <wp:docPr id="2" name="图片 2" descr="31846929-fb42-42c1-a6c2-a02d682cc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1846929-fb42-42c1-a6c2-a02d682cce71"/>
                    <pic:cNvPicPr>
                      <a:picLocks noChangeAspect="1"/>
                    </pic:cNvPicPr>
                  </pic:nvPicPr>
                  <pic:blipFill>
                    <a:blip r:embed="rId4"/>
                    <a:stretch>
                      <a:fillRect/>
                    </a:stretch>
                  </pic:blipFill>
                  <pic:spPr>
                    <a:xfrm>
                      <a:off x="0" y="0"/>
                      <a:ext cx="2545715" cy="2781300"/>
                    </a:xfrm>
                    <a:prstGeom prst="rect">
                      <a:avLst/>
                    </a:prstGeom>
                  </pic:spPr>
                </pic:pic>
              </a:graphicData>
            </a:graphic>
          </wp:inline>
        </w:drawing>
      </w:r>
    </w:p>
    <w:p w14:paraId="4D45016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PROCESS数据集</w:t>
      </w:r>
      <w:r>
        <w:rPr>
          <w:rFonts w:hint="eastAsia" w:ascii="宋体" w:hAnsi="宋体" w:eastAsia="宋体" w:cs="宋体"/>
          <w:b w:val="0"/>
          <w:sz w:val="24"/>
          <w:u w:val="none"/>
          <w:lang w:val="en-US" w:eastAsia="zh-CN"/>
        </w:rPr>
        <w:t>命名不清晰，无法判认，请修改命名并按照标准自查；</w:t>
      </w:r>
    </w:p>
    <w:p w14:paraId="64DFD06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default" w:ascii="宋体" w:hAnsi="宋体" w:eastAsia="宋体" w:cs="宋体"/>
          <w:b w:val="0"/>
          <w:sz w:val="24"/>
          <w:u w:val="none"/>
          <w:lang w:val="en-US" w:eastAsia="zh-CN"/>
        </w:rPr>
        <w:drawing>
          <wp:inline distT="0" distB="0" distL="114300" distR="114300">
            <wp:extent cx="2472690" cy="3734435"/>
            <wp:effectExtent l="0" t="0" r="3810" b="12065"/>
            <wp:docPr id="3" name="图片 3" descr="fff748f6-42a0-4c2c-b75f-b0a71e6cb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ff748f6-42a0-4c2c-b75f-b0a71e6cb97f"/>
                    <pic:cNvPicPr>
                      <a:picLocks noChangeAspect="1"/>
                    </pic:cNvPicPr>
                  </pic:nvPicPr>
                  <pic:blipFill>
                    <a:blip r:embed="rId5"/>
                    <a:stretch>
                      <a:fillRect/>
                    </a:stretch>
                  </pic:blipFill>
                  <pic:spPr>
                    <a:xfrm>
                      <a:off x="0" y="0"/>
                      <a:ext cx="2472690" cy="3734435"/>
                    </a:xfrm>
                    <a:prstGeom prst="rect">
                      <a:avLst/>
                    </a:prstGeom>
                  </pic:spPr>
                </pic:pic>
              </a:graphicData>
            </a:graphic>
          </wp:inline>
        </w:drawing>
      </w:r>
    </w:p>
    <w:p w14:paraId="0DCB1D4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RESULT数据集</w:t>
      </w:r>
      <w:r>
        <w:rPr>
          <w:rFonts w:hint="eastAsia" w:ascii="宋体" w:hAnsi="宋体" w:eastAsia="宋体" w:cs="宋体"/>
          <w:b w:val="0"/>
          <w:sz w:val="24"/>
          <w:u w:val="none"/>
          <w:lang w:val="en-US" w:eastAsia="zh-CN"/>
        </w:rPr>
        <w:t>按照标准修改与补充字段</w:t>
      </w:r>
    </w:p>
    <w:p w14:paraId="7F71F30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基础数据文件夹规范性</w:t>
      </w:r>
    </w:p>
    <w:p w14:paraId="165B573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B374C6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（1）文件夹结构：包含土壤样点数据、成土环境数据</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历史土壤调查数据</w:t>
      </w:r>
      <w:r>
        <w:rPr>
          <w:rFonts w:hint="eastAsia" w:ascii="宋体" w:hAnsi="宋体" w:eastAsia="宋体" w:cs="宋体"/>
          <w:b w:val="0"/>
          <w:sz w:val="24"/>
          <w:u w:val="none"/>
          <w:lang w:val="en-US" w:eastAsia="zh-CN"/>
        </w:rPr>
        <w:t>和其他文件夹。</w:t>
      </w:r>
    </w:p>
    <w:p w14:paraId="2DBC4E2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（2）土壤样点数据：包含三普土壤表层样点、剖面样点相关数据。</w:t>
      </w:r>
    </w:p>
    <w:p w14:paraId="0A33515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（3）成土环境数据：包含母岩母质栅格数据、地形地貌数据（DEM及派生指数）、土地利用/土地整理/植被/水文状况数据、多源遥感影像数据。</w:t>
      </w:r>
    </w:p>
    <w:p w14:paraId="361F4BD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（4）历史土壤调查数据：包含土壤二普纸质图及相关历史资料如土壤志。</w:t>
      </w:r>
    </w:p>
    <w:p w14:paraId="405F0D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4D373B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422650" cy="2624455"/>
            <wp:effectExtent l="0" t="0" r="6350" b="4445"/>
            <wp:docPr id="4" name="图片 4" descr="adde36fd-3952-4521-8bf7-4656d7453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de36fd-3952-4521-8bf7-4656d7453be9"/>
                    <pic:cNvPicPr>
                      <a:picLocks noChangeAspect="1"/>
                    </pic:cNvPicPr>
                  </pic:nvPicPr>
                  <pic:blipFill>
                    <a:blip r:embed="rId6"/>
                    <a:stretch>
                      <a:fillRect/>
                    </a:stretch>
                  </pic:blipFill>
                  <pic:spPr>
                    <a:xfrm>
                      <a:off x="0" y="0"/>
                      <a:ext cx="3422650" cy="2624455"/>
                    </a:xfrm>
                    <a:prstGeom prst="rect">
                      <a:avLst/>
                    </a:prstGeom>
                  </pic:spPr>
                </pic:pic>
              </a:graphicData>
            </a:graphic>
          </wp:inline>
        </w:drawing>
      </w:r>
    </w:p>
    <w:p w14:paraId="6EF9379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文件夹结构不符合标准，修改命名并补补充缺失内容；</w:t>
      </w:r>
    </w:p>
    <w:p w14:paraId="09E996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土壤样点数据、多源遥感影像数据、土壤二普纸质图</w:t>
      </w:r>
    </w:p>
    <w:p w14:paraId="3D1AF691">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4. 过程数据文件夹规范性</w:t>
      </w:r>
    </w:p>
    <w:p w14:paraId="1C19951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480570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（1）文件夹结构：包含照片、土壤推测制图tif数据、野外校核证明材料、土壤类型图野外验证材料</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其他非矢量过程数据</w:t>
      </w:r>
      <w:r>
        <w:rPr>
          <w:rFonts w:hint="eastAsia" w:ascii="宋体" w:hAnsi="宋体" w:eastAsia="宋体" w:cs="宋体"/>
          <w:b w:val="0"/>
          <w:sz w:val="24"/>
          <w:u w:val="none"/>
          <w:lang w:val="en-US" w:eastAsia="zh-CN"/>
        </w:rPr>
        <w:t>文件夹。</w:t>
      </w:r>
    </w:p>
    <w:p w14:paraId="1DE747C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（2）照片文件夹：包含野外路线校核工作照片。</w:t>
      </w:r>
    </w:p>
    <w:p w14:paraId="14ECE8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（3）土壤推测制图tif数据：包含推测的土壤三普图.tif、不确定性分布图.tif。</w:t>
      </w:r>
    </w:p>
    <w:p w14:paraId="2A9196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（4）野外校核证明材料：包含土壤图野外校核路线图.jpg、野外校核记录表等。</w:t>
      </w:r>
    </w:p>
    <w:p w14:paraId="5CBA91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（5）土壤类型图野外验证材料：包含野外验证调查路线图.jpg、野外验证调查表、野外验证点位现场照片。</w:t>
      </w:r>
    </w:p>
    <w:p w14:paraId="2844EED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（6）其他非矢量过程数据：包含二普-三普命名对应记录表、土壤类型改变区土壤类型转换规则、土壤类型支撑剖面梳理表等。</w:t>
      </w:r>
    </w:p>
    <w:p w14:paraId="35E77B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39CC39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文件夹结构不符合标准，修改命名并补补充缺失内容；</w:t>
      </w:r>
    </w:p>
    <w:p w14:paraId="49E910F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野外路线校核工作照片、野外校核记录表、野外验证调查表、土壤类型改变区土壤类型转换规则、土壤类型支撑剖面梳理表</w:t>
      </w:r>
    </w:p>
    <w:p w14:paraId="67A7941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5. 成果数据文件夹规范性</w:t>
      </w:r>
    </w:p>
    <w:p w14:paraId="0DD203B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5EC1AB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（1）文件夹结构：包含数字化图件成果</w:t>
      </w:r>
      <w:r>
        <w:rPr>
          <w:rFonts w:hint="eastAsia" w:ascii="宋体" w:hAnsi="宋体" w:eastAsia="宋体" w:cs="宋体"/>
          <w:b w:val="0"/>
          <w:sz w:val="24"/>
          <w:u w:val="none"/>
          <w:lang w:val="en-US" w:eastAsia="zh-CN"/>
        </w:rPr>
        <w:t>和</w:t>
      </w:r>
      <w:r>
        <w:rPr>
          <w:rFonts w:hint="eastAsia" w:ascii="宋体" w:hAnsi="宋体" w:eastAsia="宋体" w:cs="宋体"/>
          <w:b w:val="0"/>
          <w:sz w:val="24"/>
          <w:u w:val="none"/>
          <w:lang w:eastAsia="zh-CN"/>
        </w:rPr>
        <w:t>文字成果</w:t>
      </w:r>
      <w:r>
        <w:rPr>
          <w:rFonts w:hint="eastAsia" w:ascii="宋体" w:hAnsi="宋体" w:eastAsia="宋体" w:cs="宋体"/>
          <w:b w:val="0"/>
          <w:sz w:val="24"/>
          <w:u w:val="none"/>
          <w:lang w:val="en-US" w:eastAsia="zh-CN"/>
        </w:rPr>
        <w:t>文件夹。</w:t>
      </w:r>
    </w:p>
    <w:p w14:paraId="525FAC9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（2）数字化图件成果：包含土壤类型图.jpg（主成果，DPI</w:t>
      </w:r>
      <w:r>
        <w:rPr>
          <w:rFonts w:hint="eastAsia" w:ascii="宋体" w:hAnsi="宋体" w:eastAsia="宋体" w:cs="宋体"/>
          <w:b w:val="0"/>
          <w:sz w:val="24"/>
          <w:u w:val="none"/>
          <w:lang w:val="en-US" w:eastAsia="zh-CN"/>
        </w:rPr>
        <w:t>＞</w:t>
      </w:r>
      <w:r>
        <w:rPr>
          <w:rFonts w:hint="eastAsia" w:ascii="宋体" w:hAnsi="宋体" w:eastAsia="宋体" w:cs="宋体"/>
          <w:b w:val="0"/>
          <w:sz w:val="24"/>
          <w:u w:val="none"/>
          <w:lang w:eastAsia="zh-CN"/>
        </w:rPr>
        <w:t>300）。</w:t>
      </w:r>
    </w:p>
    <w:p w14:paraId="2D8FAC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（3）文字成果：包含土壤类型图编制工作报告/技术报告（.doc和.pdf）。</w:t>
      </w:r>
    </w:p>
    <w:p w14:paraId="1E733F7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3F0674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经检查未发现问题</w:t>
      </w:r>
    </w:p>
    <w:p w14:paraId="62E6094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3" w:name="_Toc18472"/>
      <w:r>
        <w:rPr>
          <w:rFonts w:hint="eastAsia" w:ascii="宋体" w:hAnsi="宋体" w:eastAsia="宋体" w:cs="宋体"/>
          <w:b/>
          <w:sz w:val="28"/>
          <w:u w:val="none"/>
          <w:lang w:eastAsia="zh-CN"/>
        </w:rPr>
        <w:t>（二）核心数据成果核查</w:t>
      </w:r>
      <w:bookmarkEnd w:id="3"/>
    </w:p>
    <w:p w14:paraId="0B30E56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基础地理与历史数据</w:t>
      </w:r>
    </w:p>
    <w:p w14:paraId="17EDC07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C5E44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（1）基础地理数据：是否包含行政区、居民点、道路、水系等矢量要素。</w:t>
      </w:r>
    </w:p>
    <w:p w14:paraId="42E42B0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（2）土壤三普数据：是否包含土壤剖面调查数据、土壤表层调查数据。</w:t>
      </w:r>
    </w:p>
    <w:p w14:paraId="77B0E5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（3）历史土壤数据：是否包含土壤二普县级土种志剖面矢量数据、土壤二普县级土壤图矢量数据、分类校准更新后的土壤二普县级土壤图矢量数据；是否包含土壤二普县级土种志、土壤志或普查报告等。</w:t>
      </w:r>
    </w:p>
    <w:p w14:paraId="078C21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C37E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土壤剖面调查数据、土壤表层调查数据、土壤二普县级土种志剖面矢量数据、土壤二普县级土种志、土壤志或普查报告</w:t>
      </w:r>
      <w:r>
        <w:rPr>
          <w:rFonts w:hint="eastAsia" w:ascii="宋体" w:hAnsi="宋体" w:eastAsia="宋体" w:cs="宋体"/>
          <w:b w:val="0"/>
          <w:sz w:val="24"/>
          <w:u w:val="none"/>
          <w:lang w:val="en-US" w:eastAsia="zh-CN"/>
        </w:rPr>
        <w:t>或未按规范命名</w:t>
      </w:r>
    </w:p>
    <w:p w14:paraId="7E4A9E8B">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成土环境与过程数据</w:t>
      </w:r>
    </w:p>
    <w:p w14:paraId="3153B7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CCCAB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（1）成土环境数据：是否提供母岩母质栅格数据、DEM栅格数据、DEM派生指数数据（30m分辨率）、土地利用类型数据、土地整理数据、植被数据、水文状况数据、多源遥感影像数据。</w:t>
      </w:r>
    </w:p>
    <w:p w14:paraId="3371E57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（2）二普土壤图室内校核：是否提供室内校核后的二普土壤图。</w:t>
      </w:r>
    </w:p>
    <w:p w14:paraId="48B06BB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（3）土壤类型改变区提取：是否提供可能改变区图层。</w:t>
      </w:r>
    </w:p>
    <w:p w14:paraId="64F055A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土壤类型推测制图：是否提供典型虚拟点、三普剖面样点、野外校核点；是否提供栅格土种预测结果、栅格不确定性分布结果、土种预测结果矢量化图层；是否有环境数据重要性排序、Kappa系数等验证模型精度。</w:t>
      </w:r>
    </w:p>
    <w:p w14:paraId="363A942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7FE2D1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母岩母质栅格数据、土地利用类型数据、土地整理数据、多源遥感影像数据</w:t>
      </w:r>
      <w:r>
        <w:rPr>
          <w:rFonts w:hint="eastAsia" w:ascii="宋体" w:hAnsi="宋体" w:eastAsia="宋体" w:cs="宋体"/>
          <w:b w:val="0"/>
          <w:sz w:val="24"/>
          <w:u w:val="none"/>
          <w:lang w:val="en-US" w:eastAsia="zh-CN"/>
        </w:rPr>
        <w:t>或未按标准命名；</w:t>
      </w:r>
    </w:p>
    <w:p w14:paraId="742DB1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提供室内校核后的二普土壤图、可能改变区图层、典型虚拟点、三普剖面样点、野外校核点、栅格土种预测结果、栅格不确定性分布结果、土种预测结果矢量化图层、环境数据重要性排序、Kappa系数，</w:t>
      </w:r>
      <w:r>
        <w:rPr>
          <w:rFonts w:hint="eastAsia" w:ascii="宋体" w:hAnsi="宋体" w:eastAsia="宋体" w:cs="宋体"/>
          <w:b w:val="0"/>
          <w:sz w:val="24"/>
          <w:u w:val="none"/>
          <w:lang w:val="en-US" w:eastAsia="zh-CN"/>
        </w:rPr>
        <w:t>或未按标准命名</w:t>
      </w:r>
    </w:p>
    <w:p w14:paraId="602059C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野外校核与验证成果</w:t>
      </w:r>
    </w:p>
    <w:p w14:paraId="465AA86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6363D2D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（1）野外校核路线：是否至少有三条路线；路线是否覆盖土壤类型可能改变区域；路线是否穿过各类可能改变区的代表性图斑中心；路线是否穿过室内校核有疑问的图斑。</w:t>
      </w:r>
    </w:p>
    <w:p w14:paraId="16FB30B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（2）土壤类型转换规则：是否制定土壤类型转换规则表。</w:t>
      </w:r>
    </w:p>
    <w:p w14:paraId="1A90B6E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（3）有疑图斑校核：可能变化区与疑问图斑是否按野外校核结果进行修订。</w:t>
      </w:r>
    </w:p>
    <w:p w14:paraId="6AC1BA3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（4）野外路线校核工作照片：校核点位数量与上交的图片资料数量是否一致。</w:t>
      </w:r>
    </w:p>
    <w:p w14:paraId="1872F9B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（5）野外验证结果：每条路线穿过的土壤图斑中是否随机选取10个图斑（3条路线共30个图斑）进行验证。</w:t>
      </w:r>
    </w:p>
    <w:p w14:paraId="457C1D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52968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土壤类型转换规则表、有疑图斑校核</w:t>
      </w:r>
      <w:r>
        <w:rPr>
          <w:rFonts w:hint="eastAsia" w:ascii="宋体" w:hAnsi="宋体" w:eastAsia="宋体" w:cs="宋体"/>
          <w:b w:val="0"/>
          <w:sz w:val="24"/>
          <w:u w:val="none"/>
          <w:lang w:val="en-US" w:eastAsia="zh-CN"/>
        </w:rPr>
        <w:t>数据、</w:t>
      </w:r>
      <w:r>
        <w:rPr>
          <w:rFonts w:hint="eastAsia" w:ascii="宋体" w:hAnsi="宋体" w:eastAsia="宋体" w:cs="宋体"/>
          <w:b w:val="0"/>
          <w:sz w:val="24"/>
          <w:u w:val="none"/>
          <w:lang w:eastAsia="zh-CN"/>
        </w:rPr>
        <w:t>野外验证结果、</w:t>
      </w:r>
      <w:r>
        <w:rPr>
          <w:rFonts w:hint="eastAsia" w:ascii="宋体" w:hAnsi="宋体" w:eastAsia="宋体" w:cs="宋体"/>
          <w:b w:val="0"/>
          <w:sz w:val="24"/>
          <w:u w:val="none"/>
          <w:lang w:val="en-US" w:eastAsia="zh-CN"/>
        </w:rPr>
        <w:t>校核点位数据</w:t>
      </w:r>
    </w:p>
    <w:p w14:paraId="7FFA99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default" w:ascii="宋体" w:hAnsi="宋体" w:eastAsia="宋体" w:cs="宋体"/>
          <w:b/>
          <w:sz w:val="24"/>
          <w:u w:val="none"/>
          <w:lang w:val="en-US" w:eastAsia="zh-CN"/>
        </w:rPr>
      </w:pPr>
      <w:r>
        <w:rPr>
          <w:rFonts w:hint="eastAsia" w:ascii="宋体" w:hAnsi="宋体" w:eastAsia="宋体" w:cs="宋体"/>
          <w:b/>
          <w:sz w:val="24"/>
          <w:u w:val="none"/>
          <w:lang w:val="en-US" w:eastAsia="zh-CN"/>
        </w:rPr>
        <w:t>4</w:t>
      </w:r>
      <w:r>
        <w:rPr>
          <w:rFonts w:hint="eastAsia" w:ascii="宋体" w:hAnsi="宋体" w:eastAsia="宋体" w:cs="宋体"/>
          <w:b/>
          <w:sz w:val="24"/>
          <w:u w:val="none"/>
          <w:lang w:eastAsia="zh-CN"/>
        </w:rPr>
        <w:t xml:space="preserve">. </w:t>
      </w:r>
      <w:r>
        <w:rPr>
          <w:rFonts w:hint="eastAsia" w:ascii="宋体" w:hAnsi="宋体" w:eastAsia="宋体" w:cs="宋体"/>
          <w:b/>
          <w:sz w:val="24"/>
          <w:u w:val="none"/>
          <w:lang w:val="en-US" w:eastAsia="zh-CN"/>
        </w:rPr>
        <w:t>制图成果核查</w:t>
      </w:r>
    </w:p>
    <w:p w14:paraId="4763A59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3A30A6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outlineLvl w:val="9"/>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经土壤类型图质量评估辅助软件检查，发现问题如下：</w:t>
      </w:r>
    </w:p>
    <w:p w14:paraId="5DCF5F26">
      <w:pPr>
        <w:keepNext/>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114300" distR="114300">
            <wp:extent cx="5272405" cy="785495"/>
            <wp:effectExtent l="0" t="0" r="1079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2405" cy="785495"/>
                    </a:xfrm>
                    <a:prstGeom prst="rect">
                      <a:avLst/>
                    </a:prstGeom>
                    <a:noFill/>
                    <a:ln>
                      <a:noFill/>
                    </a:ln>
                  </pic:spPr>
                </pic:pic>
              </a:graphicData>
            </a:graphic>
          </wp:inline>
        </w:drawing>
      </w:r>
    </w:p>
    <w:p w14:paraId="649061A1">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eastAsiaTheme="minorEastAsia"/>
          <w:lang w:eastAsia="zh-CN"/>
        </w:rPr>
      </w:pPr>
      <w:r>
        <w:rPr>
          <w:rFonts w:hint="eastAsia" w:eastAsiaTheme="minorEastAsia"/>
          <w:lang w:eastAsia="zh-CN"/>
        </w:rPr>
        <w:drawing>
          <wp:inline distT="0" distB="0" distL="114300" distR="114300">
            <wp:extent cx="5265420" cy="2607945"/>
            <wp:effectExtent l="0" t="0" r="5080" b="8255"/>
            <wp:docPr id="6" name="图片 6" descr="668c0a04-c413-464a-a1b6-9bfb418ec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68c0a04-c413-464a-a1b6-9bfb418ec00c"/>
                    <pic:cNvPicPr>
                      <a:picLocks noChangeAspect="1"/>
                    </pic:cNvPicPr>
                  </pic:nvPicPr>
                  <pic:blipFill>
                    <a:blip r:embed="rId8"/>
                    <a:stretch>
                      <a:fillRect/>
                    </a:stretch>
                  </pic:blipFill>
                  <pic:spPr>
                    <a:xfrm>
                      <a:off x="0" y="0"/>
                      <a:ext cx="5265420" cy="2607945"/>
                    </a:xfrm>
                    <a:prstGeom prst="rect">
                      <a:avLst/>
                    </a:prstGeom>
                  </pic:spPr>
                </pic:pic>
              </a:graphicData>
            </a:graphic>
          </wp:inline>
        </w:drawing>
      </w:r>
    </w:p>
    <w:p w14:paraId="4534D76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经检查，均砂壤泥沙质褐土、壤质厚层暗泥质山地草甸土、壤质厚层灰泥质山地草甸土不在河北省三普土种清单中</w:t>
      </w:r>
    </w:p>
    <w:p w14:paraId="29D043C8">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eastAsiaTheme="minorEastAsia"/>
          <w:lang w:eastAsia="zh-CN"/>
        </w:rPr>
      </w:pPr>
    </w:p>
    <w:p w14:paraId="198893E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4" w:name="_Toc14635"/>
      <w:r>
        <w:rPr>
          <w:rFonts w:hint="eastAsia" w:ascii="黑体" w:hAnsi="黑体" w:eastAsia="黑体" w:cs="黑体"/>
          <w:b/>
          <w:sz w:val="30"/>
          <w:u w:val="none"/>
          <w:lang w:eastAsia="zh-CN"/>
        </w:rPr>
        <w:t>二、图件成果</w:t>
      </w:r>
      <w:bookmarkEnd w:id="4"/>
    </w:p>
    <w:p w14:paraId="6B44B11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5" w:name="_Toc15312"/>
      <w:r>
        <w:rPr>
          <w:rFonts w:hint="eastAsia" w:ascii="宋体" w:hAnsi="宋体" w:eastAsia="宋体" w:cs="宋体"/>
          <w:b/>
          <w:sz w:val="28"/>
          <w:u w:val="none"/>
          <w:lang w:eastAsia="zh-CN"/>
        </w:rPr>
        <w:t>（一）图件规范性审查</w:t>
      </w:r>
      <w:bookmarkEnd w:id="5"/>
    </w:p>
    <w:p w14:paraId="2B72F7B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图件格式与图面要素</w:t>
      </w:r>
    </w:p>
    <w:p w14:paraId="2058BA3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00A313C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（1）图件格式为JPG，DPI大于300。</w:t>
      </w:r>
    </w:p>
    <w:p w14:paraId="7E33312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（2）图名、图例、注记、比例尺、指北针、地理要素、土壤类型分布断面图、土壤类型与土地利用类型面积统计表、位置示意图、制图人员信息等要素齐全。</w:t>
      </w:r>
    </w:p>
    <w:p w14:paraId="06F357F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（3）参照《第三次全国国土调查技术规程》（TD/T 1055-2019）进行背景要素符号样式设计和绘制。</w:t>
      </w:r>
    </w:p>
    <w:p w14:paraId="05CCD3A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（4）基础地理要素包括地形、水系、居民点、交通线和境界线等齐全。</w:t>
      </w:r>
    </w:p>
    <w:p w14:paraId="14F2C07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（5）成图比例尺为1：5万；最好以线段比例尺表示。</w:t>
      </w:r>
    </w:p>
    <w:p w14:paraId="1EF9A6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（6）县级、地市级土壤制图上图单元到土种。</w:t>
      </w:r>
    </w:p>
    <w:p w14:paraId="740AB4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D2CAD4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未全部</w:t>
      </w:r>
      <w:r>
        <w:rPr>
          <w:rFonts w:hint="eastAsia" w:ascii="宋体" w:hAnsi="宋体" w:eastAsia="宋体" w:cs="宋体"/>
          <w:b w:val="0"/>
          <w:sz w:val="24"/>
          <w:u w:val="none"/>
          <w:lang w:eastAsia="zh-CN"/>
        </w:rPr>
        <w:t>参照《第三次全国国土调查技术规程》（TD/T 1055-2019）进行背景要素符号样式设计和绘制；</w:t>
      </w:r>
    </w:p>
    <w:p w14:paraId="3F09FE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缺少</w:t>
      </w:r>
      <w:r>
        <w:rPr>
          <w:rFonts w:hint="eastAsia" w:ascii="宋体" w:hAnsi="宋体" w:eastAsia="宋体" w:cs="宋体"/>
          <w:b w:val="0"/>
          <w:sz w:val="24"/>
          <w:u w:val="none"/>
          <w:lang w:eastAsia="zh-CN"/>
        </w:rPr>
        <w:t>土壤类型与土地利用类型面积统计表</w:t>
      </w:r>
      <w:r>
        <w:rPr>
          <w:rFonts w:hint="eastAsia" w:ascii="宋体" w:hAnsi="宋体" w:eastAsia="宋体" w:cs="宋体"/>
          <w:b w:val="0"/>
          <w:sz w:val="24"/>
          <w:u w:val="none"/>
          <w:lang w:val="en-US" w:eastAsia="zh-CN"/>
        </w:rPr>
        <w:t>表名</w:t>
      </w:r>
    </w:p>
    <w:p w14:paraId="012C0B0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6" w:name="_Toc26692"/>
      <w:r>
        <w:rPr>
          <w:rFonts w:hint="eastAsia" w:ascii="宋体" w:hAnsi="宋体" w:eastAsia="宋体" w:cs="宋体"/>
          <w:b/>
          <w:sz w:val="28"/>
          <w:u w:val="none"/>
          <w:lang w:eastAsia="zh-CN"/>
        </w:rPr>
        <w:t>（二）基础地理要素核查</w:t>
      </w:r>
      <w:bookmarkEnd w:id="6"/>
    </w:p>
    <w:p w14:paraId="73482D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基础地理要素</w:t>
      </w:r>
    </w:p>
    <w:p w14:paraId="1CBCDA8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2F180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（1）地形：等高距一般平原20~50m；丘陵50~100m；山区100~200m。</w:t>
      </w:r>
    </w:p>
    <w:p w14:paraId="43DDDB6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（2）水系：河流、湖泊、水库、水渠是否标识。</w:t>
      </w:r>
    </w:p>
    <w:p w14:paraId="09CC61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（3）居民点：建成区以完整面状图斑表示；较小的乡镇、村级可以用点状符号表示。</w:t>
      </w:r>
    </w:p>
    <w:p w14:paraId="23ABD57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（4）境界线：参照自然资源部地图技术审查中心的标准地图，正确表示县界、市界、省界。</w:t>
      </w:r>
    </w:p>
    <w:p w14:paraId="31D3419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（5）符号化：非土壤制图单元的制图符号按国家基本比例尺地图图示国家标准进行符号化（GB/T 20257.3—2017）。</w:t>
      </w:r>
    </w:p>
    <w:p w14:paraId="1AADBEE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（6）色标：按照《土壤制图 1：25000 1：50000 1：100000 中国土壤图用色和图例规范》。</w:t>
      </w:r>
    </w:p>
    <w:p w14:paraId="7F356E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AE05AD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highlight w:val="yellow"/>
          <w:u w:val="none"/>
          <w:lang w:val="en-US" w:eastAsia="zh-CN"/>
        </w:rPr>
      </w:pPr>
      <w:r>
        <w:rPr>
          <w:rFonts w:hint="eastAsia" w:ascii="宋体" w:hAnsi="宋体" w:eastAsia="宋体" w:cs="宋体"/>
          <w:b w:val="0"/>
          <w:sz w:val="24"/>
          <w:u w:val="none"/>
          <w:lang w:val="en-US" w:eastAsia="zh-CN"/>
        </w:rPr>
        <w:t>经审查未发现问题</w:t>
      </w:r>
    </w:p>
    <w:p w14:paraId="1BF248C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7" w:name="_Toc25965"/>
      <w:r>
        <w:rPr>
          <w:rFonts w:hint="eastAsia" w:ascii="宋体" w:hAnsi="宋体" w:eastAsia="宋体" w:cs="宋体"/>
          <w:b/>
          <w:sz w:val="28"/>
          <w:u w:val="none"/>
          <w:lang w:eastAsia="zh-CN"/>
        </w:rPr>
        <w:t>（三）注记核查</w:t>
      </w:r>
      <w:bookmarkEnd w:id="7"/>
    </w:p>
    <w:p w14:paraId="3F345147">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注记要素</w:t>
      </w:r>
    </w:p>
    <w:p w14:paraId="3BD4203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C970DC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（1）土壤类型按照分类层次进行标记，不宜跨越4个及以上分类层级。</w:t>
      </w:r>
    </w:p>
    <w:p w14:paraId="5E0AAC2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（2）顺序号可采用罗马数字、阿拉伯数字和小写字母分别标记，并在图例中对顺序号进行说明。</w:t>
      </w:r>
    </w:p>
    <w:p w14:paraId="2013AEE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（3）对于图斑较小的情况，采用引线标记；面积分布范围过大的制图单元，可以进行多次标记。</w:t>
      </w:r>
    </w:p>
    <w:p w14:paraId="5A433E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（4）政府驻地、铁路站场、民用机场、公路与铁路、河流、湖泊、水库、干渠、国家公园、自然保护区、自然公园等重要地物名称是否注记。</w:t>
      </w:r>
    </w:p>
    <w:p w14:paraId="7F3D6B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（5）注记文字种类不超过4种，汉字优先采用宋体，可选用黑体、楷体、仿宋、隶书；英文和数字优先采用Times New Roman，可选用Arial Black。注记方向一般为正向，字头朝北。注记排列方式按照实际情况从水平字列、垂直字列、雁行字列和屈曲字列中选择。</w:t>
      </w:r>
    </w:p>
    <w:p w14:paraId="4D9A73B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D523F5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经审查未发现问题</w:t>
      </w:r>
    </w:p>
    <w:p w14:paraId="35CFA5C3">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8" w:name="_Toc18263"/>
      <w:r>
        <w:rPr>
          <w:rFonts w:hint="eastAsia" w:ascii="宋体" w:hAnsi="宋体" w:eastAsia="宋体" w:cs="宋体"/>
          <w:b/>
          <w:sz w:val="28"/>
          <w:u w:val="none"/>
          <w:lang w:eastAsia="zh-CN"/>
        </w:rPr>
        <w:t>（四）图面配置与整饰</w:t>
      </w:r>
      <w:bookmarkEnd w:id="8"/>
    </w:p>
    <w:p w14:paraId="7831290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土壤类型与土地利用类型面积统计表</w:t>
      </w:r>
    </w:p>
    <w:p w14:paraId="4969574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10EEF84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（1）面积统计表对各土种不同农用地土地利用现状类型进行了面积和占比统计。</w:t>
      </w:r>
    </w:p>
    <w:p w14:paraId="45263EF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（2）</w:t>
      </w:r>
      <w:r>
        <w:rPr>
          <w:rFonts w:hint="eastAsia" w:ascii="宋体" w:hAnsi="宋体" w:eastAsia="宋体" w:cs="宋体"/>
          <w:b w:val="0"/>
          <w:sz w:val="24"/>
          <w:highlight w:val="none"/>
          <w:u w:val="none"/>
          <w:lang w:eastAsia="zh-CN"/>
        </w:rPr>
        <w:t>辖区面积与2023年国土变更调查的数据一致，要进行平差。</w:t>
      </w:r>
    </w:p>
    <w:p w14:paraId="7C32A09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highlight w:val="none"/>
          <w:u w:val="none"/>
          <w:lang w:eastAsia="zh-CN"/>
        </w:rPr>
        <w:t>辖区面积</w:t>
      </w:r>
      <w:r>
        <w:rPr>
          <w:rFonts w:hint="eastAsia" w:ascii="宋体" w:hAnsi="宋体" w:eastAsia="宋体" w:cs="宋体"/>
          <w:b w:val="0"/>
          <w:sz w:val="24"/>
          <w:highlight w:val="none"/>
          <w:u w:val="none"/>
          <w:lang w:val="en-US" w:eastAsia="zh-CN"/>
        </w:rPr>
        <w:t>应</w:t>
      </w:r>
      <w:r>
        <w:rPr>
          <w:rFonts w:hint="eastAsia" w:ascii="宋体" w:hAnsi="宋体" w:eastAsia="宋体" w:cs="宋体"/>
          <w:b w:val="0"/>
          <w:sz w:val="24"/>
          <w:highlight w:val="none"/>
          <w:u w:val="none"/>
          <w:lang w:eastAsia="zh-CN"/>
        </w:rPr>
        <w:t>与2023年国土变更调查的数据一致</w:t>
      </w:r>
    </w:p>
    <w:p w14:paraId="10E32ADF">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土壤类型分布断面图</w:t>
      </w:r>
    </w:p>
    <w:p w14:paraId="2A476D7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8415F5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（1）断面图断面选择合理，贯穿全域。</w:t>
      </w:r>
    </w:p>
    <w:p w14:paraId="0DDB2B3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（2）断面图标注了关键地点名称、断面方向、土种名称，并且对应了地形地貌和成土母质。</w:t>
      </w:r>
    </w:p>
    <w:p w14:paraId="4E1F9A5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2B71FD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383405" cy="2973070"/>
            <wp:effectExtent l="0" t="0" r="10795" b="11430"/>
            <wp:docPr id="5" name="图片 5" descr="cd28444f-c685-4163-9678-6b3cfd4ff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d28444f-c685-4163-9678-6b3cfd4ff950"/>
                    <pic:cNvPicPr>
                      <a:picLocks noChangeAspect="1"/>
                    </pic:cNvPicPr>
                  </pic:nvPicPr>
                  <pic:blipFill>
                    <a:blip r:embed="rId9"/>
                    <a:stretch>
                      <a:fillRect/>
                    </a:stretch>
                  </pic:blipFill>
                  <pic:spPr>
                    <a:xfrm>
                      <a:off x="0" y="0"/>
                      <a:ext cx="4383405" cy="2973070"/>
                    </a:xfrm>
                    <a:prstGeom prst="rect">
                      <a:avLst/>
                    </a:prstGeom>
                  </pic:spPr>
                </pic:pic>
              </a:graphicData>
            </a:graphic>
          </wp:inline>
        </w:drawing>
      </w:r>
    </w:p>
    <w:p w14:paraId="452F33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断面图应对应到</w:t>
      </w:r>
      <w:r>
        <w:rPr>
          <w:rFonts w:hint="eastAsia" w:ascii="宋体" w:hAnsi="宋体" w:eastAsia="宋体" w:cs="宋体"/>
          <w:b w:val="0"/>
          <w:sz w:val="24"/>
          <w:u w:val="none"/>
          <w:lang w:eastAsia="zh-CN"/>
        </w:rPr>
        <w:t>土种；</w:t>
      </w:r>
      <w:r>
        <w:rPr>
          <w:rFonts w:hint="eastAsia" w:ascii="宋体" w:hAnsi="宋体" w:eastAsia="宋体" w:cs="宋体"/>
          <w:b w:val="0"/>
          <w:sz w:val="24"/>
          <w:u w:val="none"/>
          <w:lang w:val="en-US" w:eastAsia="zh-CN"/>
        </w:rPr>
        <w:t>断面图不应出现折线</w:t>
      </w:r>
    </w:p>
    <w:p w14:paraId="4FA89CBC">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3. 图例制作与图面配置</w:t>
      </w:r>
    </w:p>
    <w:p w14:paraId="3C37CBC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6EEFDC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（1）图例用土壤类型代码、分类名称、颜色和几何图形表示制图单元；包括地形、农业利用等内容，能够反应与土壤形成分布有关的自然因素和农业利用状况。</w:t>
      </w:r>
    </w:p>
    <w:p w14:paraId="5E13432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（2）图名按要求命名；制图时间、单位等文字说明位于图幅右下方/外轮廓右下方；图廓直线表示，外粗内细，有清晰可见的经纬度坐标注记。</w:t>
      </w:r>
    </w:p>
    <w:p w14:paraId="7891372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eastAsia="zh-CN"/>
        </w:rPr>
        <w:t>审查结果：</w:t>
      </w:r>
      <w:r>
        <w:rPr>
          <w:rFonts w:hint="eastAsia" w:ascii="宋体" w:hAnsi="宋体" w:eastAsia="宋体" w:cs="宋体"/>
          <w:b w:val="0"/>
          <w:sz w:val="24"/>
          <w:u w:val="none"/>
          <w:lang w:val="en-US" w:eastAsia="zh-CN"/>
        </w:rPr>
        <w:t>图廓未按标准绘制</w:t>
      </w:r>
    </w:p>
    <w:p w14:paraId="6AD83EE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03A04C3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4138295" cy="1967230"/>
            <wp:effectExtent l="0" t="0" r="1905" b="1270"/>
            <wp:docPr id="7" name="图片 7" descr="319a373e-15cb-493b-8a22-fc6608e80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19a373e-15cb-493b-8a22-fc6608e8042d"/>
                    <pic:cNvPicPr>
                      <a:picLocks noChangeAspect="1"/>
                    </pic:cNvPicPr>
                  </pic:nvPicPr>
                  <pic:blipFill>
                    <a:blip r:embed="rId10"/>
                    <a:stretch>
                      <a:fillRect/>
                    </a:stretch>
                  </pic:blipFill>
                  <pic:spPr>
                    <a:xfrm>
                      <a:off x="0" y="0"/>
                      <a:ext cx="4138295" cy="1967230"/>
                    </a:xfrm>
                    <a:prstGeom prst="rect">
                      <a:avLst/>
                    </a:prstGeom>
                  </pic:spPr>
                </pic:pic>
              </a:graphicData>
            </a:graphic>
          </wp:inline>
        </w:drawing>
      </w:r>
    </w:p>
    <w:p w14:paraId="044081B5">
      <w:pPr>
        <w:keepNext/>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sz w:val="12"/>
          <w:u w:val="none"/>
          <w:lang w:eastAsia="zh-CN"/>
        </w:rPr>
      </w:pPr>
    </w:p>
    <w:p w14:paraId="04821AC4">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0"/>
        <w:rPr>
          <w:rFonts w:hint="eastAsia" w:ascii="黑体" w:hAnsi="黑体" w:eastAsia="黑体" w:cs="黑体"/>
          <w:b/>
          <w:sz w:val="30"/>
          <w:u w:val="none"/>
          <w:lang w:eastAsia="zh-CN"/>
        </w:rPr>
      </w:pPr>
      <w:bookmarkStart w:id="9" w:name="_Toc12952"/>
      <w:r>
        <w:rPr>
          <w:rFonts w:hint="eastAsia" w:ascii="黑体" w:hAnsi="黑体" w:eastAsia="黑体" w:cs="黑体"/>
          <w:b/>
          <w:sz w:val="30"/>
          <w:u w:val="none"/>
          <w:lang w:eastAsia="zh-CN"/>
        </w:rPr>
        <w:t>三、文本成果</w:t>
      </w:r>
      <w:bookmarkEnd w:id="9"/>
    </w:p>
    <w:p w14:paraId="412E58CA">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0" w:name="_Toc9799"/>
      <w:r>
        <w:rPr>
          <w:rFonts w:hint="eastAsia" w:ascii="宋体" w:hAnsi="宋体" w:eastAsia="宋体" w:cs="宋体"/>
          <w:b/>
          <w:sz w:val="28"/>
          <w:u w:val="none"/>
          <w:lang w:eastAsia="zh-CN"/>
        </w:rPr>
        <w:t>（一）土壤类型制图技术报告</w:t>
      </w:r>
      <w:bookmarkEnd w:id="10"/>
    </w:p>
    <w:p w14:paraId="123E069E">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4A3FD74D">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D5F8E0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（1）目录规范：是否设有图、表目录。</w:t>
      </w:r>
    </w:p>
    <w:p w14:paraId="05EDBA7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单位规范：计量单位是否全文统一；土壤分层单位是否全文统一为cm；土地面积单位为亩的数值是否保留到整数，单位为万亩时是否保留两位小数；土壤属性指标值是否保留1位小数（砂、粉、黏等质地类型指标值可保留到整数）。</w:t>
      </w:r>
    </w:p>
    <w:p w14:paraId="7CDB244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标题规范：目录字体是否统一；标题级别设置是否正确；章节标题为小二号宋体加粗居中；一级标题为三号黑体；二级标题为四号宋体加粗；三级标题为小四号黑体；四级标题为小四号宋体加粗；标题段前段后各0.5倍行距。</w:t>
      </w:r>
    </w:p>
    <w:p w14:paraId="43098F2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（4）制图规范：图名是否准确；图件的设计制作是否主题突出，清晰易读且美观大方。</w:t>
      </w:r>
    </w:p>
    <w:p w14:paraId="28A94A6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（5）制表规范：是否存在重复表格；表名是否准确。</w:t>
      </w:r>
    </w:p>
    <w:p w14:paraId="1800A90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（6）正文规范：正文是否为小四号宋体，图名、表名五号黑体；正文是否为单倍行距；全文涉及的数字及英文字母是否一律用Times New Roman字体。</w:t>
      </w:r>
    </w:p>
    <w:p w14:paraId="5FD4229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highlight w:val="none"/>
          <w:u w:val="none"/>
          <w:lang w:eastAsia="zh-CN"/>
        </w:rPr>
      </w:pPr>
      <w:r>
        <w:rPr>
          <w:rFonts w:hint="eastAsia" w:ascii="宋体" w:hAnsi="宋体" w:eastAsia="宋体" w:cs="宋体"/>
          <w:b w:val="0"/>
          <w:sz w:val="24"/>
          <w:u w:val="none"/>
          <w:lang w:eastAsia="zh-CN"/>
        </w:rPr>
        <w:t>（7）质地规范：</w:t>
      </w:r>
      <w:r>
        <w:rPr>
          <w:rFonts w:hint="eastAsia" w:ascii="宋体" w:hAnsi="宋体" w:eastAsia="宋体" w:cs="宋体"/>
          <w:b w:val="0"/>
          <w:sz w:val="24"/>
          <w:highlight w:val="none"/>
          <w:u w:val="none"/>
          <w:lang w:eastAsia="zh-CN"/>
        </w:rPr>
        <w:t>土种命名时，是否采用质地5级；土体质地构型与命名是否准确。</w:t>
      </w:r>
    </w:p>
    <w:p w14:paraId="052E50F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04DA338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经检查，均砂壤泥沙质褐土、壤质厚层暗泥质山地草甸土、壤质厚层灰泥质山地草甸土不在河北省三普土种清单中</w:t>
      </w:r>
    </w:p>
    <w:p w14:paraId="37C6E08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drawing>
          <wp:anchor distT="0" distB="0" distL="114300" distR="114300" simplePos="0" relativeHeight="251659264" behindDoc="0" locked="0" layoutInCell="1" allowOverlap="1">
            <wp:simplePos x="0" y="0"/>
            <wp:positionH relativeFrom="column">
              <wp:posOffset>-139700</wp:posOffset>
            </wp:positionH>
            <wp:positionV relativeFrom="paragraph">
              <wp:posOffset>18415</wp:posOffset>
            </wp:positionV>
            <wp:extent cx="5807075" cy="1840865"/>
            <wp:effectExtent l="0" t="0" r="9525" b="635"/>
            <wp:wrapSquare wrapText="bothSides"/>
            <wp:docPr id="9" name="图片 9" descr="6dc569f5-a235-44dc-9ef9-b34ea8d35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dc569f5-a235-44dc-9ef9-b34ea8d35d73"/>
                    <pic:cNvPicPr>
                      <a:picLocks noChangeAspect="1"/>
                    </pic:cNvPicPr>
                  </pic:nvPicPr>
                  <pic:blipFill>
                    <a:blip r:embed="rId11"/>
                    <a:stretch>
                      <a:fillRect/>
                    </a:stretch>
                  </pic:blipFill>
                  <pic:spPr>
                    <a:xfrm>
                      <a:off x="0" y="0"/>
                      <a:ext cx="5807075" cy="1840865"/>
                    </a:xfrm>
                    <a:prstGeom prst="rect">
                      <a:avLst/>
                    </a:prstGeom>
                  </pic:spPr>
                </pic:pic>
              </a:graphicData>
            </a:graphic>
          </wp:anchor>
        </w:drawing>
      </w:r>
      <w:r>
        <w:rPr>
          <w:rFonts w:hint="eastAsia" w:ascii="宋体" w:hAnsi="宋体" w:eastAsia="宋体" w:cs="宋体"/>
          <w:b w:val="0"/>
          <w:sz w:val="24"/>
          <w:u w:val="none"/>
          <w:lang w:val="en-US" w:eastAsia="zh-CN"/>
        </w:rPr>
        <w:t>部分</w:t>
      </w:r>
      <w:r>
        <w:rPr>
          <w:rFonts w:hint="eastAsia" w:ascii="宋体" w:hAnsi="宋体" w:eastAsia="宋体" w:cs="宋体"/>
          <w:b w:val="0"/>
          <w:sz w:val="24"/>
          <w:u w:val="none"/>
          <w:lang w:eastAsia="zh-CN"/>
        </w:rPr>
        <w:t>土地面积单位为亩的数值</w:t>
      </w:r>
      <w:r>
        <w:rPr>
          <w:rFonts w:hint="eastAsia" w:ascii="宋体" w:hAnsi="宋体" w:eastAsia="宋体" w:cs="宋体"/>
          <w:b w:val="0"/>
          <w:sz w:val="24"/>
          <w:u w:val="none"/>
          <w:lang w:val="en-US" w:eastAsia="zh-CN"/>
        </w:rPr>
        <w:t>部分未</w:t>
      </w:r>
      <w:r>
        <w:rPr>
          <w:rFonts w:hint="eastAsia" w:ascii="宋体" w:hAnsi="宋体" w:eastAsia="宋体" w:cs="宋体"/>
          <w:b w:val="0"/>
          <w:sz w:val="24"/>
          <w:u w:val="none"/>
          <w:lang w:eastAsia="zh-CN"/>
        </w:rPr>
        <w:t>保留到整数；土地面积单位</w:t>
      </w:r>
      <w:r>
        <w:rPr>
          <w:rFonts w:hint="eastAsia" w:ascii="宋体" w:hAnsi="宋体" w:eastAsia="宋体" w:cs="宋体"/>
          <w:b w:val="0"/>
          <w:sz w:val="24"/>
          <w:u w:val="none"/>
          <w:lang w:val="en-US" w:eastAsia="zh-CN"/>
        </w:rPr>
        <w:t>统一为</w:t>
      </w:r>
      <w:r>
        <w:rPr>
          <w:rFonts w:hint="eastAsia" w:ascii="宋体" w:hAnsi="宋体" w:eastAsia="宋体" w:cs="宋体"/>
          <w:b w:val="0"/>
          <w:sz w:val="24"/>
          <w:u w:val="none"/>
          <w:lang w:eastAsia="zh-CN"/>
        </w:rPr>
        <w:t>亩</w:t>
      </w:r>
      <w:r>
        <w:rPr>
          <w:rFonts w:hint="eastAsia" w:ascii="宋体" w:hAnsi="宋体" w:eastAsia="宋体" w:cs="宋体"/>
          <w:b w:val="0"/>
          <w:sz w:val="24"/>
          <w:u w:val="none"/>
          <w:lang w:val="en-US" w:eastAsia="zh-CN"/>
        </w:rPr>
        <w:t>或万亩</w:t>
      </w:r>
    </w:p>
    <w:p w14:paraId="09C18E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768090" cy="1207135"/>
            <wp:effectExtent l="0" t="0" r="3810" b="12065"/>
            <wp:docPr id="10" name="图片 10" descr="f5ba543d-d402-47b0-9495-a91882c69f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5ba543d-d402-47b0-9495-a91882c69f17"/>
                    <pic:cNvPicPr>
                      <a:picLocks noChangeAspect="1"/>
                    </pic:cNvPicPr>
                  </pic:nvPicPr>
                  <pic:blipFill>
                    <a:blip r:embed="rId12"/>
                    <a:stretch>
                      <a:fillRect/>
                    </a:stretch>
                  </pic:blipFill>
                  <pic:spPr>
                    <a:xfrm>
                      <a:off x="0" y="0"/>
                      <a:ext cx="3768090" cy="1207135"/>
                    </a:xfrm>
                    <a:prstGeom prst="rect">
                      <a:avLst/>
                    </a:prstGeom>
                  </pic:spPr>
                </pic:pic>
              </a:graphicData>
            </a:graphic>
          </wp:inline>
        </w:drawing>
      </w:r>
    </w:p>
    <w:p w14:paraId="077C0808">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图名重复；</w:t>
      </w:r>
    </w:p>
    <w:p w14:paraId="0615D7B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标题字体字号未按标准设置；</w:t>
      </w:r>
    </w:p>
    <w:p w14:paraId="43A694B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r>
        <w:rPr>
          <w:rFonts w:hint="eastAsia" w:ascii="宋体" w:hAnsi="宋体" w:eastAsia="宋体" w:cs="宋体"/>
          <w:b w:val="0"/>
          <w:sz w:val="24"/>
          <w:u w:val="none"/>
          <w:lang w:val="en-US" w:eastAsia="zh-CN"/>
        </w:rPr>
        <w:t>图名、表名字体字号未按标准设置</w:t>
      </w:r>
    </w:p>
    <w:p w14:paraId="7894A716">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68DBA0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7129DE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（1）第一章 土壤分类：是否在土种级别进行了针对本县区的三普土壤分类和二普土壤分类（规则）对照；是否进行了本县区土壤系统分类与发生学分类的对照。</w:t>
      </w:r>
    </w:p>
    <w:p w14:paraId="3D2B546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（2）第二章 土壤类型与变化：是否对本县区的主要土壤类型、数量和分布进行了规律性总结；是否对土壤类型的变化进行了分门别类的详细阐述。</w:t>
      </w:r>
    </w:p>
    <w:p w14:paraId="660FF603">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（3）第三章 土壤类型图编制：</w:t>
      </w:r>
    </w:p>
    <w:p w14:paraId="61660D3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a. 是否以不同校核内容为分项，对室内校核结果进行量化和效用阐述；</w:t>
      </w:r>
    </w:p>
    <w:p w14:paraId="3DCEE73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b. 是否在野外校核路线和校核点设计描述中回应了室内校核结果；</w:t>
      </w:r>
    </w:p>
    <w:p w14:paraId="0C6BC85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c. 是否在推测制图部分给出虚点的选择原则和虚点对土壤类型代表性的证明示例；</w:t>
      </w:r>
    </w:p>
    <w:p w14:paraId="454BDF0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d. 是否在推测制图部分给出环境变量的重要性排序及合理性评述；</w:t>
      </w:r>
    </w:p>
    <w:p w14:paraId="71422A9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e. 推测制图的土种空间分布图和不确定性分布图是否展示并选用了正确的图例；</w:t>
      </w:r>
    </w:p>
    <w:p w14:paraId="1AB1B61F">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f. 是否对推测制图的效果进行评述，且突出最优和最劣情况；</w:t>
      </w:r>
    </w:p>
    <w:p w14:paraId="0088719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g. 是否详述了土壤推测制图结果在土壤类型制图中的具体应用情况；</w:t>
      </w:r>
    </w:p>
    <w:p w14:paraId="062751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h. 是否结合室内校核、野外校核和推测制图结果，明确给出土壤类型改变区提取和类型预判的依据；</w:t>
      </w:r>
    </w:p>
    <w:p w14:paraId="151D8CC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i. 是否明确说明野外验证路线设计的思路和验证的量化结果；</w:t>
      </w:r>
    </w:p>
    <w:p w14:paraId="51D4C6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 xml:space="preserve">    j. 是否对本县区二普和三普土壤分布格局进行了定性、定量比较和变化原因分析。</w:t>
      </w:r>
    </w:p>
    <w:p w14:paraId="78139E8B">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55ADE53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以不同校核内容为分项，对室内校核结果进行量化和效用阐述；</w:t>
      </w:r>
    </w:p>
    <w:p w14:paraId="4C68EF5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在推测制图部分给出虚点的选择原则和虚点对土壤类型代表性的证明示例；</w:t>
      </w:r>
    </w:p>
    <w:p w14:paraId="5DAD835E">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在推测制图部分给出环境变量的重要性排序及合理性评述；</w:t>
      </w:r>
    </w:p>
    <w:p w14:paraId="6375FF82">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drawing>
          <wp:inline distT="0" distB="0" distL="114300" distR="114300">
            <wp:extent cx="5271770" cy="2585085"/>
            <wp:effectExtent l="0" t="0" r="11430" b="5715"/>
            <wp:docPr id="11" name="图片 11" descr="566f0f34-bd84-4f6d-a0ce-50dccc334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566f0f34-bd84-4f6d-a0ce-50dccc334afe"/>
                    <pic:cNvPicPr>
                      <a:picLocks noChangeAspect="1"/>
                    </pic:cNvPicPr>
                  </pic:nvPicPr>
                  <pic:blipFill>
                    <a:blip r:embed="rId13"/>
                    <a:stretch>
                      <a:fillRect/>
                    </a:stretch>
                  </pic:blipFill>
                  <pic:spPr>
                    <a:xfrm>
                      <a:off x="0" y="0"/>
                      <a:ext cx="5271770" cy="2585085"/>
                    </a:xfrm>
                    <a:prstGeom prst="rect">
                      <a:avLst/>
                    </a:prstGeom>
                  </pic:spPr>
                </pic:pic>
              </a:graphicData>
            </a:graphic>
          </wp:inline>
        </w:drawing>
      </w:r>
    </w:p>
    <w:p w14:paraId="6EF9AF7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选用正确的图例；</w:t>
      </w:r>
    </w:p>
    <w:p w14:paraId="4233107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进行本县区土壤系统分类与发生学分类的对照；</w:t>
      </w:r>
    </w:p>
    <w:p w14:paraId="481444A4">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在推测制图部分给出虚点对土壤类型代表性的证明示例；</w:t>
      </w:r>
    </w:p>
    <w:p w14:paraId="7A9002E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推测制图的土种空间分布图和不确定性分布图</w:t>
      </w:r>
      <w:r>
        <w:rPr>
          <w:rFonts w:hint="eastAsia" w:ascii="宋体" w:hAnsi="宋体" w:eastAsia="宋体" w:cs="宋体"/>
          <w:b w:val="0"/>
          <w:sz w:val="24"/>
          <w:u w:val="none"/>
          <w:lang w:val="en-US" w:eastAsia="zh-CN"/>
        </w:rPr>
        <w:t>未</w:t>
      </w:r>
      <w:r>
        <w:rPr>
          <w:rFonts w:hint="eastAsia" w:ascii="宋体" w:hAnsi="宋体" w:eastAsia="宋体" w:cs="宋体"/>
          <w:b w:val="0"/>
          <w:sz w:val="24"/>
          <w:u w:val="none"/>
          <w:lang w:eastAsia="zh-CN"/>
        </w:rPr>
        <w:t>选用正确图例</w:t>
      </w:r>
    </w:p>
    <w:p w14:paraId="46A57489">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p>
    <w:p w14:paraId="26BD62F2">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1"/>
        <w:rPr>
          <w:rFonts w:hint="eastAsia" w:ascii="宋体" w:hAnsi="宋体" w:eastAsia="宋体" w:cs="宋体"/>
          <w:b/>
          <w:sz w:val="28"/>
          <w:u w:val="none"/>
          <w:lang w:eastAsia="zh-CN"/>
        </w:rPr>
      </w:pPr>
      <w:bookmarkStart w:id="11" w:name="_Toc12692"/>
      <w:r>
        <w:rPr>
          <w:rFonts w:hint="eastAsia" w:ascii="宋体" w:hAnsi="宋体" w:eastAsia="宋体" w:cs="宋体"/>
          <w:b/>
          <w:sz w:val="28"/>
          <w:u w:val="none"/>
          <w:lang w:eastAsia="zh-CN"/>
        </w:rPr>
        <w:t>（二）土壤类型制图工作报告</w:t>
      </w:r>
      <w:bookmarkEnd w:id="11"/>
    </w:p>
    <w:p w14:paraId="7BF4332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1. 全文规范审查</w:t>
      </w:r>
    </w:p>
    <w:p w14:paraId="6C62F29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205F24A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参照技术报告全文规范中的（1）至（7）条，检查工作报告是否符合相应格式要求。</w:t>
      </w:r>
    </w:p>
    <w:p w14:paraId="15113F37">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3614F2E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drawing>
          <wp:inline distT="0" distB="0" distL="114300" distR="114300">
            <wp:extent cx="3829050" cy="1657350"/>
            <wp:effectExtent l="0" t="0" r="6350" b="6350"/>
            <wp:docPr id="12" name="图片 12" descr="7f3e6c5e-1db6-4804-969a-e0a1d0de8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f3e6c5e-1db6-4804-969a-e0a1d0de860f"/>
                    <pic:cNvPicPr>
                      <a:picLocks noChangeAspect="1"/>
                    </pic:cNvPicPr>
                  </pic:nvPicPr>
                  <pic:blipFill>
                    <a:blip r:embed="rId14"/>
                    <a:stretch>
                      <a:fillRect/>
                    </a:stretch>
                  </pic:blipFill>
                  <pic:spPr>
                    <a:xfrm>
                      <a:off x="0" y="0"/>
                      <a:ext cx="3829050" cy="1657350"/>
                    </a:xfrm>
                    <a:prstGeom prst="rect">
                      <a:avLst/>
                    </a:prstGeom>
                  </pic:spPr>
                </pic:pic>
              </a:graphicData>
            </a:graphic>
          </wp:inline>
        </w:drawing>
      </w:r>
    </w:p>
    <w:p w14:paraId="539C238C">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eastAsia="zh-CN"/>
        </w:rPr>
        <w:t>章节</w:t>
      </w:r>
      <w:r>
        <w:rPr>
          <w:rFonts w:hint="eastAsia" w:ascii="宋体" w:hAnsi="宋体" w:eastAsia="宋体" w:cs="宋体"/>
          <w:b w:val="0"/>
          <w:sz w:val="24"/>
          <w:u w:val="none"/>
          <w:lang w:val="en-US" w:eastAsia="zh-CN"/>
        </w:rPr>
        <w:t>标题未居中；</w:t>
      </w:r>
    </w:p>
    <w:p w14:paraId="5472091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val="en-US" w:eastAsia="zh-CN"/>
        </w:rPr>
      </w:pPr>
      <w:r>
        <w:rPr>
          <w:rFonts w:hint="eastAsia" w:ascii="宋体" w:hAnsi="宋体" w:eastAsia="宋体" w:cs="宋体"/>
          <w:b w:val="0"/>
          <w:sz w:val="24"/>
          <w:u w:val="none"/>
          <w:lang w:val="en-US" w:eastAsia="zh-CN"/>
        </w:rPr>
        <w:t>标题字体字号行距未按标准设置；</w:t>
      </w:r>
    </w:p>
    <w:p w14:paraId="564426BA">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none"/>
          <w:lang w:val="en-US" w:eastAsia="zh-CN"/>
        </w:rPr>
      </w:pPr>
    </w:p>
    <w:p w14:paraId="35D1E4E5">
      <w:pPr>
        <w:keepNext/>
        <w:keepLines w:val="0"/>
        <w:pageBreakBefore w:val="0"/>
        <w:widowControl w:val="0"/>
        <w:kinsoku/>
        <w:wordWrap/>
        <w:overflowPunct/>
        <w:topLinePunct w:val="0"/>
        <w:autoSpaceDE/>
        <w:autoSpaceDN/>
        <w:bidi w:val="0"/>
        <w:adjustRightInd/>
        <w:snapToGrid/>
        <w:spacing w:line="360" w:lineRule="auto"/>
        <w:jc w:val="left"/>
        <w:textAlignment w:val="auto"/>
        <w:outlineLvl w:val="2"/>
        <w:rPr>
          <w:rFonts w:hint="eastAsia" w:ascii="宋体" w:hAnsi="宋体" w:eastAsia="宋体" w:cs="宋体"/>
          <w:b/>
          <w:sz w:val="24"/>
          <w:u w:val="none"/>
          <w:lang w:eastAsia="zh-CN"/>
        </w:rPr>
      </w:pPr>
      <w:r>
        <w:rPr>
          <w:rFonts w:hint="eastAsia" w:ascii="宋体" w:hAnsi="宋体" w:eastAsia="宋体" w:cs="宋体"/>
          <w:b/>
          <w:sz w:val="24"/>
          <w:u w:val="none"/>
          <w:lang w:eastAsia="zh-CN"/>
        </w:rPr>
        <w:t>2. 章节专项问题审查</w:t>
      </w:r>
    </w:p>
    <w:p w14:paraId="35F52D86">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审查标准：</w:t>
      </w:r>
    </w:p>
    <w:p w14:paraId="32017CF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（1）质量控制章节：</w:t>
      </w:r>
    </w:p>
    <w:p w14:paraId="06905911">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（2）结论与建议：</w:t>
      </w:r>
    </w:p>
    <w:p w14:paraId="3B2ED585">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b w:val="0"/>
          <w:sz w:val="24"/>
          <w:u w:val="none"/>
          <w:lang w:eastAsia="zh-CN"/>
        </w:rPr>
      </w:pPr>
      <w:r>
        <w:rPr>
          <w:rFonts w:hint="eastAsia" w:ascii="宋体" w:hAnsi="宋体" w:eastAsia="宋体" w:cs="宋体"/>
          <w:b w:val="0"/>
          <w:sz w:val="24"/>
          <w:u w:val="none"/>
          <w:lang w:eastAsia="zh-CN"/>
        </w:rPr>
        <w:t>审查结果：</w:t>
      </w:r>
    </w:p>
    <w:p w14:paraId="45D7BD00">
      <w:pPr>
        <w:keepNext/>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b w:val="0"/>
          <w:sz w:val="24"/>
          <w:u w:val="single"/>
          <w:lang w:val="en-US" w:eastAsia="zh-CN"/>
        </w:rPr>
      </w:pPr>
      <w:r>
        <w:rPr>
          <w:rFonts w:hint="eastAsia" w:ascii="宋体" w:hAnsi="宋体" w:eastAsia="宋体" w:cs="宋体"/>
          <w:b w:val="0"/>
          <w:sz w:val="24"/>
          <w:u w:val="none"/>
          <w:lang w:val="en-US" w:eastAsia="zh-CN"/>
        </w:rPr>
        <w:t>未设置质量控制章节、结论与建议章节</w:t>
      </w:r>
    </w:p>
    <w:p w14:paraId="059215A6">
      <w:pPr>
        <w:keepNext w:val="0"/>
        <w:keepLines w:val="0"/>
        <w:pageBreakBefore w:val="0"/>
        <w:widowControl w:val="0"/>
        <w:numPr>
          <w:ilvl w:val="0"/>
          <w:numId w:val="0"/>
        </w:numPr>
        <w:kinsoku/>
        <w:wordWrap/>
        <w:overflowPunct/>
        <w:topLinePunct w:val="0"/>
        <w:autoSpaceDE/>
        <w:autoSpaceDN/>
        <w:bidi w:val="0"/>
        <w:adjustRightInd/>
        <w:snapToGrid/>
        <w:jc w:val="left"/>
        <w:textAlignment w:val="auto"/>
        <w:rPr>
          <w:rFonts w:hint="eastAsia"/>
          <w:sz w:val="24"/>
          <w:szCs w:val="24"/>
          <w:lang w:val="en-US" w:eastAsia="zh-CN"/>
        </w:rPr>
      </w:pPr>
    </w:p>
    <w:p w14:paraId="40A0CE54">
      <w:pPr>
        <w:rPr>
          <w:rFonts w:hint="default"/>
          <w:sz w:val="24"/>
          <w:szCs w:val="24"/>
          <w:lang w:val="en-US" w:eastAsia="zh-CN"/>
        </w:rPr>
      </w:pPr>
    </w:p>
    <w:p w14:paraId="2AD1DFD6"/>
    <w:p w14:paraId="1EAA7BBF"/>
    <w:p w14:paraId="56F632EA">
      <w:pPr>
        <w:jc w:val="center"/>
        <w:rPr>
          <w:rFonts w:hint="eastAsia"/>
          <w:sz w:val="28"/>
          <w:szCs w:val="28"/>
          <w:lang w:val="en-US" w:eastAsia="zh-CN"/>
        </w:rPr>
      </w:pPr>
      <w:r>
        <w:rPr>
          <w:rFonts w:hint="eastAsia"/>
          <w:sz w:val="28"/>
          <w:szCs w:val="28"/>
          <w:lang w:val="en-US" w:eastAsia="zh-CN"/>
        </w:rPr>
        <w:t>土壤属性图质控问题反馈——保定市涞源县</w:t>
      </w:r>
    </w:p>
    <w:p w14:paraId="3298E80A">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数据库成果</w:t>
      </w:r>
    </w:p>
    <w:p w14:paraId="3D29F99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数据库结构：</w:t>
      </w:r>
    </w:p>
    <w:p w14:paraId="3275880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按目录结构整理数据库，数据库内容是否完整。</w:t>
      </w:r>
    </w:p>
    <w:p w14:paraId="02B8841D">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已</w:t>
      </w:r>
      <w:r>
        <w:rPr>
          <w:rFonts w:hint="default" w:ascii="Times New Roman" w:hAnsi="Times New Roman" w:eastAsia="宋体" w:cs="Times New Roman"/>
          <w:b w:val="0"/>
          <w:bCs w:val="0"/>
          <w:sz w:val="24"/>
          <w:szCs w:val="24"/>
          <w:lang w:val="en-US" w:eastAsia="zh-CN"/>
        </w:rPr>
        <w:t>提交基础数据、成果栅格、数字化图件、报告和GDB，但未见历史样点及对应栅格、模型过程文件</w:t>
      </w:r>
      <w:r>
        <w:rPr>
          <w:rFonts w:hint="eastAsia" w:ascii="Times New Roman" w:hAnsi="Times New Roman" w:eastAsia="宋体" w:cs="Times New Roman"/>
          <w:b w:val="0"/>
          <w:bCs w:val="0"/>
          <w:sz w:val="24"/>
          <w:szCs w:val="24"/>
          <w:lang w:val="en-US" w:eastAsia="zh-CN"/>
        </w:rPr>
        <w:t>。</w:t>
      </w:r>
    </w:p>
    <w:p w14:paraId="28EE8BEF">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w:t>
      </w:r>
      <w:r>
        <w:rPr>
          <w:rFonts w:hint="default" w:ascii="Times New Roman" w:hAnsi="Times New Roman" w:eastAsia="宋体" w:cs="Times New Roman"/>
          <w:b w:val="0"/>
          <w:bCs w:val="0"/>
          <w:sz w:val="24"/>
          <w:szCs w:val="24"/>
          <w:lang w:val="en-US" w:eastAsia="zh-CN"/>
        </w:rPr>
        <w:t>提交成果的名称是否规范</w:t>
      </w:r>
      <w:r>
        <w:rPr>
          <w:rFonts w:hint="eastAsia" w:ascii="Times New Roman" w:hAnsi="Times New Roman" w:eastAsia="宋体" w:cs="Times New Roman"/>
          <w:b w:val="0"/>
          <w:bCs w:val="0"/>
          <w:sz w:val="24"/>
          <w:szCs w:val="24"/>
          <w:lang w:val="en-US" w:eastAsia="zh-CN"/>
        </w:rPr>
        <w:t>：</w:t>
      </w:r>
    </w:p>
    <w:p w14:paraId="4BBC6E5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提交的成果与目录结构中的文件名称要求是否一致。</w:t>
      </w:r>
    </w:p>
    <w:p w14:paraId="1745261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8A07416">
      <w:pPr>
        <w:numPr>
          <w:ilvl w:val="0"/>
          <w:numId w:val="0"/>
        </w:numPr>
        <w:spacing w:line="360" w:lineRule="auto"/>
        <w:jc w:val="both"/>
      </w:pPr>
      <w:r>
        <w:rPr>
          <w:rFonts w:hint="eastAsia" w:ascii="Times New Roman" w:hAnsi="Times New Roman" w:eastAsia="宋体" w:cs="Times New Roman"/>
          <w:b w:val="0"/>
          <w:bCs w:val="0"/>
          <w:sz w:val="24"/>
          <w:szCs w:val="24"/>
          <w:lang w:val="en-US" w:eastAsia="zh-CN"/>
        </w:rPr>
        <w:t>（1）数字化图件成果后跟土壤属性图子文件夹，土壤属性图子文件夹内存放命名为“（土壤）XXX（分布）图”的图片（jpg）。</w:t>
      </w:r>
    </w:p>
    <w:p w14:paraId="6036F0D9">
      <w:pPr>
        <w:numPr>
          <w:ilvl w:val="0"/>
          <w:numId w:val="0"/>
        </w:numPr>
        <w:spacing w:line="360" w:lineRule="auto"/>
        <w:jc w:val="both"/>
      </w:pPr>
      <w:r>
        <w:drawing>
          <wp:inline distT="0" distB="0" distL="114300" distR="114300">
            <wp:extent cx="2847975" cy="1780540"/>
            <wp:effectExtent l="0" t="0" r="9525" b="1016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5"/>
                    <a:stretch>
                      <a:fillRect/>
                    </a:stretch>
                  </pic:blipFill>
                  <pic:spPr>
                    <a:xfrm>
                      <a:off x="0" y="0"/>
                      <a:ext cx="2847975" cy="1780540"/>
                    </a:xfrm>
                    <a:prstGeom prst="rect">
                      <a:avLst/>
                    </a:prstGeom>
                    <a:noFill/>
                    <a:ln>
                      <a:noFill/>
                    </a:ln>
                  </pic:spPr>
                </pic:pic>
              </a:graphicData>
            </a:graphic>
          </wp:inline>
        </w:drawing>
      </w:r>
      <w:r>
        <w:drawing>
          <wp:inline distT="0" distB="0" distL="114300" distR="114300">
            <wp:extent cx="2344420" cy="1954530"/>
            <wp:effectExtent l="0" t="0" r="5080" b="127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2344420" cy="1954530"/>
                    </a:xfrm>
                    <a:prstGeom prst="rect">
                      <a:avLst/>
                    </a:prstGeom>
                    <a:noFill/>
                    <a:ln>
                      <a:noFill/>
                    </a:ln>
                  </pic:spPr>
                </pic:pic>
              </a:graphicData>
            </a:graphic>
          </wp:inline>
        </w:drawing>
      </w:r>
    </w:p>
    <w:p w14:paraId="769391C0">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drawing>
          <wp:inline distT="0" distB="0" distL="114300" distR="114300">
            <wp:extent cx="3749675" cy="2348230"/>
            <wp:effectExtent l="0" t="0" r="9525" b="127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3749675" cy="2348230"/>
                    </a:xfrm>
                    <a:prstGeom prst="rect">
                      <a:avLst/>
                    </a:prstGeom>
                    <a:noFill/>
                    <a:ln>
                      <a:noFill/>
                    </a:ln>
                  </pic:spPr>
                </pic:pic>
              </a:graphicData>
            </a:graphic>
          </wp:inline>
        </w:drawing>
      </w:r>
    </w:p>
    <w:p w14:paraId="73E54E1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（2）文字成果命名删去“+”号。</w:t>
      </w:r>
    </w:p>
    <w:p w14:paraId="648D56A7">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5191125" cy="2295525"/>
            <wp:effectExtent l="0" t="0" r="3175" b="3175"/>
            <wp:docPr id="1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pic:cNvPicPr>
                      <a:picLocks noChangeAspect="1"/>
                    </pic:cNvPicPr>
                  </pic:nvPicPr>
                  <pic:blipFill>
                    <a:blip r:embed="rId18"/>
                    <a:stretch>
                      <a:fillRect/>
                    </a:stretch>
                  </pic:blipFill>
                  <pic:spPr>
                    <a:xfrm>
                      <a:off x="0" y="0"/>
                      <a:ext cx="5191125" cy="2295525"/>
                    </a:xfrm>
                    <a:prstGeom prst="rect">
                      <a:avLst/>
                    </a:prstGeom>
                    <a:noFill/>
                    <a:ln>
                      <a:noFill/>
                    </a:ln>
                  </pic:spPr>
                </pic:pic>
              </a:graphicData>
            </a:graphic>
          </wp:inline>
        </w:drawing>
      </w:r>
    </w:p>
    <w:p w14:paraId="6BF6DC8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（3）训练集及验证集文件夹内命名为“xx因子训练集/xx因子测试集”。</w:t>
      </w:r>
    </w:p>
    <w:p w14:paraId="2F167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4443730" cy="2625090"/>
            <wp:effectExtent l="0" t="0" r="1270" b="381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9"/>
                    <a:stretch>
                      <a:fillRect/>
                    </a:stretch>
                  </pic:blipFill>
                  <pic:spPr>
                    <a:xfrm>
                      <a:off x="0" y="0"/>
                      <a:ext cx="4443730" cy="2625090"/>
                    </a:xfrm>
                    <a:prstGeom prst="rect">
                      <a:avLst/>
                    </a:prstGeom>
                    <a:noFill/>
                    <a:ln>
                      <a:noFill/>
                    </a:ln>
                  </pic:spPr>
                </pic:pic>
              </a:graphicData>
            </a:graphic>
          </wp:inline>
        </w:drawing>
      </w:r>
    </w:p>
    <w:p w14:paraId="5D3B318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drawing>
          <wp:inline distT="0" distB="0" distL="114300" distR="114300">
            <wp:extent cx="3695700" cy="2238375"/>
            <wp:effectExtent l="0" t="0" r="0" b="9525"/>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20"/>
                    <a:stretch>
                      <a:fillRect/>
                    </a:stretch>
                  </pic:blipFill>
                  <pic:spPr>
                    <a:xfrm>
                      <a:off x="0" y="0"/>
                      <a:ext cx="3695700" cy="2238375"/>
                    </a:xfrm>
                    <a:prstGeom prst="rect">
                      <a:avLst/>
                    </a:prstGeom>
                    <a:noFill/>
                    <a:ln>
                      <a:noFill/>
                    </a:ln>
                  </pic:spPr>
                </pic:pic>
              </a:graphicData>
            </a:graphic>
          </wp:inline>
        </w:drawing>
      </w:r>
    </w:p>
    <w:p w14:paraId="22E1FBA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（4）成果库中没有DLTB2023。</w:t>
      </w:r>
    </w:p>
    <w:p w14:paraId="6D98EED5">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3E0AC144">
      <w:pPr>
        <w:numPr>
          <w:ilvl w:val="0"/>
          <w:numId w:val="0"/>
        </w:numPr>
        <w:spacing w:line="360" w:lineRule="auto"/>
        <w:jc w:val="both"/>
      </w:pPr>
      <w:r>
        <w:drawing>
          <wp:inline distT="0" distB="0" distL="114300" distR="114300">
            <wp:extent cx="3286125" cy="2952750"/>
            <wp:effectExtent l="0" t="0" r="3175" b="635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3286125" cy="2952750"/>
                    </a:xfrm>
                    <a:prstGeom prst="rect">
                      <a:avLst/>
                    </a:prstGeom>
                    <a:noFill/>
                    <a:ln>
                      <a:noFill/>
                    </a:ln>
                  </pic:spPr>
                </pic:pic>
              </a:graphicData>
            </a:graphic>
          </wp:inline>
        </w:drawing>
      </w:r>
    </w:p>
    <w:p w14:paraId="0485BAFA">
      <w:pPr>
        <w:numPr>
          <w:ilvl w:val="0"/>
          <w:numId w:val="0"/>
        </w:numPr>
        <w:spacing w:line="360" w:lineRule="auto"/>
        <w:jc w:val="both"/>
        <w:rPr>
          <w:rFonts w:hint="default"/>
          <w:lang w:val="en-US" w:eastAsia="zh-CN"/>
        </w:rPr>
      </w:pPr>
      <w:r>
        <w:drawing>
          <wp:inline distT="0" distB="0" distL="114300" distR="114300">
            <wp:extent cx="3333750" cy="2266950"/>
            <wp:effectExtent l="0" t="0" r="6350" b="635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2"/>
                    <a:stretch>
                      <a:fillRect/>
                    </a:stretch>
                  </pic:blipFill>
                  <pic:spPr>
                    <a:xfrm>
                      <a:off x="0" y="0"/>
                      <a:ext cx="3333750" cy="2266950"/>
                    </a:xfrm>
                    <a:prstGeom prst="rect">
                      <a:avLst/>
                    </a:prstGeom>
                    <a:noFill/>
                    <a:ln>
                      <a:noFill/>
                    </a:ln>
                  </pic:spPr>
                </pic:pic>
              </a:graphicData>
            </a:graphic>
          </wp:inline>
        </w:drawing>
      </w:r>
    </w:p>
    <w:p w14:paraId="71F3E07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制图过程</w:t>
      </w:r>
    </w:p>
    <w:p w14:paraId="22589CF4">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（一）</w:t>
      </w:r>
      <w:r>
        <w:rPr>
          <w:rFonts w:hint="default" w:ascii="Times New Roman" w:hAnsi="Times New Roman" w:eastAsia="宋体" w:cs="Times New Roman"/>
          <w:b/>
          <w:bCs/>
          <w:sz w:val="24"/>
          <w:szCs w:val="24"/>
          <w:lang w:val="en-US" w:eastAsia="zh-CN"/>
        </w:rPr>
        <w:t>三普样点</w:t>
      </w:r>
    </w:p>
    <w:p w14:paraId="38BDC044">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数据库中提交入模属性样点矢量数据</w:t>
      </w:r>
    </w:p>
    <w:p w14:paraId="2F93269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p>
    <w:p w14:paraId="0574C87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样点经纬度是否为定位经纬度、CGCS2000坐标系。</w:t>
      </w:r>
    </w:p>
    <w:p w14:paraId="7C190E7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是，存在地理坐标系，投影坐标系</w:t>
      </w:r>
      <w:r>
        <w:rPr>
          <w:rFonts w:hint="eastAsia" w:ascii="Times New Roman" w:hAnsi="Times New Roman" w:eastAsia="宋体" w:cs="Times New Roman"/>
          <w:b w:val="0"/>
          <w:bCs w:val="0"/>
          <w:sz w:val="24"/>
          <w:szCs w:val="24"/>
          <w:lang w:val="en-US" w:eastAsia="zh-CN"/>
        </w:rPr>
        <w:t>。</w:t>
      </w:r>
    </w:p>
    <w:p w14:paraId="3170D7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剖面样点土壤属性值是否根据土层厚度进行加权平均处理（0-20cm）</w:t>
      </w:r>
    </w:p>
    <w:p w14:paraId="7232CB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样点数据中未区分标清表层样点和剖面样点，报告中也未说明相关内容。</w:t>
      </w:r>
    </w:p>
    <w:p w14:paraId="6F30EC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w:t>
      </w:r>
      <w:r>
        <w:rPr>
          <w:rFonts w:hint="default" w:ascii="Times New Roman" w:hAnsi="Times New Roman" w:eastAsia="宋体" w:cs="Times New Roman"/>
          <w:b w:val="0"/>
          <w:bCs w:val="0"/>
          <w:sz w:val="24"/>
          <w:szCs w:val="24"/>
          <w:lang w:val="en-US" w:eastAsia="zh-CN"/>
        </w:rPr>
        <w:t>入模样点是否针对每个土壤属性指标划分训练集与验证集。</w:t>
      </w:r>
    </w:p>
    <w:p w14:paraId="2BCEC17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是。</w:t>
      </w:r>
      <w:r>
        <w:rPr>
          <w:rFonts w:hint="eastAsia" w:ascii="Times New Roman" w:hAnsi="Times New Roman" w:eastAsia="宋体" w:cs="Times New Roman"/>
          <w:b w:val="0"/>
          <w:bCs w:val="0"/>
          <w:sz w:val="24"/>
          <w:szCs w:val="24"/>
          <w:lang w:val="en-US" w:eastAsia="zh-CN"/>
        </w:rPr>
        <w:t>但数据表格中“制图样点数量”列数量应为训练集与验证集数量之和，请核查所有属性制图样点数量。</w:t>
      </w:r>
    </w:p>
    <w:p w14:paraId="7309D713">
      <w:pPr>
        <w:numPr>
          <w:ilvl w:val="0"/>
          <w:numId w:val="0"/>
        </w:numPr>
        <w:spacing w:line="360" w:lineRule="auto"/>
        <w:ind w:firstLine="420" w:firstLineChars="200"/>
        <w:jc w:val="both"/>
      </w:pPr>
      <w:r>
        <w:drawing>
          <wp:inline distT="0" distB="0" distL="114300" distR="114300">
            <wp:extent cx="2300605" cy="3466465"/>
            <wp:effectExtent l="0" t="0" r="10795" b="635"/>
            <wp:docPr id="2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pic:cNvPicPr>
                      <a:picLocks noChangeAspect="1"/>
                    </pic:cNvPicPr>
                  </pic:nvPicPr>
                  <pic:blipFill>
                    <a:blip r:embed="rId23"/>
                    <a:stretch>
                      <a:fillRect/>
                    </a:stretch>
                  </pic:blipFill>
                  <pic:spPr>
                    <a:xfrm>
                      <a:off x="0" y="0"/>
                      <a:ext cx="2300605" cy="3466465"/>
                    </a:xfrm>
                    <a:prstGeom prst="rect">
                      <a:avLst/>
                    </a:prstGeom>
                    <a:noFill/>
                    <a:ln>
                      <a:noFill/>
                    </a:ln>
                  </pic:spPr>
                </pic:pic>
              </a:graphicData>
            </a:graphic>
          </wp:inline>
        </w:drawing>
      </w:r>
      <w:r>
        <w:drawing>
          <wp:inline distT="0" distB="0" distL="114300" distR="114300">
            <wp:extent cx="2414905" cy="3463925"/>
            <wp:effectExtent l="0" t="0" r="10795" b="317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24"/>
                    <a:stretch>
                      <a:fillRect/>
                    </a:stretch>
                  </pic:blipFill>
                  <pic:spPr>
                    <a:xfrm>
                      <a:off x="0" y="0"/>
                      <a:ext cx="2414905" cy="3463925"/>
                    </a:xfrm>
                    <a:prstGeom prst="rect">
                      <a:avLst/>
                    </a:prstGeom>
                    <a:noFill/>
                    <a:ln>
                      <a:noFill/>
                    </a:ln>
                  </pic:spPr>
                </pic:pic>
              </a:graphicData>
            </a:graphic>
          </wp:inline>
        </w:drawing>
      </w:r>
    </w:p>
    <w:p w14:paraId="084EF5A2">
      <w:pPr>
        <w:numPr>
          <w:ilvl w:val="0"/>
          <w:numId w:val="0"/>
        </w:numPr>
        <w:spacing w:line="360" w:lineRule="auto"/>
        <w:ind w:firstLine="420" w:firstLineChars="200"/>
        <w:jc w:val="both"/>
      </w:pPr>
      <w:r>
        <w:drawing>
          <wp:inline distT="0" distB="0" distL="114300" distR="114300">
            <wp:extent cx="5266055" cy="4199890"/>
            <wp:effectExtent l="0" t="0" r="4445" b="3810"/>
            <wp:docPr id="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pic:cNvPicPr>
                      <a:picLocks noChangeAspect="1"/>
                    </pic:cNvPicPr>
                  </pic:nvPicPr>
                  <pic:blipFill>
                    <a:blip r:embed="rId25"/>
                    <a:stretch>
                      <a:fillRect/>
                    </a:stretch>
                  </pic:blipFill>
                  <pic:spPr>
                    <a:xfrm>
                      <a:off x="0" y="0"/>
                      <a:ext cx="5266055" cy="4199890"/>
                    </a:xfrm>
                    <a:prstGeom prst="rect">
                      <a:avLst/>
                    </a:prstGeom>
                    <a:noFill/>
                    <a:ln>
                      <a:noFill/>
                    </a:ln>
                  </pic:spPr>
                </pic:pic>
              </a:graphicData>
            </a:graphic>
          </wp:inline>
        </w:drawing>
      </w:r>
    </w:p>
    <w:p w14:paraId="1C9C5C4A">
      <w:pPr>
        <w:numPr>
          <w:ilvl w:val="0"/>
          <w:numId w:val="0"/>
        </w:numPr>
        <w:spacing w:line="360" w:lineRule="auto"/>
        <w:ind w:firstLine="420" w:firstLineChars="200"/>
        <w:jc w:val="both"/>
        <w:rPr>
          <w:rFonts w:hint="default"/>
          <w:lang w:val="en-US" w:eastAsia="zh-CN"/>
        </w:rPr>
      </w:pPr>
    </w:p>
    <w:p w14:paraId="0BDA622C">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（二）</w:t>
      </w:r>
      <w:r>
        <w:rPr>
          <w:rFonts w:hint="default" w:ascii="Times New Roman" w:hAnsi="Times New Roman" w:eastAsia="宋体" w:cs="Times New Roman"/>
          <w:b/>
          <w:bCs/>
          <w:sz w:val="24"/>
          <w:szCs w:val="24"/>
          <w:lang w:val="en-US" w:eastAsia="zh-CN"/>
        </w:rPr>
        <w:t>历史样点</w:t>
      </w:r>
    </w:p>
    <w:p w14:paraId="6ACEBBC8">
      <w:pPr>
        <w:widowControl w:val="0"/>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要求土壤二普、测土配方施肥（采集时间应为2008-2010年）、耕地地力监测样点数据，三者至少有一个。</w:t>
      </w:r>
    </w:p>
    <w:p w14:paraId="73BFAE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w:t>
      </w:r>
    </w:p>
    <w:p w14:paraId="02AF800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是否将历史样点数据转为矢量（shp）格式并生成相应的栅格数据（Geotiff）</w:t>
      </w:r>
    </w:p>
    <w:p w14:paraId="37B93EF7">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w:t>
      </w:r>
    </w:p>
    <w:p w14:paraId="30EC798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w:t>
      </w:r>
      <w:r>
        <w:rPr>
          <w:rFonts w:hint="default" w:ascii="Times New Roman" w:hAnsi="Times New Roman" w:eastAsia="宋体" w:cs="Times New Roman"/>
          <w:b w:val="0"/>
          <w:bCs w:val="0"/>
          <w:sz w:val="24"/>
          <w:szCs w:val="24"/>
          <w:lang w:val="en-US" w:eastAsia="zh-CN"/>
        </w:rPr>
        <w:t>土壤pH、有机质、全氮、有效磷、速效钾等关键土壤属性的历史样点数据和栅格数据是否完整准确。</w:t>
      </w:r>
    </w:p>
    <w:p w14:paraId="35EAD8FB">
      <w:pPr>
        <w:numPr>
          <w:ilvl w:val="0"/>
          <w:numId w:val="0"/>
        </w:numPr>
        <w:spacing w:line="360" w:lineRule="auto"/>
        <w:ind w:firstLine="480" w:firstLineChars="200"/>
        <w:jc w:val="both"/>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否，</w:t>
      </w:r>
      <w:r>
        <w:rPr>
          <w:rFonts w:hint="default" w:ascii="Times New Roman" w:hAnsi="Times New Roman" w:eastAsia="宋体" w:cs="Times New Roman"/>
          <w:b w:val="0"/>
          <w:bCs w:val="0"/>
          <w:color w:val="000000" w:themeColor="text1"/>
          <w:sz w:val="24"/>
          <w:szCs w:val="24"/>
          <w:lang w:val="en-US" w:eastAsia="zh-CN"/>
          <w14:textFill>
            <w14:solidFill>
              <w14:schemeClr w14:val="tx1"/>
            </w14:solidFill>
          </w14:textFill>
        </w:rPr>
        <w:t>未提交历史样点</w:t>
      </w:r>
      <w:r>
        <w:rPr>
          <w:rFonts w:hint="eastAsia" w:ascii="Times New Roman" w:hAnsi="Times New Roman" w:eastAsia="宋体" w:cs="Times New Roman"/>
          <w:b w:val="0"/>
          <w:bCs w:val="0"/>
          <w:color w:val="000000" w:themeColor="text1"/>
          <w:sz w:val="24"/>
          <w:szCs w:val="24"/>
          <w:lang w:val="en-US" w:eastAsia="zh-CN"/>
          <w14:textFill>
            <w14:solidFill>
              <w14:schemeClr w14:val="tx1"/>
            </w14:solidFill>
          </w14:textFill>
        </w:rPr>
        <w:t>数据和栅格数据。</w:t>
      </w:r>
    </w:p>
    <w:p w14:paraId="5FD117C8">
      <w:pPr>
        <w:numPr>
          <w:ilvl w:val="0"/>
          <w:numId w:val="0"/>
        </w:numPr>
        <w:spacing w:line="360" w:lineRule="auto"/>
        <w:jc w:val="both"/>
        <w:rPr>
          <w:rFonts w:hint="eastAsia" w:ascii="Times New Roman" w:eastAsia="宋体"/>
          <w:b/>
          <w:bCs/>
          <w:sz w:val="24"/>
          <w:szCs w:val="24"/>
          <w:lang w:val="en-US" w:eastAsia="zh-CN"/>
        </w:rPr>
      </w:pPr>
      <w:r>
        <w:rPr>
          <w:rFonts w:hint="eastAsia" w:ascii="Times New Roman" w:eastAsia="宋体"/>
          <w:b/>
          <w:bCs/>
          <w:sz w:val="24"/>
          <w:szCs w:val="24"/>
          <w:lang w:val="en-US" w:eastAsia="zh-CN"/>
        </w:rPr>
        <w:t>（三）环境变量</w:t>
      </w:r>
    </w:p>
    <w:p w14:paraId="4A2F32E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1.坐标系需要统一，统一使用三度带且所有环境变量在同一分带下</w:t>
      </w:r>
    </w:p>
    <w:p w14:paraId="4BDE30C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DB87A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2.审核入模环境变量图层数据是否为栅格（Geotiff）格式</w:t>
      </w:r>
    </w:p>
    <w:p w14:paraId="2A943B7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1ED9F9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3.坐标与投影是否为CGCS2000坐标系和高斯-克吕格投影，空间分辨率是否统一为30米</w:t>
      </w:r>
    </w:p>
    <w:p w14:paraId="683110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4C330A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4.各个环境变量图层在空间上是否严格匹配（栅格四至一一对应、像素空间完全吻合）</w:t>
      </w:r>
    </w:p>
    <w:p w14:paraId="03B9A62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27F39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5.环境变量图层是否按照国土三调县级行政边界（2023年度）进行剪裁处理</w:t>
      </w:r>
    </w:p>
    <w:p w14:paraId="574A08A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0D8893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6.环境变量制备的年限需要在报告中说明</w:t>
      </w:r>
    </w:p>
    <w:p w14:paraId="77445B1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否，表格内说明不完整。多个环境变量未说明年限。</w:t>
      </w:r>
    </w:p>
    <w:p w14:paraId="5DE4ACF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7.土地利用这一环境变量图层是否使用2023年度国土变更调查数据.</w:t>
      </w:r>
    </w:p>
    <w:p w14:paraId="4860784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2FCAF83">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（四）环境变量制备规范要求</w:t>
      </w:r>
    </w:p>
    <w:p w14:paraId="2337769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1.审核环境变量类型是否包括主要成土要素（气候、母质、地形、植被、土地利用）</w:t>
      </w:r>
    </w:p>
    <w:p w14:paraId="6876E69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是，但建议更改为气候、母质、地形、植被、土地利用五大成土要素名称。</w:t>
      </w:r>
    </w:p>
    <w:p w14:paraId="50BA0479">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3622040" cy="3012440"/>
            <wp:effectExtent l="0" t="0" r="10160" b="1016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26"/>
                    <a:stretch>
                      <a:fillRect/>
                    </a:stretch>
                  </pic:blipFill>
                  <pic:spPr>
                    <a:xfrm>
                      <a:off x="0" y="0"/>
                      <a:ext cx="3622040" cy="3012440"/>
                    </a:xfrm>
                    <a:prstGeom prst="rect">
                      <a:avLst/>
                    </a:prstGeom>
                    <a:noFill/>
                    <a:ln>
                      <a:noFill/>
                    </a:ln>
                  </pic:spPr>
                </pic:pic>
              </a:graphicData>
            </a:graphic>
          </wp:inline>
        </w:drawing>
      </w:r>
    </w:p>
    <w:p w14:paraId="2771BDA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w:t>
      </w:r>
      <w:r>
        <w:rPr>
          <w:rFonts w:hint="default" w:ascii="Times New Roman" w:hAnsi="Times New Roman" w:eastAsia="宋体" w:cs="Times New Roman"/>
          <w:b w:val="0"/>
          <w:bCs w:val="0"/>
          <w:sz w:val="24"/>
          <w:szCs w:val="24"/>
          <w:lang w:val="en-US" w:eastAsia="zh-CN"/>
        </w:rPr>
        <w:t>审核气候、植被环境变量的制备是否采用长时间序列数据</w:t>
      </w:r>
    </w:p>
    <w:p w14:paraId="06485D3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是，但气候变量应当是近20年均值，植被数据制备年限说明不完整。</w:t>
      </w:r>
    </w:p>
    <w:p w14:paraId="343C39AB">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3675" cy="1284605"/>
            <wp:effectExtent l="0" t="0" r="9525" b="10795"/>
            <wp:docPr id="2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
                    <pic:cNvPicPr>
                      <a:picLocks noChangeAspect="1"/>
                    </pic:cNvPicPr>
                  </pic:nvPicPr>
                  <pic:blipFill>
                    <a:blip r:embed="rId27"/>
                    <a:stretch>
                      <a:fillRect/>
                    </a:stretch>
                  </pic:blipFill>
                  <pic:spPr>
                    <a:xfrm>
                      <a:off x="0" y="0"/>
                      <a:ext cx="5273675" cy="1284605"/>
                    </a:xfrm>
                    <a:prstGeom prst="rect">
                      <a:avLst/>
                    </a:prstGeom>
                    <a:noFill/>
                    <a:ln>
                      <a:noFill/>
                    </a:ln>
                  </pic:spPr>
                </pic:pic>
              </a:graphicData>
            </a:graphic>
          </wp:inline>
        </w:drawing>
      </w:r>
    </w:p>
    <w:p w14:paraId="1F8916C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3.审核土地利用现状图、土壤类型图、母岩母质图等类别型变量是否进行数值化处理。</w:t>
      </w:r>
    </w:p>
    <w:p w14:paraId="3078D4B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779C5AE">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4.环境变量图层数据的空间分布是否准确合理，是否存在明显的条带状或斑点噪声</w:t>
      </w:r>
    </w:p>
    <w:p w14:paraId="1789C22F">
      <w:pPr>
        <w:numPr>
          <w:ilvl w:val="0"/>
          <w:numId w:val="0"/>
        </w:numPr>
        <w:spacing w:line="360" w:lineRule="auto"/>
        <w:ind w:firstLine="480" w:firstLineChars="200"/>
        <w:jc w:val="both"/>
        <w:rPr>
          <w:rFonts w:hint="default"/>
          <w:sz w:val="28"/>
          <w:szCs w:val="28"/>
          <w:lang w:val="en-US" w:eastAsia="zh-CN"/>
        </w:rPr>
      </w:pPr>
      <w:r>
        <w:rPr>
          <w:rFonts w:hint="eastAsia" w:ascii="Times New Roman" w:hAnsi="Times New Roman" w:eastAsia="宋体" w:cs="Times New Roman"/>
          <w:b w:val="0"/>
          <w:bCs w:val="0"/>
          <w:sz w:val="24"/>
          <w:szCs w:val="24"/>
          <w:lang w:val="en-US" w:eastAsia="zh-CN"/>
        </w:rPr>
        <w:t>准确合理，未存在明显的条带状或斑点噪声。</w:t>
      </w:r>
    </w:p>
    <w:p w14:paraId="7A445F56">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（五）入模环境变量的选取合理性</w:t>
      </w:r>
    </w:p>
    <w:p w14:paraId="05E50DC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1.速磷速钾的环境变量重要性排序中将自然因素排在前面</w:t>
      </w:r>
    </w:p>
    <w:p w14:paraId="256CCCF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报告中无环境变量重要性排序，请补充。</w:t>
      </w:r>
    </w:p>
    <w:p w14:paraId="7AC50CED">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2.入模环境变量存在共线性、用土壤属性作为环境变量</w:t>
      </w:r>
    </w:p>
    <w:p w14:paraId="4993458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报告中共线性分析，相关性分析不充分，仅一句话说明。环境变量的选取中不存在使用已经预测的土壤属性作为环境变量的情况。</w:t>
      </w:r>
    </w:p>
    <w:p w14:paraId="525626EA">
      <w:pPr>
        <w:numPr>
          <w:ilvl w:val="0"/>
          <w:numId w:val="0"/>
        </w:numPr>
        <w:spacing w:line="360" w:lineRule="auto"/>
        <w:jc w:val="both"/>
        <w:rPr>
          <w:rFonts w:hint="eastAsia" w:ascii="Times New Roman" w:hAnsi="Times New Roman" w:eastAsia="宋体" w:cs="Times New Roman"/>
          <w:b/>
          <w:bCs/>
          <w:sz w:val="24"/>
          <w:szCs w:val="24"/>
          <w:lang w:val="en-US" w:eastAsia="zh-CN"/>
        </w:rPr>
      </w:pPr>
      <w:r>
        <w:drawing>
          <wp:inline distT="0" distB="0" distL="114300" distR="114300">
            <wp:extent cx="5269865" cy="1029970"/>
            <wp:effectExtent l="0" t="0" r="635" b="11430"/>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8"/>
                    <a:stretch>
                      <a:fillRect/>
                    </a:stretch>
                  </pic:blipFill>
                  <pic:spPr>
                    <a:xfrm>
                      <a:off x="0" y="0"/>
                      <a:ext cx="5269865" cy="1029970"/>
                    </a:xfrm>
                    <a:prstGeom prst="rect">
                      <a:avLst/>
                    </a:prstGeom>
                    <a:noFill/>
                    <a:ln>
                      <a:noFill/>
                    </a:ln>
                  </pic:spPr>
                </pic:pic>
              </a:graphicData>
            </a:graphic>
          </wp:inline>
        </w:drawing>
      </w:r>
      <w:r>
        <w:rPr>
          <w:rFonts w:hint="eastAsia" w:ascii="Times New Roman" w:hAnsi="Times New Roman" w:eastAsia="宋体" w:cs="Times New Roman"/>
          <w:b/>
          <w:bCs/>
          <w:sz w:val="24"/>
          <w:szCs w:val="24"/>
          <w:lang w:val="en-US" w:eastAsia="zh-CN"/>
        </w:rPr>
        <w:t>（六）制图模型或方法选择合理</w:t>
      </w:r>
    </w:p>
    <w:p w14:paraId="289D783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1.山区选取普通克里格或全域采用IDW进行属性制图.</w:t>
      </w:r>
    </w:p>
    <w:p w14:paraId="2F72D58B">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566202B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2.耕层厚度采用以点带面、机器学习方法进行制图</w:t>
      </w:r>
    </w:p>
    <w:p w14:paraId="34EA27B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报告里未单独说明耕层厚度采用模型。请补充。</w:t>
      </w:r>
    </w:p>
    <w:p w14:paraId="4C7BC518">
      <w:pPr>
        <w:numPr>
          <w:ilvl w:val="0"/>
          <w:numId w:val="0"/>
        </w:numPr>
        <w:spacing w:line="360" w:lineRule="auto"/>
        <w:jc w:val="both"/>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（七）</w:t>
      </w:r>
      <w:r>
        <w:rPr>
          <w:rFonts w:hint="default" w:ascii="Times New Roman" w:hAnsi="Times New Roman" w:eastAsia="宋体" w:cs="Times New Roman"/>
          <w:b/>
          <w:bCs/>
          <w:sz w:val="24"/>
          <w:szCs w:val="24"/>
          <w:lang w:val="en-US" w:eastAsia="zh-CN"/>
        </w:rPr>
        <w:t>制图结果验证评价</w:t>
      </w:r>
    </w:p>
    <w:p w14:paraId="11F96D2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1.精度评价指标(用R2、RMSE)过高或过低</w:t>
      </w:r>
    </w:p>
    <w:p w14:paraId="5B3086C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8E5CFC">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2.报告中是否存在制图结果的验证评价和分析</w:t>
      </w:r>
    </w:p>
    <w:p w14:paraId="0DC5D86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0C57BDD">
      <w:pPr>
        <w:numPr>
          <w:ilvl w:val="0"/>
          <w:numId w:val="0"/>
        </w:numPr>
        <w:spacing w:line="360" w:lineRule="auto"/>
        <w:jc w:val="both"/>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（八）数字化图件成果</w:t>
      </w:r>
    </w:p>
    <w:p w14:paraId="63F25E3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1.乡镇统计表只统计耕地的结果</w:t>
      </w:r>
    </w:p>
    <w:p w14:paraId="3ACB4A3E">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FECC4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2.乡镇耕地统计结果应该和分地类统计的耕地结果能对齐</w:t>
      </w:r>
    </w:p>
    <w:p w14:paraId="3F1CF7D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否，耕地结果不一致。请核查所有图件。</w:t>
      </w:r>
    </w:p>
    <w:p w14:paraId="7720BCC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3444875" cy="4453255"/>
            <wp:effectExtent l="0" t="0" r="9525" b="444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9"/>
                    <a:stretch>
                      <a:fillRect/>
                    </a:stretch>
                  </pic:blipFill>
                  <pic:spPr>
                    <a:xfrm>
                      <a:off x="0" y="0"/>
                      <a:ext cx="3444875" cy="4453255"/>
                    </a:xfrm>
                    <a:prstGeom prst="rect">
                      <a:avLst/>
                    </a:prstGeom>
                    <a:noFill/>
                    <a:ln>
                      <a:noFill/>
                    </a:ln>
                  </pic:spPr>
                </pic:pic>
              </a:graphicData>
            </a:graphic>
          </wp:inline>
        </w:drawing>
      </w:r>
    </w:p>
    <w:p w14:paraId="5E0B79B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3.数据分级标准是否使用九大农区的标准</w:t>
      </w:r>
    </w:p>
    <w:p w14:paraId="03BC213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否，如耕层厚度跨级分类，请核查所有属性图。</w:t>
      </w:r>
    </w:p>
    <w:p w14:paraId="731CD44B">
      <w:pPr>
        <w:numPr>
          <w:ilvl w:val="0"/>
          <w:numId w:val="0"/>
        </w:numPr>
        <w:spacing w:line="360" w:lineRule="auto"/>
        <w:ind w:firstLine="420" w:firstLineChars="200"/>
        <w:jc w:val="both"/>
      </w:pPr>
      <w:r>
        <w:drawing>
          <wp:inline distT="0" distB="0" distL="114300" distR="114300">
            <wp:extent cx="2390775" cy="1800225"/>
            <wp:effectExtent l="0" t="0" r="9525" b="3175"/>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0"/>
                    <a:stretch>
                      <a:fillRect/>
                    </a:stretch>
                  </pic:blipFill>
                  <pic:spPr>
                    <a:xfrm>
                      <a:off x="0" y="0"/>
                      <a:ext cx="2390775" cy="1800225"/>
                    </a:xfrm>
                    <a:prstGeom prst="rect">
                      <a:avLst/>
                    </a:prstGeom>
                    <a:noFill/>
                    <a:ln>
                      <a:noFill/>
                    </a:ln>
                  </pic:spPr>
                </pic:pic>
              </a:graphicData>
            </a:graphic>
          </wp:inline>
        </w:drawing>
      </w:r>
    </w:p>
    <w:p w14:paraId="7131F872">
      <w:pPr>
        <w:numPr>
          <w:ilvl w:val="0"/>
          <w:numId w:val="0"/>
        </w:numPr>
        <w:spacing w:line="360" w:lineRule="auto"/>
        <w:ind w:firstLine="420" w:firstLineChars="200"/>
        <w:jc w:val="both"/>
      </w:pPr>
      <w:r>
        <w:drawing>
          <wp:inline distT="0" distB="0" distL="114300" distR="114300">
            <wp:extent cx="2936875" cy="3637280"/>
            <wp:effectExtent l="0" t="0" r="9525" b="7620"/>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31"/>
                    <a:stretch>
                      <a:fillRect/>
                    </a:stretch>
                  </pic:blipFill>
                  <pic:spPr>
                    <a:xfrm>
                      <a:off x="0" y="0"/>
                      <a:ext cx="2936875" cy="3637280"/>
                    </a:xfrm>
                    <a:prstGeom prst="rect">
                      <a:avLst/>
                    </a:prstGeom>
                    <a:noFill/>
                    <a:ln>
                      <a:noFill/>
                    </a:ln>
                  </pic:spPr>
                </pic:pic>
              </a:graphicData>
            </a:graphic>
          </wp:inline>
        </w:drawing>
      </w:r>
    </w:p>
    <w:p w14:paraId="1980D86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4.分级图缺少注记</w:t>
      </w:r>
    </w:p>
    <w:p w14:paraId="4C7C26E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是，各等级需在图上标出具体数字。</w:t>
      </w:r>
    </w:p>
    <w:p w14:paraId="09C4EB0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08DEECC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954655" cy="2361565"/>
            <wp:effectExtent l="0" t="0" r="4445" b="635"/>
            <wp:docPr id="4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6"/>
                    <pic:cNvPicPr>
                      <a:picLocks noChangeAspect="1"/>
                    </pic:cNvPicPr>
                  </pic:nvPicPr>
                  <pic:blipFill>
                    <a:blip r:embed="rId32"/>
                    <a:stretch>
                      <a:fillRect/>
                    </a:stretch>
                  </pic:blipFill>
                  <pic:spPr>
                    <a:xfrm>
                      <a:off x="0" y="0"/>
                      <a:ext cx="2954655" cy="2361565"/>
                    </a:xfrm>
                    <a:prstGeom prst="rect">
                      <a:avLst/>
                    </a:prstGeom>
                    <a:noFill/>
                    <a:ln>
                      <a:noFill/>
                    </a:ln>
                  </pic:spPr>
                </pic:pic>
              </a:graphicData>
            </a:graphic>
          </wp:inline>
        </w:drawing>
      </w:r>
    </w:p>
    <w:p w14:paraId="49C954D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5.耕层质地按12级分级的标准进行上图，颜色按GB 45298-2025的标准上图，酸碱度同步参考</w:t>
      </w:r>
    </w:p>
    <w:p w14:paraId="5D645D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否，土壤质地未按12级分级上图，颜色未按国标上图，酸碱度也未按照国标要求，请核查。</w:t>
      </w:r>
    </w:p>
    <w:p w14:paraId="2AAE17F6">
      <w:pPr>
        <w:numPr>
          <w:ilvl w:val="0"/>
          <w:numId w:val="0"/>
        </w:numPr>
        <w:spacing w:line="360" w:lineRule="auto"/>
        <w:ind w:firstLine="420" w:firstLineChars="200"/>
        <w:jc w:val="both"/>
      </w:pPr>
      <w:r>
        <w:drawing>
          <wp:inline distT="0" distB="0" distL="114300" distR="114300">
            <wp:extent cx="2436495" cy="1607820"/>
            <wp:effectExtent l="0" t="0" r="1905" b="5080"/>
            <wp:docPr id="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
                    <pic:cNvPicPr>
                      <a:picLocks noChangeAspect="1"/>
                    </pic:cNvPicPr>
                  </pic:nvPicPr>
                  <pic:blipFill>
                    <a:blip r:embed="rId33"/>
                    <a:stretch>
                      <a:fillRect/>
                    </a:stretch>
                  </pic:blipFill>
                  <pic:spPr>
                    <a:xfrm>
                      <a:off x="0" y="0"/>
                      <a:ext cx="2436495" cy="1607820"/>
                    </a:xfrm>
                    <a:prstGeom prst="rect">
                      <a:avLst/>
                    </a:prstGeom>
                    <a:noFill/>
                    <a:ln>
                      <a:noFill/>
                    </a:ln>
                  </pic:spPr>
                </pic:pic>
              </a:graphicData>
            </a:graphic>
          </wp:inline>
        </w:drawing>
      </w:r>
    </w:p>
    <w:p w14:paraId="1E976012">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4A2DA4D2">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2755265" cy="2800985"/>
            <wp:effectExtent l="0" t="0" r="635" b="5715"/>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0"/>
                    <pic:cNvPicPr>
                      <a:picLocks noChangeAspect="1"/>
                    </pic:cNvPicPr>
                  </pic:nvPicPr>
                  <pic:blipFill>
                    <a:blip r:embed="rId34"/>
                    <a:stretch>
                      <a:fillRect/>
                    </a:stretch>
                  </pic:blipFill>
                  <pic:spPr>
                    <a:xfrm>
                      <a:off x="0" y="0"/>
                      <a:ext cx="2755265" cy="2800985"/>
                    </a:xfrm>
                    <a:prstGeom prst="rect">
                      <a:avLst/>
                    </a:prstGeom>
                    <a:noFill/>
                    <a:ln>
                      <a:noFill/>
                    </a:ln>
                  </pic:spPr>
                </pic:pic>
              </a:graphicData>
            </a:graphic>
          </wp:inline>
        </w:drawing>
      </w:r>
    </w:p>
    <w:p w14:paraId="1B2299C7">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图面表达</w:t>
      </w:r>
    </w:p>
    <w:p w14:paraId="44B61B8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（一）图件制作是否符合规范</w:t>
      </w:r>
    </w:p>
    <w:p w14:paraId="402DD2E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1.多个图件的图例图式与国标要求不符，请核查所有属性图。</w:t>
      </w:r>
    </w:p>
    <w:p w14:paraId="769C8116">
      <w:pPr>
        <w:numPr>
          <w:ilvl w:val="0"/>
          <w:numId w:val="0"/>
        </w:numPr>
        <w:spacing w:line="360" w:lineRule="auto"/>
        <w:jc w:val="both"/>
      </w:pPr>
      <w:r>
        <w:drawing>
          <wp:inline distT="0" distB="0" distL="114300" distR="114300">
            <wp:extent cx="1742440" cy="2065655"/>
            <wp:effectExtent l="0" t="0" r="10160" b="4445"/>
            <wp:docPr id="3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4"/>
                    <pic:cNvPicPr>
                      <a:picLocks noChangeAspect="1"/>
                    </pic:cNvPicPr>
                  </pic:nvPicPr>
                  <pic:blipFill>
                    <a:blip r:embed="rId35"/>
                    <a:stretch>
                      <a:fillRect/>
                    </a:stretch>
                  </pic:blipFill>
                  <pic:spPr>
                    <a:xfrm>
                      <a:off x="0" y="0"/>
                      <a:ext cx="1742440" cy="2065655"/>
                    </a:xfrm>
                    <a:prstGeom prst="rect">
                      <a:avLst/>
                    </a:prstGeom>
                    <a:noFill/>
                    <a:ln>
                      <a:noFill/>
                    </a:ln>
                  </pic:spPr>
                </pic:pic>
              </a:graphicData>
            </a:graphic>
          </wp:inline>
        </w:drawing>
      </w:r>
    </w:p>
    <w:p w14:paraId="356B2673">
      <w:pPr>
        <w:numPr>
          <w:ilvl w:val="0"/>
          <w:numId w:val="0"/>
        </w:numPr>
        <w:spacing w:line="360" w:lineRule="auto"/>
        <w:ind w:firstLine="420" w:firstLineChars="200"/>
        <w:jc w:val="both"/>
      </w:pPr>
      <w:r>
        <w:drawing>
          <wp:inline distT="0" distB="0" distL="114300" distR="114300">
            <wp:extent cx="5271135" cy="1708150"/>
            <wp:effectExtent l="0" t="0" r="12065" b="6350"/>
            <wp:docPr id="4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0"/>
                    <pic:cNvPicPr>
                      <a:picLocks noChangeAspect="1"/>
                    </pic:cNvPicPr>
                  </pic:nvPicPr>
                  <pic:blipFill>
                    <a:blip r:embed="rId36"/>
                    <a:stretch>
                      <a:fillRect/>
                    </a:stretch>
                  </pic:blipFill>
                  <pic:spPr>
                    <a:xfrm>
                      <a:off x="0" y="0"/>
                      <a:ext cx="5271135" cy="1708150"/>
                    </a:xfrm>
                    <a:prstGeom prst="rect">
                      <a:avLst/>
                    </a:prstGeom>
                    <a:noFill/>
                    <a:ln>
                      <a:noFill/>
                    </a:ln>
                  </pic:spPr>
                </pic:pic>
              </a:graphicData>
            </a:graphic>
          </wp:inline>
        </w:drawing>
      </w:r>
    </w:p>
    <w:p w14:paraId="62C80A5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示例：</w:t>
      </w:r>
    </w:p>
    <w:p w14:paraId="6A0354CF">
      <w:pPr>
        <w:numPr>
          <w:ilvl w:val="0"/>
          <w:numId w:val="0"/>
        </w:numPr>
        <w:spacing w:line="360" w:lineRule="auto"/>
        <w:jc w:val="both"/>
      </w:pPr>
      <w:r>
        <w:drawing>
          <wp:inline distT="0" distB="0" distL="114300" distR="114300">
            <wp:extent cx="4822190" cy="3545205"/>
            <wp:effectExtent l="0" t="0" r="3810" b="10795"/>
            <wp:docPr id="4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3"/>
                    <pic:cNvPicPr>
                      <a:picLocks noChangeAspect="1"/>
                    </pic:cNvPicPr>
                  </pic:nvPicPr>
                  <pic:blipFill>
                    <a:blip r:embed="rId37"/>
                    <a:stretch>
                      <a:fillRect/>
                    </a:stretch>
                  </pic:blipFill>
                  <pic:spPr>
                    <a:xfrm>
                      <a:off x="0" y="0"/>
                      <a:ext cx="4822190" cy="3545205"/>
                    </a:xfrm>
                    <a:prstGeom prst="rect">
                      <a:avLst/>
                    </a:prstGeom>
                    <a:noFill/>
                    <a:ln>
                      <a:noFill/>
                    </a:ln>
                  </pic:spPr>
                </pic:pic>
              </a:graphicData>
            </a:graphic>
          </wp:inline>
        </w:drawing>
      </w:r>
    </w:p>
    <w:p w14:paraId="6FF008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2.比例尺不符合规范，应用条带比例尺。</w:t>
      </w:r>
    </w:p>
    <w:p w14:paraId="3DAAD642">
      <w:pPr>
        <w:numPr>
          <w:ilvl w:val="0"/>
          <w:numId w:val="0"/>
        </w:numPr>
        <w:spacing w:line="360" w:lineRule="auto"/>
        <w:jc w:val="both"/>
        <w:rPr>
          <w:rFonts w:hint="eastAsia"/>
          <w:lang w:val="en-US" w:eastAsia="zh-CN"/>
        </w:rPr>
      </w:pPr>
      <w:r>
        <w:drawing>
          <wp:inline distT="0" distB="0" distL="114300" distR="114300">
            <wp:extent cx="5273040" cy="1052830"/>
            <wp:effectExtent l="0" t="0" r="10160" b="1270"/>
            <wp:docPr id="3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5"/>
                    <pic:cNvPicPr>
                      <a:picLocks noChangeAspect="1"/>
                    </pic:cNvPicPr>
                  </pic:nvPicPr>
                  <pic:blipFill>
                    <a:blip r:embed="rId38"/>
                    <a:stretch>
                      <a:fillRect/>
                    </a:stretch>
                  </pic:blipFill>
                  <pic:spPr>
                    <a:xfrm>
                      <a:off x="0" y="0"/>
                      <a:ext cx="5273040" cy="1052830"/>
                    </a:xfrm>
                    <a:prstGeom prst="rect">
                      <a:avLst/>
                    </a:prstGeom>
                    <a:noFill/>
                    <a:ln>
                      <a:noFill/>
                    </a:ln>
                  </pic:spPr>
                </pic:pic>
              </a:graphicData>
            </a:graphic>
          </wp:inline>
        </w:drawing>
      </w:r>
    </w:p>
    <w:p w14:paraId="4141304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（二）图件信息缺失</w:t>
      </w:r>
    </w:p>
    <w:p w14:paraId="3A9AB208">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1.属性图缺少高程基准信息。</w:t>
      </w:r>
    </w:p>
    <w:p w14:paraId="04426F7E">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69230" cy="1126490"/>
            <wp:effectExtent l="0" t="0" r="1270" b="3810"/>
            <wp:docPr id="3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
                    <pic:cNvPicPr>
                      <a:picLocks noChangeAspect="1"/>
                    </pic:cNvPicPr>
                  </pic:nvPicPr>
                  <pic:blipFill>
                    <a:blip r:embed="rId39"/>
                    <a:stretch>
                      <a:fillRect/>
                    </a:stretch>
                  </pic:blipFill>
                  <pic:spPr>
                    <a:xfrm>
                      <a:off x="0" y="0"/>
                      <a:ext cx="5269230" cy="1126490"/>
                    </a:xfrm>
                    <a:prstGeom prst="rect">
                      <a:avLst/>
                    </a:prstGeom>
                    <a:noFill/>
                    <a:ln>
                      <a:noFill/>
                    </a:ln>
                  </pic:spPr>
                </pic:pic>
              </a:graphicData>
            </a:graphic>
          </wp:inline>
        </w:drawing>
      </w:r>
    </w:p>
    <w:p w14:paraId="77A89F1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（三）图件缺失</w:t>
      </w:r>
    </w:p>
    <w:p w14:paraId="7022F82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69438D24">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281E999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统计表符号不美观。</w:t>
      </w:r>
    </w:p>
    <w:p w14:paraId="07645F2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0500" cy="4596130"/>
            <wp:effectExtent l="0" t="0" r="0" b="127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
                    <pic:cNvPicPr>
                      <a:picLocks noChangeAspect="1"/>
                    </pic:cNvPicPr>
                  </pic:nvPicPr>
                  <pic:blipFill>
                    <a:blip r:embed="rId40"/>
                    <a:stretch>
                      <a:fillRect/>
                    </a:stretch>
                  </pic:blipFill>
                  <pic:spPr>
                    <a:xfrm>
                      <a:off x="0" y="0"/>
                      <a:ext cx="5270500" cy="4596130"/>
                    </a:xfrm>
                    <a:prstGeom prst="rect">
                      <a:avLst/>
                    </a:prstGeom>
                    <a:noFill/>
                    <a:ln>
                      <a:noFill/>
                    </a:ln>
                  </pic:spPr>
                </pic:pic>
              </a:graphicData>
            </a:graphic>
          </wp:inline>
        </w:drawing>
      </w:r>
    </w:p>
    <w:p w14:paraId="0F21FDF3">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报告-制图过程</w:t>
      </w:r>
    </w:p>
    <w:p w14:paraId="228760C7">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（一）技术路线与规范</w:t>
      </w:r>
    </w:p>
    <w:p w14:paraId="08096D5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1.属性制图技术路线图是否缺失或过于简单</w:t>
      </w:r>
    </w:p>
    <w:p w14:paraId="241586F1">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E816D3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2.属性制图技术路线内容阐述是否完整或清晰</w:t>
      </w:r>
    </w:p>
    <w:p w14:paraId="2AB9E6A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629922D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（二）数据收集与处理不规范</w:t>
      </w:r>
    </w:p>
    <w:p w14:paraId="44DCF2F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1.数据的来源、时间跨度、格式等说明是否充分</w:t>
      </w:r>
    </w:p>
    <w:p w14:paraId="5DD8296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01FFC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2.土壤样点空间分布图是否缺失</w:t>
      </w:r>
    </w:p>
    <w:p w14:paraId="0F422DB3">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是，未提供采样点空间分布图。</w:t>
      </w:r>
    </w:p>
    <w:p w14:paraId="078B39F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3.环境变量制备过程未说明或说明不具体</w:t>
      </w:r>
    </w:p>
    <w:p w14:paraId="6AD64E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是，环境变量制备过程说明不具体。</w:t>
      </w:r>
    </w:p>
    <w:p w14:paraId="680810C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68595" cy="1306830"/>
            <wp:effectExtent l="0" t="0" r="1905" b="1270"/>
            <wp:docPr id="3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8"/>
                    <pic:cNvPicPr>
                      <a:picLocks noChangeAspect="1"/>
                    </pic:cNvPicPr>
                  </pic:nvPicPr>
                  <pic:blipFill>
                    <a:blip r:embed="rId41"/>
                    <a:stretch>
                      <a:fillRect/>
                    </a:stretch>
                  </pic:blipFill>
                  <pic:spPr>
                    <a:xfrm>
                      <a:off x="0" y="0"/>
                      <a:ext cx="5268595" cy="1306830"/>
                    </a:xfrm>
                    <a:prstGeom prst="rect">
                      <a:avLst/>
                    </a:prstGeom>
                    <a:noFill/>
                    <a:ln>
                      <a:noFill/>
                    </a:ln>
                  </pic:spPr>
                </pic:pic>
              </a:graphicData>
            </a:graphic>
          </wp:inline>
        </w:drawing>
      </w:r>
    </w:p>
    <w:p w14:paraId="7A286CD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4.数据处理过程是否合理</w:t>
      </w:r>
    </w:p>
    <w:p w14:paraId="0568E91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3CE2F45">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（三）制图模型确定是否合理</w:t>
      </w:r>
    </w:p>
    <w:p w14:paraId="47E3947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1.模型优选是否进行了多种方法对比</w:t>
      </w:r>
    </w:p>
    <w:p w14:paraId="2552514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1045F3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2.环境变量的筛选方法和过程说明</w:t>
      </w:r>
    </w:p>
    <w:p w14:paraId="153C363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是，有筛选说明但过程较简略，未展示相关性分析的具体结果（相关系数矩阵）、VIF检验的具体数值，也未展示各环境变量的重要性排序图。</w:t>
      </w:r>
    </w:p>
    <w:p w14:paraId="76087F77">
      <w:pPr>
        <w:numPr>
          <w:ilvl w:val="0"/>
          <w:numId w:val="0"/>
        </w:numPr>
        <w:spacing w:line="360" w:lineRule="auto"/>
        <w:ind w:firstLine="420" w:firstLineChars="200"/>
        <w:jc w:val="both"/>
        <w:rPr>
          <w:rFonts w:hint="eastAsia" w:ascii="Times New Roman" w:hAnsi="Times New Roman" w:eastAsia="宋体" w:cs="Times New Roman"/>
          <w:b w:val="0"/>
          <w:bCs w:val="0"/>
          <w:sz w:val="24"/>
          <w:szCs w:val="24"/>
          <w:lang w:val="en-US" w:eastAsia="zh-CN"/>
        </w:rPr>
      </w:pPr>
      <w:r>
        <w:drawing>
          <wp:inline distT="0" distB="0" distL="114300" distR="114300">
            <wp:extent cx="5270500" cy="1850390"/>
            <wp:effectExtent l="0" t="0" r="0" b="3810"/>
            <wp:docPr id="3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
                    <pic:cNvPicPr>
                      <a:picLocks noChangeAspect="1"/>
                    </pic:cNvPicPr>
                  </pic:nvPicPr>
                  <pic:blipFill>
                    <a:blip r:embed="rId42"/>
                    <a:stretch>
                      <a:fillRect/>
                    </a:stretch>
                  </pic:blipFill>
                  <pic:spPr>
                    <a:xfrm>
                      <a:off x="0" y="0"/>
                      <a:ext cx="5270500" cy="1850390"/>
                    </a:xfrm>
                    <a:prstGeom prst="rect">
                      <a:avLst/>
                    </a:prstGeom>
                    <a:noFill/>
                    <a:ln>
                      <a:noFill/>
                    </a:ln>
                  </pic:spPr>
                </pic:pic>
              </a:graphicData>
            </a:graphic>
          </wp:inline>
        </w:drawing>
      </w:r>
    </w:p>
    <w:p w14:paraId="2B225B18">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w:t>
      </w:r>
      <w:r>
        <w:rPr>
          <w:rFonts w:hint="default"/>
          <w:b/>
          <w:bCs/>
          <w:sz w:val="24"/>
          <w:szCs w:val="24"/>
          <w:lang w:val="en-US" w:eastAsia="zh-CN"/>
        </w:rPr>
        <w:t>结果验证与分析</w:t>
      </w:r>
      <w:r>
        <w:rPr>
          <w:rFonts w:hint="eastAsia"/>
          <w:b/>
          <w:bCs/>
          <w:sz w:val="24"/>
          <w:szCs w:val="24"/>
          <w:lang w:val="en-US" w:eastAsia="zh-CN"/>
        </w:rPr>
        <w:t>是否</w:t>
      </w:r>
      <w:r>
        <w:rPr>
          <w:rFonts w:hint="default"/>
          <w:b/>
          <w:bCs/>
          <w:sz w:val="24"/>
          <w:szCs w:val="24"/>
          <w:lang w:val="en-US" w:eastAsia="zh-CN"/>
        </w:rPr>
        <w:t>充分</w:t>
      </w:r>
    </w:p>
    <w:p w14:paraId="3D67C8A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1.属性与环境的关联性（驱动因素）是否进行分析展示</w:t>
      </w:r>
    </w:p>
    <w:p w14:paraId="32251C75">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否。完全没有“属性与环境的关联性验证”章节。</w:t>
      </w:r>
    </w:p>
    <w:p w14:paraId="7F3B4547">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2.精度评价指标是否过于单一(仅用R2、RMSE验证)</w:t>
      </w:r>
    </w:p>
    <w:p w14:paraId="7F1E261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是。仅用R2、RMSE验证。根据《第三次全国土壤普查土壤属性图与专题图编制技术规范》7.2节要求，元数据中应报告的精度指标还包括平均绝对误差（MAE）等。</w:t>
      </w:r>
    </w:p>
    <w:p w14:paraId="3C8C94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4431030" cy="1889760"/>
            <wp:effectExtent l="0" t="0" r="1270" b="2540"/>
            <wp:docPr id="3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3"/>
                    <pic:cNvPicPr>
                      <a:picLocks noChangeAspect="1"/>
                    </pic:cNvPicPr>
                  </pic:nvPicPr>
                  <pic:blipFill>
                    <a:blip r:embed="rId43"/>
                    <a:stretch>
                      <a:fillRect/>
                    </a:stretch>
                  </pic:blipFill>
                  <pic:spPr>
                    <a:xfrm>
                      <a:off x="0" y="0"/>
                      <a:ext cx="4431030" cy="1889760"/>
                    </a:xfrm>
                    <a:prstGeom prst="rect">
                      <a:avLst/>
                    </a:prstGeom>
                    <a:noFill/>
                    <a:ln>
                      <a:noFill/>
                    </a:ln>
                  </pic:spPr>
                </pic:pic>
              </a:graphicData>
            </a:graphic>
          </wp:inline>
        </w:drawing>
      </w:r>
    </w:p>
    <w:p w14:paraId="26BCCDD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3.土壤属性图是否进行空间分布分析</w:t>
      </w:r>
    </w:p>
    <w:p w14:paraId="04B3E36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2AA25D65">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报告-现状分析</w:t>
      </w:r>
    </w:p>
    <w:p w14:paraId="39DDD968">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（一）数据准确性与一致性</w:t>
      </w:r>
    </w:p>
    <w:p w14:paraId="68F1633A">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1.样点统计与制图统计数据差异是否显著</w:t>
      </w:r>
    </w:p>
    <w:p w14:paraId="4E81914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是，部分指标差异较大且未解释原因。</w:t>
      </w:r>
    </w:p>
    <w:p w14:paraId="34DBC9A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2405" cy="3167380"/>
            <wp:effectExtent l="0" t="0" r="10795" b="762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9"/>
                    <pic:cNvPicPr>
                      <a:picLocks noChangeAspect="1"/>
                    </pic:cNvPicPr>
                  </pic:nvPicPr>
                  <pic:blipFill>
                    <a:blip r:embed="rId44"/>
                    <a:stretch>
                      <a:fillRect/>
                    </a:stretch>
                  </pic:blipFill>
                  <pic:spPr>
                    <a:xfrm>
                      <a:off x="0" y="0"/>
                      <a:ext cx="5272405" cy="3167380"/>
                    </a:xfrm>
                    <a:prstGeom prst="rect">
                      <a:avLst/>
                    </a:prstGeom>
                    <a:noFill/>
                    <a:ln>
                      <a:noFill/>
                    </a:ln>
                  </pic:spPr>
                </pic:pic>
              </a:graphicData>
            </a:graphic>
          </wp:inline>
        </w:drawing>
      </w:r>
    </w:p>
    <w:p w14:paraId="2BE21E7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2.数据是否错误或存疑，部分指标单位是否有误（亩或万亩）</w:t>
      </w:r>
    </w:p>
    <w:p w14:paraId="12054893">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面积单位不统一，第三章第四节中微量元素部分（如表3.54、3.58等），制图统计的面积单位使用了“面积/万亩”，而在其他章节（土壤物理性质、化学性质）均使用“面积/亩”，前后不统一。</w:t>
      </w:r>
    </w:p>
    <w:p w14:paraId="10FC343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3.现状数据是否缺少分级表、中微量元素数据等</w:t>
      </w:r>
    </w:p>
    <w:p w14:paraId="753286B9">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340F7C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4.报告中的图表和现状数据是否匹配</w:t>
      </w:r>
    </w:p>
    <w:p w14:paraId="623306B0">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508AE070">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（二）土壤属性分级与规范是否一致</w:t>
      </w:r>
    </w:p>
    <w:p w14:paraId="4192E3D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1.属性数据分级标准与规范不一致、分级不规范</w:t>
      </w:r>
    </w:p>
    <w:p w14:paraId="53F928D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是。报告中全氮、速效钾、pH、阳离子交换量、有效磷等指标的的分级阈值与《全国九大农区、省级耕地质量监测指标分级标准的通知》不一致，请依照标准检查图件及报告等分级内容。</w:t>
      </w:r>
    </w:p>
    <w:p w14:paraId="5CE02FD9">
      <w:pPr>
        <w:numPr>
          <w:ilvl w:val="0"/>
          <w:numId w:val="0"/>
        </w:numPr>
        <w:spacing w:line="360" w:lineRule="auto"/>
        <w:jc w:val="both"/>
      </w:pPr>
      <w:r>
        <w:drawing>
          <wp:inline distT="0" distB="0" distL="114300" distR="114300">
            <wp:extent cx="3300730" cy="4087495"/>
            <wp:effectExtent l="0" t="0" r="1270" b="1905"/>
            <wp:docPr id="6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8"/>
                    <pic:cNvPicPr>
                      <a:picLocks noChangeAspect="1"/>
                    </pic:cNvPicPr>
                  </pic:nvPicPr>
                  <pic:blipFill>
                    <a:blip r:embed="rId31"/>
                    <a:stretch>
                      <a:fillRect/>
                    </a:stretch>
                  </pic:blipFill>
                  <pic:spPr>
                    <a:xfrm>
                      <a:off x="0" y="0"/>
                      <a:ext cx="3300730" cy="4087495"/>
                    </a:xfrm>
                    <a:prstGeom prst="rect">
                      <a:avLst/>
                    </a:prstGeom>
                    <a:noFill/>
                    <a:ln>
                      <a:noFill/>
                    </a:ln>
                  </pic:spPr>
                </pic:pic>
              </a:graphicData>
            </a:graphic>
          </wp:inline>
        </w:drawing>
      </w:r>
    </w:p>
    <w:p w14:paraId="430E18EC">
      <w:pPr>
        <w:numPr>
          <w:ilvl w:val="0"/>
          <w:numId w:val="0"/>
        </w:numPr>
        <w:spacing w:line="360" w:lineRule="auto"/>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2.土壤分类系统不统一（未用三普土属名称）</w:t>
      </w:r>
    </w:p>
    <w:p w14:paraId="67C6CA24">
      <w:pPr>
        <w:numPr>
          <w:ilvl w:val="0"/>
          <w:numId w:val="0"/>
        </w:numPr>
        <w:spacing w:line="360" w:lineRule="auto"/>
        <w:ind w:firstLine="480" w:firstLineChars="200"/>
        <w:jc w:val="both"/>
        <w:rPr>
          <w:rFonts w:hint="eastAsia" w:ascii="Times New Roman" w:hAnsi="Times New Roman" w:eastAsia="宋体" w:cs="Times New Roman"/>
          <w:b w:val="0"/>
          <w:bCs w:val="0"/>
          <w:sz w:val="24"/>
          <w:szCs w:val="24"/>
          <w:highlight w:val="none"/>
          <w:lang w:val="en-US" w:eastAsia="zh-CN"/>
        </w:rPr>
      </w:pPr>
      <w:r>
        <w:rPr>
          <w:rFonts w:hint="eastAsia" w:ascii="Times New Roman" w:hAnsi="Times New Roman" w:eastAsia="宋体" w:cs="Times New Roman"/>
          <w:b w:val="0"/>
          <w:bCs w:val="0"/>
          <w:sz w:val="24"/>
          <w:szCs w:val="24"/>
          <w:highlight w:val="none"/>
          <w:lang w:val="en-US" w:eastAsia="zh-CN"/>
        </w:rPr>
        <w:t>是，存在河北省三普土种清单中未收录的土属名称：壤顶山地草甸土、砂质潮褐土、泥质砂质褐土、淋浴褐土等，请核查。</w:t>
      </w:r>
    </w:p>
    <w:p w14:paraId="0577FDEE">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（三）现状分析深度与完整性不足</w:t>
      </w:r>
    </w:p>
    <w:p w14:paraId="08EAC1A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1.成因分析不深入或不合理</w:t>
      </w:r>
    </w:p>
    <w:p w14:paraId="59625C9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F79FB00">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1135" cy="2146935"/>
            <wp:effectExtent l="0" t="0" r="12065" b="12065"/>
            <wp:docPr id="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pic:cNvPicPr>
                      <a:picLocks noChangeAspect="1"/>
                    </pic:cNvPicPr>
                  </pic:nvPicPr>
                  <pic:blipFill>
                    <a:blip r:embed="rId45"/>
                    <a:stretch>
                      <a:fillRect/>
                    </a:stretch>
                  </pic:blipFill>
                  <pic:spPr>
                    <a:xfrm>
                      <a:off x="0" y="0"/>
                      <a:ext cx="5271135" cy="2146935"/>
                    </a:xfrm>
                    <a:prstGeom prst="rect">
                      <a:avLst/>
                    </a:prstGeom>
                    <a:noFill/>
                    <a:ln>
                      <a:noFill/>
                    </a:ln>
                  </pic:spPr>
                </pic:pic>
              </a:graphicData>
            </a:graphic>
          </wp:inline>
        </w:drawing>
      </w:r>
    </w:p>
    <w:p w14:paraId="038B03E5">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2.属性指标的土地利用类型、土壤类型分类分区差异对比不充分（各乡镇间进行对比）</w:t>
      </w:r>
    </w:p>
    <w:p w14:paraId="15DB774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716E8DE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drawing>
          <wp:inline distT="0" distB="0" distL="114300" distR="114300">
            <wp:extent cx="5273040" cy="906145"/>
            <wp:effectExtent l="0" t="0" r="10160" b="8255"/>
            <wp:docPr id="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2"/>
                    <pic:cNvPicPr>
                      <a:picLocks noChangeAspect="1"/>
                    </pic:cNvPicPr>
                  </pic:nvPicPr>
                  <pic:blipFill>
                    <a:blip r:embed="rId46"/>
                    <a:stretch>
                      <a:fillRect/>
                    </a:stretch>
                  </pic:blipFill>
                  <pic:spPr>
                    <a:xfrm>
                      <a:off x="0" y="0"/>
                      <a:ext cx="5273040" cy="906145"/>
                    </a:xfrm>
                    <a:prstGeom prst="rect">
                      <a:avLst/>
                    </a:prstGeom>
                    <a:noFill/>
                    <a:ln>
                      <a:noFill/>
                    </a:ln>
                  </pic:spPr>
                </pic:pic>
              </a:graphicData>
            </a:graphic>
          </wp:inline>
        </w:drawing>
      </w:r>
    </w:p>
    <w:p w14:paraId="07EB75E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3.现状指标分析不完整（缺物理指标、中微量元素等）</w:t>
      </w:r>
    </w:p>
    <w:p w14:paraId="5DBC314F">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1CDFDC49">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（四）属性关联分析与实用性不足</w:t>
      </w:r>
    </w:p>
    <w:p w14:paraId="6FD7C20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1.现状土壤属性间关联分析不足</w:t>
      </w:r>
    </w:p>
    <w:p w14:paraId="5FEFBBE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E31D9E4">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2.关联分析方法不规范</w:t>
      </w:r>
    </w:p>
    <w:p w14:paraId="7D14EC61">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是，方法描述不完整。报告给出相关系数数值并配以热图，但未说明采用何种相关分析方法、是否进行正态性检验、显著性水平如何设定。</w:t>
      </w:r>
    </w:p>
    <w:p w14:paraId="176CAF81">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3.未针对性提出土壤培肥改良措施，乡镇土壤属性分析仅呈现数据，未结合当地土壤问题给出解决方案</w:t>
      </w:r>
    </w:p>
    <w:p w14:paraId="1A7C7BA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1286588">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报告-历史变化及成因</w:t>
      </w:r>
    </w:p>
    <w:p w14:paraId="5668EF12">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（一）历史变化对比不符合导引要求</w:t>
      </w:r>
    </w:p>
    <w:p w14:paraId="6ED37E4E">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1.是否结合历史数据（二普、测土配方等）进行历史变化对比</w:t>
      </w:r>
    </w:p>
    <w:p w14:paraId="218772FA">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3F1CE72B">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2.历史变化分析不充分或缺失、剖析不深入</w:t>
      </w:r>
    </w:p>
    <w:p w14:paraId="39E72849">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是，报告对有机质、全氮、有效磷、速效钾、pH五个指标进行了历史变化分析，但CEC、容重、全磷、全钾、耕层厚度、中微量元素等指标无历史变化分析。</w:t>
      </w:r>
    </w:p>
    <w:p w14:paraId="1C20D27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3.对比分析的土壤属性指标分析缺失或不完整</w:t>
      </w:r>
    </w:p>
    <w:p w14:paraId="3F34581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是，部分指标缺失。历史变化仅覆盖有机质、全氮、有效磷、速效钾、pH五个指标，CEC、容重、全磷、全钾、耕层厚度、中微量元素等关键指标均无历史变化分析。</w:t>
      </w:r>
    </w:p>
    <w:p w14:paraId="5CE62F12">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4.仅文字分析、缺少图表统计对比</w:t>
      </w:r>
    </w:p>
    <w:p w14:paraId="7349644F">
      <w:pPr>
        <w:numPr>
          <w:ilvl w:val="0"/>
          <w:numId w:val="0"/>
        </w:numPr>
        <w:spacing w:line="360" w:lineRule="auto"/>
        <w:ind w:firstLine="480" w:firstLineChars="200"/>
        <w:jc w:val="both"/>
        <w:rPr>
          <w:rFonts w:hint="eastAsia"/>
          <w:b/>
          <w:bCs/>
          <w:sz w:val="24"/>
          <w:szCs w:val="24"/>
          <w:lang w:val="en-US" w:eastAsia="zh-CN"/>
        </w:rPr>
      </w:pPr>
      <w:r>
        <w:rPr>
          <w:rFonts w:hint="eastAsia" w:ascii="Times New Roman" w:hAnsi="Times New Roman" w:eastAsia="宋体" w:cs="Times New Roman"/>
          <w:b w:val="0"/>
          <w:bCs w:val="0"/>
          <w:sz w:val="24"/>
          <w:szCs w:val="24"/>
          <w:lang w:val="en-US" w:eastAsia="zh-CN"/>
        </w:rPr>
        <w:t>否。</w:t>
      </w:r>
    </w:p>
    <w:p w14:paraId="35ADFF3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（二）成因分析未按导引要求</w:t>
      </w:r>
    </w:p>
    <w:p w14:paraId="67DD798F">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1.历史变化成因分析不充分或不合理</w:t>
      </w:r>
    </w:p>
    <w:p w14:paraId="0E05EAD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w:t>
      </w:r>
    </w:p>
    <w:p w14:paraId="4CE56376">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2.有没有进行分类分区差异对比</w:t>
      </w:r>
    </w:p>
    <w:p w14:paraId="1B4BC8B4">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否，缺少分类分区差异对比。</w:t>
      </w:r>
    </w:p>
    <w:p w14:paraId="3BAA297B">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（三）结果分析表述不准确</w:t>
      </w:r>
    </w:p>
    <w:p w14:paraId="655856F7">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F3AA12D">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（四）其他</w:t>
      </w:r>
    </w:p>
    <w:p w14:paraId="6DD2B8EC">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表格严重超宽，跨页断开，排版混乱。</w:t>
      </w:r>
    </w:p>
    <w:p w14:paraId="091686BA">
      <w:pPr>
        <w:numPr>
          <w:ilvl w:val="0"/>
          <w:numId w:val="0"/>
        </w:numPr>
        <w:spacing w:line="360" w:lineRule="auto"/>
        <w:ind w:firstLine="420" w:firstLineChars="200"/>
        <w:jc w:val="both"/>
        <w:rPr>
          <w:rFonts w:hint="default" w:ascii="Times New Roman" w:hAnsi="Times New Roman" w:eastAsia="宋体" w:cs="Times New Roman"/>
          <w:b w:val="0"/>
          <w:bCs w:val="0"/>
          <w:sz w:val="24"/>
          <w:szCs w:val="24"/>
          <w:lang w:val="en-US" w:eastAsia="zh-CN"/>
        </w:rPr>
      </w:pPr>
      <w:r>
        <w:drawing>
          <wp:inline distT="0" distB="0" distL="114300" distR="114300">
            <wp:extent cx="5270500" cy="2625090"/>
            <wp:effectExtent l="0" t="0" r="0" b="3810"/>
            <wp:docPr id="4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0"/>
                    <pic:cNvPicPr>
                      <a:picLocks noChangeAspect="1"/>
                    </pic:cNvPicPr>
                  </pic:nvPicPr>
                  <pic:blipFill>
                    <a:blip r:embed="rId47"/>
                    <a:stretch>
                      <a:fillRect/>
                    </a:stretch>
                  </pic:blipFill>
                  <pic:spPr>
                    <a:xfrm>
                      <a:off x="0" y="0"/>
                      <a:ext cx="5270500" cy="2625090"/>
                    </a:xfrm>
                    <a:prstGeom prst="rect">
                      <a:avLst/>
                    </a:prstGeom>
                    <a:noFill/>
                    <a:ln>
                      <a:noFill/>
                    </a:ln>
                  </pic:spPr>
                </pic:pic>
              </a:graphicData>
            </a:graphic>
          </wp:inline>
        </w:drawing>
      </w:r>
    </w:p>
    <w:p w14:paraId="493E6883">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default" w:ascii="Times New Roman" w:hAnsi="Times New Roman" w:eastAsia="宋体" w:cs="Times New Roman"/>
          <w:b w:val="0"/>
          <w:bCs w:val="0"/>
          <w:sz w:val="24"/>
          <w:szCs w:val="24"/>
          <w:lang w:val="en-US" w:eastAsia="zh-CN"/>
        </w:rPr>
        <w:t>制表和单位</w:t>
      </w:r>
      <w:r>
        <w:rPr>
          <w:rFonts w:hint="eastAsia" w:ascii="Times New Roman" w:hAnsi="Times New Roman" w:eastAsia="宋体" w:cs="Times New Roman"/>
          <w:b w:val="0"/>
          <w:bCs w:val="0"/>
          <w:sz w:val="24"/>
          <w:szCs w:val="24"/>
          <w:lang w:val="en-US" w:eastAsia="zh-CN"/>
        </w:rPr>
        <w:t>的规范</w:t>
      </w:r>
    </w:p>
    <w:p w14:paraId="4DCE4E0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报告质量</w:t>
      </w:r>
    </w:p>
    <w:p w14:paraId="374DDA4F">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（一）撰写与总结问题</w:t>
      </w:r>
    </w:p>
    <w:p w14:paraId="2F40D827">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1.报告没有独立的“小结”或“结论”章节。</w:t>
      </w:r>
    </w:p>
    <w:p w14:paraId="1D26B34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2.部分语言表述不够严谨，如“革命性转变”、“历史性跨越”等过于夸张的词汇多次出现。</w:t>
      </w:r>
    </w:p>
    <w:p w14:paraId="08F5F6E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3.第四章末尾仅有“综上所述”一个极简段落，未能对各乡镇土壤属性的共性规律和分区特征进行有效归纳。</w:t>
      </w:r>
    </w:p>
    <w:p w14:paraId="605A2651">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（二）分析不足</w:t>
      </w:r>
    </w:p>
    <w:p w14:paraId="5EDC5256">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分析不深入、仅就数据论数据</w:t>
      </w:r>
    </w:p>
    <w:p w14:paraId="22255AAA">
      <w:pPr>
        <w:numPr>
          <w:ilvl w:val="0"/>
          <w:numId w:val="0"/>
        </w:numPr>
        <w:spacing w:line="360" w:lineRule="auto"/>
        <w:jc w:val="both"/>
        <w:rPr>
          <w:rFonts w:hint="eastAsia"/>
          <w:b/>
          <w:bCs/>
          <w:sz w:val="24"/>
          <w:szCs w:val="24"/>
          <w:lang w:val="en-US" w:eastAsia="zh-CN"/>
        </w:rPr>
      </w:pPr>
      <w:r>
        <w:rPr>
          <w:rFonts w:hint="eastAsia"/>
          <w:b/>
          <w:bCs/>
          <w:sz w:val="24"/>
          <w:szCs w:val="24"/>
          <w:lang w:val="en-US" w:eastAsia="zh-CN"/>
        </w:rPr>
        <w:t>（三）统计表与规范性问题</w:t>
      </w:r>
    </w:p>
    <w:p w14:paraId="115624E8">
      <w:pPr>
        <w:numPr>
          <w:ilvl w:val="0"/>
          <w:numId w:val="0"/>
        </w:numPr>
        <w:spacing w:line="360" w:lineRule="auto"/>
        <w:ind w:firstLine="480" w:firstLineChars="200"/>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多处表格跨页断开。</w:t>
      </w:r>
    </w:p>
    <w:p w14:paraId="259EF2D6">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（四）分析报告未按导引或规范要求</w:t>
      </w:r>
    </w:p>
    <w:p w14:paraId="3A3922C0">
      <w:pPr>
        <w:numPr>
          <w:ilvl w:val="0"/>
          <w:numId w:val="0"/>
        </w:numPr>
        <w:spacing w:line="360" w:lineRule="auto"/>
        <w:ind w:firstLine="480" w:firstLineChars="200"/>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土壤属性分级未按全国九大农区分级标准</w:t>
      </w:r>
    </w:p>
    <w:p w14:paraId="4C51B231">
      <w:pPr>
        <w:numPr>
          <w:ilvl w:val="0"/>
          <w:numId w:val="0"/>
        </w:numPr>
        <w:spacing w:line="360" w:lineRule="auto"/>
        <w:jc w:val="both"/>
        <w:rPr>
          <w:rFonts w:hint="default"/>
          <w:b/>
          <w:bCs/>
          <w:sz w:val="24"/>
          <w:szCs w:val="24"/>
          <w:lang w:val="en-US" w:eastAsia="zh-CN"/>
        </w:rPr>
      </w:pPr>
      <w:r>
        <w:rPr>
          <w:rFonts w:hint="eastAsia"/>
          <w:b/>
          <w:bCs/>
          <w:sz w:val="24"/>
          <w:szCs w:val="24"/>
          <w:lang w:val="en-US" w:eastAsia="zh-CN"/>
        </w:rPr>
        <w:t>（五）现状分析不深入</w:t>
      </w:r>
    </w:p>
    <w:p w14:paraId="1EC74299">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1.</w:t>
      </w:r>
      <w:r>
        <w:rPr>
          <w:rFonts w:hint="default" w:ascii="Times New Roman" w:hAnsi="Times New Roman" w:eastAsia="宋体" w:cs="Times New Roman"/>
          <w:b w:val="0"/>
          <w:bCs w:val="0"/>
          <w:sz w:val="24"/>
          <w:szCs w:val="24"/>
          <w:lang w:val="en-US" w:eastAsia="zh-CN"/>
        </w:rPr>
        <w:t>结合当地农业生产方式等进行成因分析</w:t>
      </w:r>
    </w:p>
    <w:p w14:paraId="2C71503D">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87E014F">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2.对与土壤类型无关的属性进行分析，如速磷、速钾</w:t>
      </w:r>
    </w:p>
    <w:p w14:paraId="7C42D458">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是。主要受施肥管理影响，与土壤类型的关联本身较弱。</w:t>
      </w:r>
    </w:p>
    <w:p w14:paraId="56028E9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p>
    <w:p w14:paraId="0192DFFD">
      <w:pPr>
        <w:numPr>
          <w:ilvl w:val="0"/>
          <w:numId w:val="3"/>
        </w:numPr>
        <w:spacing w:line="360" w:lineRule="auto"/>
        <w:jc w:val="both"/>
        <w:rPr>
          <w:rFonts w:hint="eastAsia"/>
          <w:b/>
          <w:bCs/>
          <w:sz w:val="24"/>
          <w:szCs w:val="24"/>
          <w:lang w:val="en-US" w:eastAsia="zh-CN"/>
        </w:rPr>
      </w:pPr>
      <w:r>
        <w:rPr>
          <w:rFonts w:hint="eastAsia"/>
          <w:b/>
          <w:bCs/>
          <w:sz w:val="24"/>
          <w:szCs w:val="24"/>
          <w:lang w:val="en-US" w:eastAsia="zh-CN"/>
        </w:rPr>
        <w:t>一票否决</w:t>
      </w:r>
    </w:p>
    <w:p w14:paraId="717E6759">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（一）剔除样点过多，且无明确的逐个样点剔除说明</w:t>
      </w:r>
    </w:p>
    <w:p w14:paraId="4D2F34EB">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71E37503">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（二）环境变量制备仅包括部分成土要素，未针对指标特征筛选环境变量，造成入模环境变量不合理</w:t>
      </w:r>
    </w:p>
    <w:p w14:paraId="6D31E1AD">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3482B35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（三）山地丘陵区采用普通克里格或IDW模型</w:t>
      </w:r>
    </w:p>
    <w:p w14:paraId="2D4B11CC">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24CBC7A6">
      <w:pPr>
        <w:numPr>
          <w:ilvl w:val="0"/>
          <w:numId w:val="0"/>
        </w:numPr>
        <w:spacing w:line="360" w:lineRule="auto"/>
        <w:jc w:val="both"/>
        <w:rPr>
          <w:rFonts w:hint="eastAsia"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（四）制图结果空间分布明显与实际不符（如DEM高，PH低的规律）</w:t>
      </w:r>
    </w:p>
    <w:p w14:paraId="7D2F9351">
      <w:pPr>
        <w:numPr>
          <w:ilvl w:val="0"/>
          <w:numId w:val="0"/>
        </w:numPr>
        <w:spacing w:line="360" w:lineRule="auto"/>
        <w:jc w:val="both"/>
        <w:rPr>
          <w:rFonts w:hint="default" w:ascii="Times New Roman" w:hAnsi="Times New Roman" w:eastAsia="宋体" w:cs="Times New Roman"/>
          <w:b w:val="0"/>
          <w:bCs w:val="0"/>
          <w:sz w:val="24"/>
          <w:szCs w:val="24"/>
          <w:lang w:val="en-US" w:eastAsia="zh-CN"/>
        </w:rPr>
      </w:pPr>
      <w:r>
        <w:rPr>
          <w:rFonts w:hint="eastAsia" w:ascii="Times New Roman" w:hAnsi="Times New Roman" w:eastAsia="宋体" w:cs="Times New Roman"/>
          <w:b w:val="0"/>
          <w:bCs w:val="0"/>
          <w:sz w:val="24"/>
          <w:szCs w:val="24"/>
          <w:lang w:val="en-US" w:eastAsia="zh-CN"/>
        </w:rPr>
        <w:t>否。</w:t>
      </w:r>
    </w:p>
    <w:p w14:paraId="0F79B81B"/>
    <w:p w14:paraId="3AA1B968"/>
    <w:p w14:paraId="09FD8AE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EAE951"/>
    <w:multiLevelType w:val="singleLevel"/>
    <w:tmpl w:val="94EAE951"/>
    <w:lvl w:ilvl="0" w:tentative="0">
      <w:start w:val="1"/>
      <w:numFmt w:val="chineseCounting"/>
      <w:suff w:val="nothing"/>
      <w:lvlText w:val="%1、"/>
      <w:lvlJc w:val="left"/>
      <w:rPr>
        <w:rFonts w:hint="eastAsia"/>
      </w:rPr>
    </w:lvl>
  </w:abstractNum>
  <w:abstractNum w:abstractNumId="1">
    <w:nsid w:val="BFC5C279"/>
    <w:multiLevelType w:val="singleLevel"/>
    <w:tmpl w:val="BFC5C279"/>
    <w:lvl w:ilvl="0" w:tentative="0">
      <w:start w:val="1"/>
      <w:numFmt w:val="chineseCounting"/>
      <w:suff w:val="nothing"/>
      <w:lvlText w:val="（%1）"/>
      <w:lvlJc w:val="left"/>
      <w:rPr>
        <w:rFonts w:hint="eastAsia"/>
      </w:rPr>
    </w:lvl>
  </w:abstractNum>
  <w:abstractNum w:abstractNumId="2">
    <w:nsid w:val="40E1F2E8"/>
    <w:multiLevelType w:val="singleLevel"/>
    <w:tmpl w:val="40E1F2E8"/>
    <w:lvl w:ilvl="0" w:tentative="0">
      <w:start w:val="1"/>
      <w:numFmt w:val="chineseCounting"/>
      <w:suff w:val="nothing"/>
      <w:lvlText w:val="%1、"/>
      <w:lvlJc w:val="left"/>
      <w:rPr>
        <w:rFonts w:hint="eastAsi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46A02"/>
    <w:rsid w:val="060774EA"/>
    <w:rsid w:val="06640499"/>
    <w:rsid w:val="0C411616"/>
    <w:rsid w:val="0D246BD4"/>
    <w:rsid w:val="0E924011"/>
    <w:rsid w:val="0EEE5624"/>
    <w:rsid w:val="0F851480"/>
    <w:rsid w:val="10390BE8"/>
    <w:rsid w:val="11B4024C"/>
    <w:rsid w:val="13286CF2"/>
    <w:rsid w:val="13F217DA"/>
    <w:rsid w:val="1703785A"/>
    <w:rsid w:val="1A8213DE"/>
    <w:rsid w:val="1CD75A11"/>
    <w:rsid w:val="1F5F584A"/>
    <w:rsid w:val="1FC63B1B"/>
    <w:rsid w:val="20D12B0B"/>
    <w:rsid w:val="20EF2BFD"/>
    <w:rsid w:val="23C10881"/>
    <w:rsid w:val="23CA0463"/>
    <w:rsid w:val="24FF3D57"/>
    <w:rsid w:val="27457A1B"/>
    <w:rsid w:val="292A6EC8"/>
    <w:rsid w:val="2A1536D4"/>
    <w:rsid w:val="2B25203D"/>
    <w:rsid w:val="2BE75544"/>
    <w:rsid w:val="2C3D33B6"/>
    <w:rsid w:val="2D3538E7"/>
    <w:rsid w:val="2DD5020F"/>
    <w:rsid w:val="2E0B71C7"/>
    <w:rsid w:val="2E982B26"/>
    <w:rsid w:val="34485C44"/>
    <w:rsid w:val="347109CC"/>
    <w:rsid w:val="36EB23B9"/>
    <w:rsid w:val="385B52F0"/>
    <w:rsid w:val="38C81A01"/>
    <w:rsid w:val="3A5C0EAC"/>
    <w:rsid w:val="47AD2D46"/>
    <w:rsid w:val="4BCF6429"/>
    <w:rsid w:val="4D312A51"/>
    <w:rsid w:val="4DAE095F"/>
    <w:rsid w:val="4EEF633A"/>
    <w:rsid w:val="4F9A0054"/>
    <w:rsid w:val="502B237C"/>
    <w:rsid w:val="533559C1"/>
    <w:rsid w:val="54492BF2"/>
    <w:rsid w:val="55A015D4"/>
    <w:rsid w:val="5947756A"/>
    <w:rsid w:val="5B2D299B"/>
    <w:rsid w:val="5BB46A02"/>
    <w:rsid w:val="5C2F2B18"/>
    <w:rsid w:val="5F0A2C8E"/>
    <w:rsid w:val="607B1E8C"/>
    <w:rsid w:val="608B6216"/>
    <w:rsid w:val="61860438"/>
    <w:rsid w:val="61B825BC"/>
    <w:rsid w:val="63D731CD"/>
    <w:rsid w:val="63DC07E4"/>
    <w:rsid w:val="63FE4BFE"/>
    <w:rsid w:val="658B3389"/>
    <w:rsid w:val="68907DEF"/>
    <w:rsid w:val="694C640B"/>
    <w:rsid w:val="6ABC311D"/>
    <w:rsid w:val="6C5D6920"/>
    <w:rsid w:val="6E233E7E"/>
    <w:rsid w:val="716360A0"/>
    <w:rsid w:val="71B7463E"/>
    <w:rsid w:val="75CE1F56"/>
    <w:rsid w:val="79525747"/>
    <w:rsid w:val="7D0509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toc 1"/>
    <w:basedOn w:val="1"/>
    <w:next w:val="1"/>
    <w:qFormat/>
    <w:uiPriority w:val="0"/>
  </w:style>
  <w:style w:type="paragraph" w:styleId="3">
    <w:name w:val="toc 2"/>
    <w:basedOn w:val="1"/>
    <w:next w:val="1"/>
    <w:qFormat/>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9421</Words>
  <Characters>9980</Characters>
  <Lines>0</Lines>
  <Paragraphs>0</Paragraphs>
  <TotalTime>0</TotalTime>
  <ScaleCrop>false</ScaleCrop>
  <LinksUpToDate>false</LinksUpToDate>
  <CharactersWithSpaces>10103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2026-07-14T05:38:00Z</dcterms:created>
  <dc:creator>姚雨帆</dc:creator>
  <cp:lastModifiedBy>行</cp:lastModifiedBy>
  <dcterms:modified xsi:type="dcterms:W3CDTF">2026-07-20T02:26:10Z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852556BC4A3E4AEEB6D83A1555AF31CC_11</vt:lpwstr>
  </property>
  <property fmtid="{D5CDD505-2E9C-101B-9397-08002B2CF9AE}" pid="4" name="KSOTemplateDocerSaveRecord">
    <vt:lpwstr>eyJoZGlkIjoiMjg1ZTFhZTI0N2UzMmIxMTc0YjNhZTU1ZTllNTMzMDUiLCJ1c2VySWQiOiIxMjM2NzI1Mjk2In0=</vt:lpwstr>
  </property>
</Properties>
</file>