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4005C">
      <w:pPr>
        <w:jc w:val="center"/>
        <w:rPr>
          <w:rFonts w:hint="eastAsia"/>
          <w:sz w:val="28"/>
          <w:szCs w:val="36"/>
          <w:lang w:val="en-US" w:eastAsia="zh-CN"/>
        </w:rPr>
      </w:pPr>
    </w:p>
    <w:p w14:paraId="300155C3">
      <w:pPr>
        <w:jc w:val="center"/>
        <w:rPr>
          <w:rFonts w:hint="eastAsia"/>
          <w:sz w:val="28"/>
          <w:szCs w:val="36"/>
          <w:lang w:val="en-US" w:eastAsia="zh-CN"/>
        </w:rPr>
      </w:pPr>
    </w:p>
    <w:p w14:paraId="75494991">
      <w:pPr>
        <w:jc w:val="center"/>
        <w:rPr>
          <w:rFonts w:hint="eastAsia"/>
          <w:sz w:val="28"/>
          <w:szCs w:val="36"/>
          <w:lang w:val="en-US" w:eastAsia="zh-CN"/>
        </w:rPr>
      </w:pPr>
    </w:p>
    <w:p w14:paraId="533D2CBD">
      <w:pPr>
        <w:jc w:val="center"/>
        <w:rPr>
          <w:rFonts w:hint="eastAsia"/>
          <w:sz w:val="28"/>
          <w:szCs w:val="36"/>
          <w:lang w:val="en-US" w:eastAsia="zh-CN"/>
        </w:rPr>
      </w:pPr>
    </w:p>
    <w:p w14:paraId="16C207F3">
      <w:pPr>
        <w:jc w:val="center"/>
        <w:rPr>
          <w:rFonts w:hint="eastAsia"/>
          <w:sz w:val="36"/>
          <w:szCs w:val="44"/>
          <w:lang w:val="en-US" w:eastAsia="zh-CN"/>
        </w:rPr>
      </w:pPr>
      <w:r>
        <w:rPr>
          <w:rFonts w:hint="eastAsia"/>
          <w:sz w:val="36"/>
          <w:szCs w:val="44"/>
          <w:lang w:val="en-US" w:eastAsia="zh-CN"/>
        </w:rPr>
        <w:t>辛集市第三次全国土壤普查成果质控报告</w:t>
      </w:r>
    </w:p>
    <w:p w14:paraId="68B28691">
      <w:pPr>
        <w:jc w:val="center"/>
        <w:rPr>
          <w:rFonts w:hint="eastAsia"/>
          <w:sz w:val="36"/>
          <w:szCs w:val="44"/>
          <w:lang w:val="en-US" w:eastAsia="zh-CN"/>
        </w:rPr>
      </w:pPr>
      <w:r>
        <w:rPr>
          <w:rFonts w:hint="eastAsia"/>
          <w:sz w:val="36"/>
          <w:szCs w:val="44"/>
          <w:lang w:val="en-US" w:eastAsia="zh-CN"/>
        </w:rPr>
        <w:t>（第一轮）</w:t>
      </w:r>
    </w:p>
    <w:p w14:paraId="59CB007E">
      <w:pPr>
        <w:jc w:val="center"/>
        <w:rPr>
          <w:rFonts w:hint="eastAsia"/>
          <w:sz w:val="28"/>
          <w:szCs w:val="36"/>
          <w:lang w:val="en-US" w:eastAsia="zh-CN"/>
        </w:rPr>
      </w:pPr>
    </w:p>
    <w:p w14:paraId="63E619A4">
      <w:pPr>
        <w:jc w:val="center"/>
        <w:rPr>
          <w:rFonts w:hint="eastAsia"/>
          <w:sz w:val="28"/>
          <w:szCs w:val="36"/>
          <w:lang w:val="en-US" w:eastAsia="zh-CN"/>
        </w:rPr>
      </w:pPr>
    </w:p>
    <w:p w14:paraId="71F9684B">
      <w:pPr>
        <w:jc w:val="center"/>
        <w:rPr>
          <w:rFonts w:hint="eastAsia"/>
          <w:sz w:val="28"/>
          <w:szCs w:val="36"/>
          <w:lang w:val="en-US" w:eastAsia="zh-CN"/>
        </w:rPr>
      </w:pPr>
    </w:p>
    <w:p w14:paraId="30D3F2D2">
      <w:pPr>
        <w:jc w:val="center"/>
        <w:rPr>
          <w:rFonts w:hint="eastAsia"/>
          <w:sz w:val="28"/>
          <w:szCs w:val="36"/>
          <w:lang w:val="en-US" w:eastAsia="zh-CN"/>
        </w:rPr>
      </w:pPr>
    </w:p>
    <w:p w14:paraId="19FA743D">
      <w:pPr>
        <w:jc w:val="center"/>
        <w:rPr>
          <w:rFonts w:hint="eastAsia"/>
          <w:sz w:val="28"/>
          <w:szCs w:val="36"/>
          <w:lang w:val="en-US" w:eastAsia="zh-CN"/>
        </w:rPr>
      </w:pPr>
    </w:p>
    <w:p w14:paraId="69837041">
      <w:pPr>
        <w:jc w:val="center"/>
        <w:rPr>
          <w:rFonts w:hint="eastAsia"/>
          <w:sz w:val="28"/>
          <w:szCs w:val="36"/>
          <w:lang w:val="en-US" w:eastAsia="zh-CN"/>
        </w:rPr>
      </w:pPr>
    </w:p>
    <w:p w14:paraId="76CF88F3">
      <w:pPr>
        <w:jc w:val="center"/>
        <w:rPr>
          <w:rFonts w:hint="eastAsia"/>
          <w:sz w:val="28"/>
          <w:szCs w:val="36"/>
          <w:lang w:val="en-US" w:eastAsia="zh-CN"/>
        </w:rPr>
      </w:pPr>
    </w:p>
    <w:p w14:paraId="17A5C5E0">
      <w:pPr>
        <w:jc w:val="center"/>
        <w:rPr>
          <w:rFonts w:hint="eastAsia"/>
          <w:sz w:val="28"/>
          <w:szCs w:val="36"/>
          <w:lang w:val="en-US" w:eastAsia="zh-CN"/>
        </w:rPr>
      </w:pPr>
    </w:p>
    <w:p w14:paraId="1E82C99D">
      <w:pPr>
        <w:jc w:val="center"/>
        <w:rPr>
          <w:rFonts w:hint="eastAsia"/>
          <w:sz w:val="28"/>
          <w:szCs w:val="36"/>
          <w:lang w:val="en-US" w:eastAsia="zh-CN"/>
        </w:rPr>
      </w:pPr>
    </w:p>
    <w:p w14:paraId="032C8339">
      <w:pPr>
        <w:jc w:val="center"/>
        <w:rPr>
          <w:rFonts w:hint="eastAsia"/>
          <w:sz w:val="28"/>
          <w:szCs w:val="36"/>
          <w:lang w:val="en-US" w:eastAsia="zh-CN"/>
        </w:rPr>
      </w:pPr>
    </w:p>
    <w:p w14:paraId="7B6D09E1">
      <w:pPr>
        <w:jc w:val="center"/>
        <w:rPr>
          <w:rFonts w:hint="eastAsia"/>
          <w:sz w:val="28"/>
          <w:szCs w:val="36"/>
          <w:lang w:val="en-US" w:eastAsia="zh-CN"/>
        </w:rPr>
      </w:pPr>
    </w:p>
    <w:p w14:paraId="729F39C0">
      <w:pPr>
        <w:jc w:val="center"/>
        <w:rPr>
          <w:rFonts w:hint="eastAsia"/>
          <w:sz w:val="28"/>
          <w:szCs w:val="36"/>
          <w:lang w:val="en-US" w:eastAsia="zh-CN"/>
        </w:rPr>
      </w:pPr>
    </w:p>
    <w:p w14:paraId="1CBFFBA1">
      <w:pPr>
        <w:jc w:val="center"/>
        <w:rPr>
          <w:rFonts w:hint="eastAsia"/>
          <w:sz w:val="28"/>
          <w:szCs w:val="36"/>
          <w:lang w:val="en-US" w:eastAsia="zh-CN"/>
        </w:rPr>
      </w:pPr>
    </w:p>
    <w:p w14:paraId="45B1599E">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59549"/>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FEF4A56">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E552959">
          <w:pPr>
            <w:pStyle w:val="4"/>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4208FB1">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F8F7CB">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0A48790B">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043AB9D8">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621F23DE">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6AAD0E88">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10</w:t>
          </w:r>
          <w:r>
            <w:fldChar w:fldCharType="end"/>
          </w:r>
          <w:r>
            <w:rPr>
              <w:rFonts w:hint="default" w:asciiTheme="minorHAnsi" w:hAnsiTheme="minorHAnsi" w:eastAsiaTheme="minorEastAsia" w:cstheme="minorBidi"/>
              <w:kern w:val="2"/>
              <w:szCs w:val="36"/>
              <w:lang w:val="en-US" w:eastAsia="zh-CN" w:bidi="ar-SA"/>
            </w:rPr>
            <w:fldChar w:fldCharType="end"/>
          </w:r>
        </w:p>
        <w:p w14:paraId="3C0640E4">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5D6DE3B5">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12</w:t>
          </w:r>
          <w:r>
            <w:fldChar w:fldCharType="end"/>
          </w:r>
          <w:r>
            <w:rPr>
              <w:rFonts w:hint="default" w:asciiTheme="minorHAnsi" w:hAnsiTheme="minorHAnsi" w:eastAsiaTheme="minorEastAsia" w:cstheme="minorBidi"/>
              <w:kern w:val="2"/>
              <w:szCs w:val="36"/>
              <w:lang w:val="en-US" w:eastAsia="zh-CN" w:bidi="ar-SA"/>
            </w:rPr>
            <w:fldChar w:fldCharType="end"/>
          </w:r>
        </w:p>
        <w:p w14:paraId="4CE59950">
          <w:pPr>
            <w:pStyle w:val="4"/>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71B6A17C">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13</w:t>
          </w:r>
          <w:r>
            <w:fldChar w:fldCharType="end"/>
          </w:r>
          <w:r>
            <w:rPr>
              <w:rFonts w:hint="default" w:asciiTheme="minorHAnsi" w:hAnsiTheme="minorHAnsi" w:eastAsiaTheme="minorEastAsia" w:cstheme="minorBidi"/>
              <w:kern w:val="2"/>
              <w:szCs w:val="36"/>
              <w:lang w:val="en-US" w:eastAsia="zh-CN" w:bidi="ar-SA"/>
            </w:rPr>
            <w:fldChar w:fldCharType="end"/>
          </w:r>
        </w:p>
        <w:p w14:paraId="23184AAD">
          <w:pPr>
            <w:pStyle w:val="5"/>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15</w:t>
          </w:r>
          <w:r>
            <w:fldChar w:fldCharType="end"/>
          </w:r>
          <w:r>
            <w:rPr>
              <w:rFonts w:hint="default" w:asciiTheme="minorHAnsi" w:hAnsiTheme="minorHAnsi" w:eastAsiaTheme="minorEastAsia" w:cstheme="minorBidi"/>
              <w:kern w:val="2"/>
              <w:szCs w:val="36"/>
              <w:lang w:val="en-US" w:eastAsia="zh-CN" w:bidi="ar-SA"/>
            </w:rPr>
            <w:fldChar w:fldCharType="end"/>
          </w:r>
        </w:p>
        <w:p w14:paraId="269C7C27">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02260427">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7394A701">
      <w:pPr>
        <w:jc w:val="center"/>
        <w:rPr>
          <w:rFonts w:hint="default"/>
          <w:sz w:val="28"/>
          <w:szCs w:val="36"/>
          <w:lang w:val="en-US" w:eastAsia="zh-CN"/>
        </w:rPr>
      </w:pPr>
      <w:r>
        <w:rPr>
          <w:rFonts w:hint="eastAsia"/>
          <w:color w:val="auto"/>
          <w:sz w:val="28"/>
          <w:szCs w:val="36"/>
          <w:lang w:val="en-US" w:eastAsia="zh-CN"/>
        </w:rPr>
        <w:t>辛集市</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7D769DB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w:t>
      </w:r>
      <w:r>
        <w:rPr>
          <w:rFonts w:hint="eastAsia"/>
          <w:color w:val="auto"/>
          <w:sz w:val="24"/>
          <w:szCs w:val="24"/>
          <w:lang w:val="en-US" w:eastAsia="zh-CN"/>
        </w:rPr>
        <w:t>辛集市</w:t>
      </w:r>
      <w:r>
        <w:rPr>
          <w:rFonts w:hint="eastAsia"/>
          <w:sz w:val="24"/>
          <w:szCs w:val="24"/>
          <w:lang w:val="en-US" w:eastAsia="zh-CN"/>
        </w:rPr>
        <w:t>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247CA9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w:t>
      </w:r>
      <w:r>
        <w:rPr>
          <w:rFonts w:hint="eastAsia"/>
          <w:color w:val="auto"/>
          <w:sz w:val="24"/>
          <w:szCs w:val="24"/>
          <w:lang w:val="en-US" w:eastAsia="zh-CN"/>
        </w:rPr>
        <w:t>辛集市</w:t>
      </w:r>
      <w:r>
        <w:rPr>
          <w:rFonts w:hint="eastAsia"/>
          <w:sz w:val="24"/>
          <w:szCs w:val="24"/>
          <w:lang w:val="en-US" w:eastAsia="zh-CN"/>
        </w:rPr>
        <w:t>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18</w:t>
      </w:r>
      <w:r>
        <w:rPr>
          <w:rFonts w:hint="eastAsia"/>
          <w:sz w:val="24"/>
          <w:szCs w:val="24"/>
          <w:lang w:val="en-US" w:eastAsia="zh-CN"/>
        </w:rPr>
        <w:t>项，存在问题</w:t>
      </w:r>
      <w:r>
        <w:rPr>
          <w:rFonts w:hint="eastAsia"/>
          <w:color w:val="auto"/>
          <w:sz w:val="24"/>
          <w:szCs w:val="24"/>
          <w:lang w:val="en-US" w:eastAsia="zh-CN"/>
        </w:rPr>
        <w:t>16</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6481DB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33D910F4">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3DB5FBE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BBAF41B">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758E9C06">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2E72145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总体结构与命名规范</w:t>
      </w:r>
    </w:p>
    <w:p w14:paraId="44C6B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审查标准：</w:t>
      </w:r>
    </w:p>
    <w:p w14:paraId="258A23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根目录命名格式：6位行政区划代码+县级行政区名称，示例：110108北京市海淀区。</w:t>
      </w:r>
    </w:p>
    <w:p w14:paraId="22C14B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第二层级目录必须包含以下七项：第三次全国土壤普查成果库.gdb、基础数据（文件夹）、过程数据（文件夹）、成果数据（文件夹）、地图文档/图层Layout包、汇报PPT（文件夹）、自查表扫描件（.pdf）。</w:t>
      </w:r>
    </w:p>
    <w:p w14:paraId="406F08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3）</w:t>
      </w:r>
      <w:r>
        <w:rPr>
          <w:rFonts w:hint="eastAsia" w:ascii="宋体" w:hAnsi="宋体" w:eastAsia="宋体" w:cs="宋体"/>
          <w:sz w:val="24"/>
          <w:szCs w:val="24"/>
          <w:lang w:eastAsia="zh-CN"/>
        </w:rPr>
        <w:t>成果提交格式：是否以压缩文件rar或zip格式提交；压缩文件命名方式是否为：xx省+xx市+xx县+“土壤三普土壤类型成果”。</w:t>
      </w:r>
    </w:p>
    <w:p w14:paraId="2D55E5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审查结果：</w:t>
      </w:r>
    </w:p>
    <w:p w14:paraId="6C41B3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b w:val="0"/>
          <w:sz w:val="24"/>
          <w:u w:val="none"/>
          <w:lang w:val="en-US" w:eastAsia="zh-CN"/>
        </w:rPr>
        <w:t>未按照</w:t>
      </w:r>
      <w:r>
        <w:rPr>
          <w:rFonts w:hint="eastAsia" w:ascii="宋体" w:hAnsi="宋体" w:eastAsia="宋体" w:cs="宋体"/>
          <w:b w:val="0"/>
          <w:sz w:val="24"/>
          <w:u w:val="none"/>
          <w:lang w:eastAsia="zh-CN"/>
        </w:rPr>
        <w:t>根目录命名格式</w:t>
      </w:r>
      <w:r>
        <w:rPr>
          <w:rFonts w:hint="eastAsia" w:ascii="宋体" w:hAnsi="宋体" w:eastAsia="宋体" w:cs="宋体"/>
          <w:b w:val="0"/>
          <w:sz w:val="24"/>
          <w:u w:val="none"/>
          <w:lang w:val="en-US" w:eastAsia="zh-CN"/>
        </w:rPr>
        <w:t>命名</w:t>
      </w:r>
    </w:p>
    <w:p w14:paraId="0D4FD7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 w:val="0"/>
          <w:sz w:val="24"/>
          <w:u w:val="none"/>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第</w:t>
      </w:r>
      <w:r>
        <w:rPr>
          <w:rFonts w:hint="eastAsia" w:ascii="宋体" w:hAnsi="宋体" w:eastAsia="宋体" w:cs="宋体"/>
          <w:b w:val="0"/>
          <w:sz w:val="24"/>
          <w:u w:val="none"/>
          <w:lang w:eastAsia="zh-CN"/>
        </w:rPr>
        <w:t>二层级目录</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自查表扫描件（.pdf）</w:t>
      </w:r>
    </w:p>
    <w:p w14:paraId="1DBF576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330975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98D4D7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4B02D6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7F5733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ECEED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198C6AD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22543E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622540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912A9A2">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数据库结构</w:t>
      </w:r>
      <w:r>
        <w:rPr>
          <w:rFonts w:hint="eastAsia" w:ascii="宋体" w:hAnsi="宋体" w:eastAsia="宋体" w:cs="宋体"/>
          <w:b w:val="0"/>
          <w:sz w:val="24"/>
          <w:u w:val="none"/>
          <w:lang w:val="en-US" w:eastAsia="zh-CN"/>
        </w:rPr>
        <w:t>包含</w:t>
      </w:r>
      <w:r>
        <w:rPr>
          <w:rFonts w:hint="eastAsia" w:ascii="宋体" w:hAnsi="宋体" w:eastAsia="宋体" w:cs="宋体"/>
          <w:b w:val="0"/>
          <w:sz w:val="24"/>
          <w:u w:val="none"/>
          <w:lang w:eastAsia="zh-CN"/>
        </w:rPr>
        <w:t>5个以英文命名的数据集，“</w:t>
      </w:r>
      <w:r>
        <w:rPr>
          <w:rFonts w:hint="eastAsia" w:ascii="宋体" w:hAnsi="宋体" w:eastAsia="宋体" w:cs="宋体"/>
          <w:b w:val="0"/>
          <w:sz w:val="24"/>
          <w:u w:val="none"/>
          <w:lang w:val="en-US" w:eastAsia="zh-CN"/>
        </w:rPr>
        <w:t>土种_不确定性”删除或调整位置。</w:t>
      </w:r>
    </w:p>
    <w:p w14:paraId="337DB20A">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sz w:val="24"/>
          <w:szCs w:val="32"/>
          <w:lang w:val="en-US" w:eastAsia="zh-CN"/>
        </w:rPr>
      </w:pPr>
      <w:r>
        <w:drawing>
          <wp:inline distT="0" distB="0" distL="114300" distR="114300">
            <wp:extent cx="2190750" cy="1152525"/>
            <wp:effectExtent l="0" t="0" r="0" b="952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2190750" cy="1152525"/>
                    </a:xfrm>
                    <a:prstGeom prst="rect">
                      <a:avLst/>
                    </a:prstGeom>
                    <a:noFill/>
                    <a:ln>
                      <a:noFill/>
                    </a:ln>
                  </pic:spPr>
                </pic:pic>
              </a:graphicData>
            </a:graphic>
          </wp:inline>
        </w:drawing>
      </w:r>
    </w:p>
    <w:p w14:paraId="3FD69CB7">
      <w:pPr>
        <w:keepNext/>
        <w:keepLines w:val="0"/>
        <w:pageBreakBefore w:val="0"/>
        <w:widowControl w:val="0"/>
        <w:numPr>
          <w:ilvl w:val="0"/>
          <w:numId w:val="4"/>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HISTORY（历史土壤调查数据）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分类校准更新后的土壤二普县级土壤图矢量数据、二普土壤样点数据。</w:t>
      </w:r>
    </w:p>
    <w:p w14:paraId="073D89E8">
      <w:pPr>
        <w:keepNext/>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PROCESS（过程数据）</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DCYD（调查样点）、推测的土壤三普图（矢量）、预测/推测不确定性分布图。</w:t>
      </w:r>
    </w:p>
    <w:p w14:paraId="18CFCCE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3009900" cy="1933575"/>
            <wp:effectExtent l="0" t="0" r="0" b="952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5"/>
                    <a:stretch>
                      <a:fillRect/>
                    </a:stretch>
                  </pic:blipFill>
                  <pic:spPr>
                    <a:xfrm>
                      <a:off x="0" y="0"/>
                      <a:ext cx="3009900" cy="1933575"/>
                    </a:xfrm>
                    <a:prstGeom prst="rect">
                      <a:avLst/>
                    </a:prstGeom>
                    <a:noFill/>
                    <a:ln>
                      <a:noFill/>
                    </a:ln>
                  </pic:spPr>
                </pic:pic>
              </a:graphicData>
            </a:graphic>
          </wp:inline>
        </w:drawing>
      </w:r>
    </w:p>
    <w:p w14:paraId="2C2F68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（4）RESULT数据集内容：土壤类型图字段缺少</w:t>
      </w:r>
      <w:r>
        <w:rPr>
          <w:rFonts w:hint="eastAsia" w:ascii="宋体" w:hAnsi="宋体" w:eastAsia="宋体" w:cs="宋体"/>
          <w:b w:val="0"/>
          <w:sz w:val="24"/>
          <w:u w:val="none"/>
          <w:lang w:eastAsia="zh-CN"/>
        </w:rPr>
        <w:t>图斑ID；分类校准后原土壤二普：土类(YTL)、亚类(YYL)、土属(YTS)、土种(YTZ)。</w:t>
      </w:r>
    </w:p>
    <w:p w14:paraId="5B18C73B">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4496435" cy="864235"/>
            <wp:effectExtent l="0" t="0" r="18415" b="1206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6"/>
                    <a:stretch>
                      <a:fillRect/>
                    </a:stretch>
                  </pic:blipFill>
                  <pic:spPr>
                    <a:xfrm>
                      <a:off x="0" y="0"/>
                      <a:ext cx="4496435" cy="864235"/>
                    </a:xfrm>
                    <a:prstGeom prst="rect">
                      <a:avLst/>
                    </a:prstGeom>
                    <a:noFill/>
                    <a:ln>
                      <a:noFill/>
                    </a:ln>
                  </pic:spPr>
                </pic:pic>
              </a:graphicData>
            </a:graphic>
          </wp:inline>
        </w:drawing>
      </w:r>
    </w:p>
    <w:p w14:paraId="3061AD24">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072AB4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8740C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0BD299C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22E1EB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5C7B72D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02CDCD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CC6896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命名不规范，是否有</w:t>
      </w:r>
      <w:r>
        <w:rPr>
          <w:rFonts w:hint="eastAsia" w:ascii="宋体" w:hAnsi="宋体" w:eastAsia="宋体" w:cs="宋体"/>
          <w:b w:val="0"/>
          <w:sz w:val="24"/>
          <w:u w:val="none"/>
          <w:lang w:eastAsia="zh-CN"/>
        </w:rPr>
        <w:t>母岩母质栅格数据、地形地貌数据（派生指数）、水文状况数据？</w:t>
      </w:r>
    </w:p>
    <w:p w14:paraId="34EA6F8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1868170" cy="1583690"/>
            <wp:effectExtent l="0" t="0" r="17780" b="16510"/>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7"/>
                    <a:stretch>
                      <a:fillRect/>
                    </a:stretch>
                  </pic:blipFill>
                  <pic:spPr>
                    <a:xfrm>
                      <a:off x="0" y="0"/>
                      <a:ext cx="1868170" cy="1583690"/>
                    </a:xfrm>
                    <a:prstGeom prst="rect">
                      <a:avLst/>
                    </a:prstGeom>
                    <a:noFill/>
                    <a:ln>
                      <a:noFill/>
                    </a:ln>
                  </pic:spPr>
                </pic:pic>
              </a:graphicData>
            </a:graphic>
          </wp:inline>
        </w:drawing>
      </w:r>
    </w:p>
    <w:p w14:paraId="10295689">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4340225" cy="3707765"/>
            <wp:effectExtent l="0" t="0" r="3175" b="698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8"/>
                    <a:stretch>
                      <a:fillRect/>
                    </a:stretch>
                  </pic:blipFill>
                  <pic:spPr>
                    <a:xfrm>
                      <a:off x="0" y="0"/>
                      <a:ext cx="4340225" cy="3707765"/>
                    </a:xfrm>
                    <a:prstGeom prst="rect">
                      <a:avLst/>
                    </a:prstGeom>
                    <a:noFill/>
                    <a:ln>
                      <a:noFill/>
                    </a:ln>
                  </pic:spPr>
                </pic:pic>
              </a:graphicData>
            </a:graphic>
          </wp:inline>
        </w:drawing>
      </w:r>
    </w:p>
    <w:p w14:paraId="2F4A7CF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6F481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6AEED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w:t>
      </w:r>
      <w:r>
        <w:rPr>
          <w:rFonts w:hint="eastAsia" w:ascii="宋体" w:hAnsi="宋体" w:eastAsia="宋体" w:cs="宋体"/>
          <w:b w:val="0"/>
          <w:sz w:val="24"/>
          <w:u w:val="none"/>
          <w:lang w:val="en-US" w:eastAsia="zh-CN"/>
        </w:rPr>
        <w:t>视频、</w:t>
      </w:r>
      <w:r>
        <w:rPr>
          <w:rFonts w:hint="eastAsia" w:ascii="宋体" w:hAnsi="宋体" w:eastAsia="宋体" w:cs="宋体"/>
          <w:b w:val="0"/>
          <w:sz w:val="24"/>
          <w:u w:val="none"/>
          <w:lang w:eastAsia="zh-CN"/>
        </w:rPr>
        <w:t>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7B6F21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7063EAB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61EC3E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205DB8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70F7E5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40C820E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7E031F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文件夹结构</w:t>
      </w:r>
      <w:r>
        <w:rPr>
          <w:rFonts w:hint="eastAsia" w:ascii="宋体" w:hAnsi="宋体" w:eastAsia="宋体" w:cs="宋体"/>
          <w:b w:val="0"/>
          <w:sz w:val="24"/>
          <w:u w:val="none"/>
          <w:lang w:val="en-US" w:eastAsia="zh-CN"/>
        </w:rPr>
        <w:t>缺少“视频”文件夹</w:t>
      </w:r>
    </w:p>
    <w:p w14:paraId="066F38B6">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将“</w:t>
      </w:r>
      <w:r>
        <w:rPr>
          <w:rFonts w:hint="eastAsia" w:ascii="宋体" w:hAnsi="宋体" w:eastAsia="宋体" w:cs="宋体"/>
          <w:b w:val="0"/>
          <w:sz w:val="24"/>
          <w:u w:val="none"/>
          <w:lang w:eastAsia="zh-CN"/>
        </w:rPr>
        <w:t>土壤类型图野外证明材料”</w:t>
      </w:r>
      <w:r>
        <w:rPr>
          <w:rFonts w:hint="eastAsia" w:ascii="宋体" w:hAnsi="宋体" w:eastAsia="宋体" w:cs="宋体"/>
          <w:b w:val="0"/>
          <w:sz w:val="24"/>
          <w:u w:val="none"/>
          <w:lang w:val="en-US" w:eastAsia="zh-CN"/>
        </w:rPr>
        <w:t>修改为</w:t>
      </w:r>
      <w:r>
        <w:rPr>
          <w:rFonts w:hint="eastAsia" w:ascii="宋体" w:hAnsi="宋体" w:eastAsia="宋体" w:cs="宋体"/>
          <w:b w:val="0"/>
          <w:sz w:val="24"/>
          <w:u w:val="none"/>
          <w:lang w:eastAsia="zh-CN"/>
        </w:rPr>
        <w:t>土壤类型图野外验证材料。</w:t>
      </w:r>
    </w:p>
    <w:p w14:paraId="7E6CB25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7D8BEE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7D88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293560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14F172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47DD6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F2D844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1）文件夹结构命名错误。</w:t>
      </w:r>
    </w:p>
    <w:p w14:paraId="4BA4C564">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1666875" cy="514350"/>
            <wp:effectExtent l="0" t="0" r="9525"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pic:cNvPicPr>
                  </pic:nvPicPr>
                  <pic:blipFill>
                    <a:blip r:embed="rId9"/>
                    <a:stretch>
                      <a:fillRect/>
                    </a:stretch>
                  </pic:blipFill>
                  <pic:spPr>
                    <a:xfrm>
                      <a:off x="0" y="0"/>
                      <a:ext cx="1666875" cy="514350"/>
                    </a:xfrm>
                    <a:prstGeom prst="rect">
                      <a:avLst/>
                    </a:prstGeom>
                    <a:noFill/>
                    <a:ln>
                      <a:noFill/>
                    </a:ln>
                  </pic:spPr>
                </pic:pic>
              </a:graphicData>
            </a:graphic>
          </wp:inline>
        </w:drawing>
      </w:r>
    </w:p>
    <w:p w14:paraId="7DF423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eastAsiaTheme="minorEastAsia"/>
          <w:sz w:val="24"/>
          <w:szCs w:val="32"/>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2）缺少</w:t>
      </w:r>
      <w:r>
        <w:rPr>
          <w:rFonts w:hint="eastAsia" w:ascii="宋体" w:hAnsi="宋体" w:eastAsia="宋体" w:cs="宋体"/>
          <w:b w:val="0"/>
          <w:sz w:val="24"/>
          <w:u w:val="none"/>
          <w:lang w:eastAsia="zh-CN"/>
        </w:rPr>
        <w:t>土壤类型图编制工作报告/技术报告pdf</w:t>
      </w:r>
      <w:r>
        <w:rPr>
          <w:rFonts w:hint="eastAsia" w:ascii="宋体" w:hAnsi="宋体" w:eastAsia="宋体" w:cs="宋体"/>
          <w:b w:val="0"/>
          <w:sz w:val="24"/>
          <w:u w:val="none"/>
          <w:lang w:val="en-US" w:eastAsia="zh-CN"/>
        </w:rPr>
        <w:t>版。</w:t>
      </w:r>
    </w:p>
    <w:p w14:paraId="62FA2C5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0DDC3F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43B03A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6FD8D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217794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468851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57FFA4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22531CF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7B2D48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8F37B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w:t>
      </w:r>
      <w:r>
        <w:rPr>
          <w:rFonts w:hint="eastAsia" w:ascii="宋体" w:hAnsi="宋体" w:eastAsia="宋体" w:cs="宋体"/>
          <w:b w:val="0"/>
          <w:sz w:val="24"/>
          <w:highlight w:val="none"/>
          <w:u w:val="none"/>
          <w:lang w:eastAsia="zh-CN"/>
        </w:rPr>
        <w:t>DEM栅格数据、DEM派生指数数据（30m分辨率）、</w:t>
      </w:r>
      <w:r>
        <w:rPr>
          <w:rFonts w:hint="eastAsia" w:ascii="宋体" w:hAnsi="宋体" w:eastAsia="宋体" w:cs="宋体"/>
          <w:b w:val="0"/>
          <w:sz w:val="24"/>
          <w:u w:val="none"/>
          <w:lang w:eastAsia="zh-CN"/>
        </w:rPr>
        <w:t>土地利用类型数据、土地整理数据、植被数据、水文状况数据、多源遥感影像数据。</w:t>
      </w:r>
    </w:p>
    <w:p w14:paraId="0B9DA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722D14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5C6466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w:t>
      </w:r>
      <w:r>
        <w:rPr>
          <w:rFonts w:hint="eastAsia" w:ascii="宋体" w:hAnsi="宋体" w:eastAsia="宋体" w:cs="宋体"/>
          <w:b w:val="0"/>
          <w:color w:val="auto"/>
          <w:sz w:val="24"/>
          <w:highlight w:val="none"/>
          <w:u w:val="none"/>
          <w:lang w:eastAsia="zh-CN"/>
        </w:rPr>
        <w:t>否有环境数据重要性排序、Kappa系数等验证模型精度。</w:t>
      </w:r>
    </w:p>
    <w:p w14:paraId="235325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609BE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成土环境数据</w:t>
      </w:r>
      <w:r>
        <w:rPr>
          <w:rFonts w:hint="eastAsia" w:ascii="宋体" w:hAnsi="宋体" w:eastAsia="宋体" w:cs="宋体"/>
          <w:b w:val="0"/>
          <w:sz w:val="24"/>
          <w:u w:val="none"/>
          <w:lang w:val="en-US" w:eastAsia="zh-CN"/>
        </w:rPr>
        <w:t>命名不规范，是否有</w:t>
      </w:r>
      <w:r>
        <w:rPr>
          <w:rFonts w:hint="eastAsia" w:ascii="宋体" w:hAnsi="宋体" w:eastAsia="宋体" w:cs="宋体"/>
          <w:b w:val="0"/>
          <w:sz w:val="24"/>
          <w:u w:val="none"/>
          <w:lang w:eastAsia="zh-CN"/>
        </w:rPr>
        <w:t>母岩母质栅格数据、地形地貌数据（派生指数）、水文状况数据？</w:t>
      </w:r>
    </w:p>
    <w:p w14:paraId="5A0CE4AE">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1868170" cy="1583690"/>
            <wp:effectExtent l="0" t="0" r="17780" b="1651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7"/>
                    <a:stretch>
                      <a:fillRect/>
                    </a:stretch>
                  </pic:blipFill>
                  <pic:spPr>
                    <a:xfrm>
                      <a:off x="0" y="0"/>
                      <a:ext cx="1868170" cy="1583690"/>
                    </a:xfrm>
                    <a:prstGeom prst="rect">
                      <a:avLst/>
                    </a:prstGeom>
                    <a:noFill/>
                    <a:ln>
                      <a:noFill/>
                    </a:ln>
                  </pic:spPr>
                </pic:pic>
              </a:graphicData>
            </a:graphic>
          </wp:inline>
        </w:drawing>
      </w:r>
    </w:p>
    <w:p w14:paraId="73A8F1D6">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default" w:ascii="宋体" w:hAnsi="宋体" w:eastAsia="宋体" w:cs="宋体"/>
          <w:b w:val="0"/>
          <w:sz w:val="24"/>
          <w:u w:val="none"/>
          <w:lang w:val="en-US" w:eastAsia="zh-CN"/>
        </w:rPr>
        <w:t>提供典型虚拟点</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土种预测结果矢量化图层。</w:t>
      </w:r>
    </w:p>
    <w:p w14:paraId="3F53D8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2243B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C79E5F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544C42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4389870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4C49CA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5C39D15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00822A8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技术报告中</w:t>
      </w:r>
      <w:r>
        <w:rPr>
          <w:rFonts w:hint="eastAsia" w:ascii="宋体" w:hAnsi="宋体" w:eastAsia="宋体" w:cs="宋体"/>
          <w:b w:val="0"/>
          <w:sz w:val="24"/>
          <w:u w:val="none"/>
          <w:lang w:eastAsia="zh-CN"/>
        </w:rPr>
        <w:t>校核点位数量（</w:t>
      </w:r>
      <w:r>
        <w:rPr>
          <w:rFonts w:hint="eastAsia" w:ascii="宋体" w:hAnsi="宋体" w:eastAsia="宋体" w:cs="宋体"/>
          <w:b w:val="0"/>
          <w:sz w:val="24"/>
          <w:u w:val="none"/>
          <w:lang w:val="en-US" w:eastAsia="zh-CN"/>
        </w:rPr>
        <w:t>74个）与</w:t>
      </w:r>
      <w:r>
        <w:rPr>
          <w:rFonts w:hint="eastAsia" w:ascii="宋体" w:hAnsi="宋体" w:eastAsia="宋体" w:cs="宋体"/>
          <w:b w:val="0"/>
          <w:sz w:val="24"/>
          <w:u w:val="none"/>
          <w:lang w:eastAsia="zh-CN"/>
        </w:rPr>
        <w:t>上交的图片资料</w:t>
      </w:r>
      <w:r>
        <w:rPr>
          <w:rFonts w:hint="eastAsia" w:ascii="宋体" w:hAnsi="宋体" w:eastAsia="宋体" w:cs="宋体"/>
          <w:b w:val="0"/>
          <w:sz w:val="24"/>
          <w:u w:val="none"/>
          <w:lang w:val="en-US" w:eastAsia="zh-CN"/>
        </w:rPr>
        <w:t>文件夹</w:t>
      </w: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2+6+17+9+19+20=73个）</w:t>
      </w: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数据库点位</w:t>
      </w:r>
      <w:r>
        <w:rPr>
          <w:rFonts w:hint="eastAsia" w:ascii="宋体" w:hAnsi="宋体" w:eastAsia="宋体" w:cs="宋体"/>
          <w:b w:val="0"/>
          <w:sz w:val="24"/>
          <w:u w:val="none"/>
          <w:lang w:eastAsia="zh-CN"/>
        </w:rPr>
        <w:t>数量（</w:t>
      </w:r>
      <w:r>
        <w:rPr>
          <w:rFonts w:hint="eastAsia" w:ascii="宋体" w:hAnsi="宋体" w:eastAsia="宋体" w:cs="宋体"/>
          <w:b w:val="0"/>
          <w:sz w:val="24"/>
          <w:u w:val="none"/>
          <w:lang w:val="en-US" w:eastAsia="zh-CN"/>
        </w:rPr>
        <w:t>72个）不</w:t>
      </w:r>
      <w:r>
        <w:rPr>
          <w:rFonts w:hint="eastAsia" w:ascii="宋体" w:hAnsi="宋体" w:eastAsia="宋体" w:cs="宋体"/>
          <w:b w:val="0"/>
          <w:sz w:val="24"/>
          <w:u w:val="none"/>
          <w:lang w:eastAsia="zh-CN"/>
        </w:rPr>
        <w:t>一致。</w:t>
      </w:r>
    </w:p>
    <w:p w14:paraId="631642D3">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center"/>
        <w:textAlignment w:val="auto"/>
        <w:rPr>
          <w:rFonts w:hint="eastAsia"/>
          <w:lang w:val="en-US" w:eastAsia="zh-CN"/>
        </w:rPr>
      </w:pPr>
      <w:r>
        <w:drawing>
          <wp:inline distT="0" distB="0" distL="114300" distR="114300">
            <wp:extent cx="2549525" cy="1296035"/>
            <wp:effectExtent l="0" t="0" r="3175" b="18415"/>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10"/>
                    <a:stretch>
                      <a:fillRect/>
                    </a:stretch>
                  </pic:blipFill>
                  <pic:spPr>
                    <a:xfrm>
                      <a:off x="0" y="0"/>
                      <a:ext cx="2549525" cy="1296035"/>
                    </a:xfrm>
                    <a:prstGeom prst="rect">
                      <a:avLst/>
                    </a:prstGeom>
                    <a:noFill/>
                    <a:ln>
                      <a:noFill/>
                    </a:ln>
                  </pic:spPr>
                </pic:pic>
              </a:graphicData>
            </a:graphic>
          </wp:inline>
        </w:drawing>
      </w:r>
      <w:r>
        <w:rPr>
          <w:rFonts w:hint="eastAsia"/>
          <w:lang w:val="en-US" w:eastAsia="zh-CN"/>
        </w:rPr>
        <w:t xml:space="preserve">   </w:t>
      </w:r>
    </w:p>
    <w:p w14:paraId="038074F3">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center"/>
        <w:textAlignment w:val="auto"/>
        <w:rPr>
          <w:rFonts w:hint="eastAsia" w:eastAsiaTheme="minorEastAsia"/>
          <w:lang w:val="en-US" w:eastAsia="zh-CN"/>
        </w:rPr>
      </w:pPr>
      <w:r>
        <w:drawing>
          <wp:inline distT="0" distB="0" distL="114300" distR="114300">
            <wp:extent cx="733425" cy="342900"/>
            <wp:effectExtent l="0" t="0" r="9525" b="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11"/>
                    <a:stretch>
                      <a:fillRect/>
                    </a:stretch>
                  </pic:blipFill>
                  <pic:spPr>
                    <a:xfrm>
                      <a:off x="0" y="0"/>
                      <a:ext cx="733425" cy="342900"/>
                    </a:xfrm>
                    <a:prstGeom prst="rect">
                      <a:avLst/>
                    </a:prstGeom>
                    <a:noFill/>
                    <a:ln>
                      <a:noFill/>
                    </a:ln>
                  </pic:spPr>
                </pic:pic>
              </a:graphicData>
            </a:graphic>
          </wp:inline>
        </w:drawing>
      </w:r>
      <w:r>
        <w:rPr>
          <w:rFonts w:hint="eastAsia"/>
          <w:lang w:eastAsia="zh-CN"/>
        </w:rPr>
        <w:t>、</w:t>
      </w:r>
      <w:r>
        <w:drawing>
          <wp:inline distT="0" distB="0" distL="114300" distR="114300">
            <wp:extent cx="552450" cy="228600"/>
            <wp:effectExtent l="0" t="0" r="0" b="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12"/>
                    <a:stretch>
                      <a:fillRect/>
                    </a:stretch>
                  </pic:blipFill>
                  <pic:spPr>
                    <a:xfrm>
                      <a:off x="0" y="0"/>
                      <a:ext cx="552450" cy="228600"/>
                    </a:xfrm>
                    <a:prstGeom prst="rect">
                      <a:avLst/>
                    </a:prstGeom>
                    <a:noFill/>
                    <a:ln>
                      <a:noFill/>
                    </a:ln>
                  </pic:spPr>
                </pic:pic>
              </a:graphicData>
            </a:graphic>
          </wp:inline>
        </w:drawing>
      </w:r>
      <w:r>
        <w:rPr>
          <w:rFonts w:hint="eastAsia"/>
          <w:lang w:eastAsia="zh-CN"/>
        </w:rPr>
        <w:t>、</w:t>
      </w:r>
      <w:r>
        <w:drawing>
          <wp:inline distT="0" distB="0" distL="114300" distR="114300">
            <wp:extent cx="704850" cy="247650"/>
            <wp:effectExtent l="0" t="0" r="0" b="0"/>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13"/>
                    <a:stretch>
                      <a:fillRect/>
                    </a:stretch>
                  </pic:blipFill>
                  <pic:spPr>
                    <a:xfrm>
                      <a:off x="0" y="0"/>
                      <a:ext cx="704850" cy="247650"/>
                    </a:xfrm>
                    <a:prstGeom prst="rect">
                      <a:avLst/>
                    </a:prstGeom>
                    <a:noFill/>
                    <a:ln>
                      <a:noFill/>
                    </a:ln>
                  </pic:spPr>
                </pic:pic>
              </a:graphicData>
            </a:graphic>
          </wp:inline>
        </w:drawing>
      </w:r>
      <w:r>
        <w:rPr>
          <w:rFonts w:hint="eastAsia"/>
          <w:lang w:eastAsia="zh-CN"/>
        </w:rPr>
        <w:t>、</w:t>
      </w:r>
      <w:r>
        <w:drawing>
          <wp:inline distT="0" distB="0" distL="114300" distR="114300">
            <wp:extent cx="609600" cy="314325"/>
            <wp:effectExtent l="0" t="0" r="0" b="9525"/>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14"/>
                    <a:stretch>
                      <a:fillRect/>
                    </a:stretch>
                  </pic:blipFill>
                  <pic:spPr>
                    <a:xfrm>
                      <a:off x="0" y="0"/>
                      <a:ext cx="609600" cy="314325"/>
                    </a:xfrm>
                    <a:prstGeom prst="rect">
                      <a:avLst/>
                    </a:prstGeom>
                    <a:noFill/>
                    <a:ln>
                      <a:noFill/>
                    </a:ln>
                  </pic:spPr>
                </pic:pic>
              </a:graphicData>
            </a:graphic>
          </wp:inline>
        </w:drawing>
      </w:r>
      <w:r>
        <w:rPr>
          <w:rFonts w:hint="eastAsia"/>
          <w:lang w:eastAsia="zh-CN"/>
        </w:rPr>
        <w:t>、</w:t>
      </w:r>
      <w:r>
        <w:drawing>
          <wp:inline distT="0" distB="0" distL="114300" distR="114300">
            <wp:extent cx="638175" cy="228600"/>
            <wp:effectExtent l="0" t="0" r="9525" b="0"/>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15"/>
                    <a:stretch>
                      <a:fillRect/>
                    </a:stretch>
                  </pic:blipFill>
                  <pic:spPr>
                    <a:xfrm>
                      <a:off x="0" y="0"/>
                      <a:ext cx="638175" cy="228600"/>
                    </a:xfrm>
                    <a:prstGeom prst="rect">
                      <a:avLst/>
                    </a:prstGeom>
                    <a:noFill/>
                    <a:ln>
                      <a:noFill/>
                    </a:ln>
                  </pic:spPr>
                </pic:pic>
              </a:graphicData>
            </a:graphic>
          </wp:inline>
        </w:drawing>
      </w:r>
      <w:r>
        <w:rPr>
          <w:rFonts w:hint="eastAsia"/>
          <w:lang w:eastAsia="zh-CN"/>
        </w:rPr>
        <w:t>、</w:t>
      </w:r>
      <w:r>
        <w:drawing>
          <wp:inline distT="0" distB="0" distL="114300" distR="114300">
            <wp:extent cx="771525" cy="238125"/>
            <wp:effectExtent l="0" t="0" r="9525" b="9525"/>
            <wp:docPr id="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
                    <pic:cNvPicPr>
                      <a:picLocks noChangeAspect="1"/>
                    </pic:cNvPicPr>
                  </pic:nvPicPr>
                  <pic:blipFill>
                    <a:blip r:embed="rId16"/>
                    <a:stretch>
                      <a:fillRect/>
                    </a:stretch>
                  </pic:blipFill>
                  <pic:spPr>
                    <a:xfrm>
                      <a:off x="0" y="0"/>
                      <a:ext cx="771525" cy="238125"/>
                    </a:xfrm>
                    <a:prstGeom prst="rect">
                      <a:avLst/>
                    </a:prstGeom>
                    <a:noFill/>
                    <a:ln>
                      <a:noFill/>
                    </a:ln>
                  </pic:spPr>
                </pic:pic>
              </a:graphicData>
            </a:graphic>
          </wp:inline>
        </w:drawing>
      </w:r>
    </w:p>
    <w:p w14:paraId="45115C31">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962275" cy="647700"/>
            <wp:effectExtent l="0" t="0" r="9525" b="0"/>
            <wp:docPr id="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
                    <pic:cNvPicPr>
                      <a:picLocks noChangeAspect="1"/>
                    </pic:cNvPicPr>
                  </pic:nvPicPr>
                  <pic:blipFill>
                    <a:blip r:embed="rId17"/>
                    <a:stretch>
                      <a:fillRect/>
                    </a:stretch>
                  </pic:blipFill>
                  <pic:spPr>
                    <a:xfrm>
                      <a:off x="0" y="0"/>
                      <a:ext cx="2962275" cy="647700"/>
                    </a:xfrm>
                    <a:prstGeom prst="rect">
                      <a:avLst/>
                    </a:prstGeom>
                    <a:noFill/>
                    <a:ln>
                      <a:noFill/>
                    </a:ln>
                  </pic:spPr>
                </pic:pic>
              </a:graphicData>
            </a:graphic>
          </wp:inline>
        </w:drawing>
      </w:r>
    </w:p>
    <w:p w14:paraId="0C74B49B">
      <w:pPr>
        <w:keepNext/>
        <w:keepLines w:val="0"/>
        <w:pageBreakBefore w:val="0"/>
        <w:widowControl w:val="0"/>
        <w:numPr>
          <w:ilvl w:val="0"/>
          <w:numId w:val="6"/>
        </w:numPr>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土壤分类</w:t>
      </w:r>
      <w:r>
        <w:rPr>
          <w:rFonts w:hint="eastAsia" w:ascii="宋体" w:hAnsi="宋体" w:eastAsia="宋体" w:cs="宋体"/>
          <w:b/>
          <w:sz w:val="24"/>
          <w:u w:val="none"/>
          <w:lang w:val="en-US" w:eastAsia="zh-CN"/>
        </w:rPr>
        <w:t>与制图</w:t>
      </w:r>
      <w:r>
        <w:rPr>
          <w:rFonts w:hint="eastAsia" w:ascii="宋体" w:hAnsi="宋体" w:eastAsia="宋体" w:cs="宋体"/>
          <w:b/>
          <w:sz w:val="24"/>
          <w:u w:val="none"/>
          <w:lang w:eastAsia="zh-CN"/>
        </w:rPr>
        <w:t>成果</w:t>
      </w:r>
    </w:p>
    <w:p w14:paraId="06AD78B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F825A69">
      <w:pPr>
        <w:numPr>
          <w:ilvl w:val="0"/>
          <w:numId w:val="7"/>
        </w:numPr>
        <w:bidi w:val="0"/>
        <w:ind w:firstLine="480" w:firstLineChars="200"/>
        <w:rPr>
          <w:rFonts w:hint="eastAsia"/>
          <w:sz w:val="24"/>
          <w:szCs w:val="32"/>
          <w:lang w:val="en-US" w:eastAsia="zh-CN"/>
        </w:rPr>
      </w:pPr>
      <w:r>
        <w:rPr>
          <w:rFonts w:hint="eastAsia"/>
          <w:sz w:val="24"/>
          <w:szCs w:val="32"/>
          <w:lang w:val="en-US" w:eastAsia="zh-CN"/>
        </w:rPr>
        <w:t>制图成果有拓扑问题，请进行修正。</w:t>
      </w:r>
    </w:p>
    <w:p w14:paraId="20B07C0A">
      <w:pPr>
        <w:numPr>
          <w:ilvl w:val="0"/>
          <w:numId w:val="0"/>
        </w:numPr>
        <w:bidi w:val="0"/>
        <w:jc w:val="center"/>
      </w:pPr>
      <w:r>
        <w:drawing>
          <wp:inline distT="0" distB="0" distL="114300" distR="114300">
            <wp:extent cx="1977390" cy="1440180"/>
            <wp:effectExtent l="0" t="0" r="38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1977390" cy="1440180"/>
                    </a:xfrm>
                    <a:prstGeom prst="rect">
                      <a:avLst/>
                    </a:prstGeom>
                    <a:noFill/>
                    <a:ln>
                      <a:noFill/>
                    </a:ln>
                  </pic:spPr>
                </pic:pic>
              </a:graphicData>
            </a:graphic>
          </wp:inline>
        </w:drawing>
      </w:r>
    </w:p>
    <w:p w14:paraId="221F5237">
      <w:pPr>
        <w:numPr>
          <w:ilvl w:val="0"/>
          <w:numId w:val="0"/>
        </w:numPr>
        <w:bidi w:val="0"/>
        <w:ind w:firstLine="480" w:firstLineChars="200"/>
        <w:jc w:val="both"/>
        <w:rPr>
          <w:rFonts w:hint="eastAsia" w:ascii="宋体" w:hAnsi="宋体" w:eastAsia="宋体" w:cs="宋体"/>
          <w:sz w:val="24"/>
          <w:szCs w:val="32"/>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2）</w:t>
      </w:r>
      <w:r>
        <w:rPr>
          <w:rFonts w:hint="eastAsia" w:ascii="宋体" w:hAnsi="宋体" w:eastAsia="宋体" w:cs="宋体"/>
          <w:sz w:val="24"/>
          <w:szCs w:val="32"/>
        </w:rPr>
        <w:t>土壤类型组合与分类清单存在一处不对应</w:t>
      </w:r>
    </w:p>
    <w:p w14:paraId="32768937">
      <w:pPr>
        <w:numPr>
          <w:ilvl w:val="0"/>
          <w:numId w:val="0"/>
        </w:numPr>
        <w:bidi w:val="0"/>
        <w:jc w:val="center"/>
        <w:rPr>
          <w:rFonts w:hint="default"/>
          <w:lang w:val="en-US" w:eastAsia="zh-CN"/>
        </w:rPr>
      </w:pPr>
      <w:r>
        <w:drawing>
          <wp:inline distT="0" distB="0" distL="114300" distR="114300">
            <wp:extent cx="1793875" cy="683895"/>
            <wp:effectExtent l="0" t="0" r="1587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1793875" cy="683895"/>
                    </a:xfrm>
                    <a:prstGeom prst="rect">
                      <a:avLst/>
                    </a:prstGeom>
                    <a:noFill/>
                    <a:ln>
                      <a:noFill/>
                    </a:ln>
                  </pic:spPr>
                </pic:pic>
              </a:graphicData>
            </a:graphic>
          </wp:inline>
        </w:drawing>
      </w:r>
    </w:p>
    <w:p w14:paraId="221F457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2A622DD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2D71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340679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20F38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24E4C3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4921BB4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2EB80BD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6A39C1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7DF193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227603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DFD0F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1）缺少调查时间</w:t>
      </w:r>
    </w:p>
    <w:p w14:paraId="6DF5271E">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（2）比例尺建议</w:t>
      </w:r>
      <w:r>
        <w:rPr>
          <w:rFonts w:hint="eastAsia" w:ascii="宋体" w:hAnsi="宋体" w:eastAsia="宋体" w:cs="宋体"/>
          <w:b w:val="0"/>
          <w:sz w:val="24"/>
          <w:u w:val="none"/>
          <w:lang w:eastAsia="zh-CN"/>
        </w:rPr>
        <w:t>以线段比例尺表示。</w:t>
      </w:r>
    </w:p>
    <w:p w14:paraId="6131F8B7">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2914650" cy="1076325"/>
            <wp:effectExtent l="0" t="0" r="0" b="9525"/>
            <wp:docPr id="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pic:cNvPicPr>
                      <a:picLocks noChangeAspect="1"/>
                    </pic:cNvPicPr>
                  </pic:nvPicPr>
                  <pic:blipFill>
                    <a:blip r:embed="rId20"/>
                    <a:stretch>
                      <a:fillRect/>
                    </a:stretch>
                  </pic:blipFill>
                  <pic:spPr>
                    <a:xfrm>
                      <a:off x="0" y="0"/>
                      <a:ext cx="2914650" cy="1076325"/>
                    </a:xfrm>
                    <a:prstGeom prst="rect">
                      <a:avLst/>
                    </a:prstGeom>
                    <a:noFill/>
                    <a:ln>
                      <a:noFill/>
                    </a:ln>
                  </pic:spPr>
                </pic:pic>
              </a:graphicData>
            </a:graphic>
          </wp:inline>
        </w:drawing>
      </w:r>
    </w:p>
    <w:p w14:paraId="5039CE0F">
      <w:pPr>
        <w:keepNext/>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缺少等高线。</w:t>
      </w:r>
    </w:p>
    <w:p w14:paraId="69BA8B8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19290D1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77C02E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66236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378515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580182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71BCC9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1CBF7C5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36197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524CA1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13839407">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政府驻地应有专有符号。</w:t>
      </w:r>
    </w:p>
    <w:p w14:paraId="1BBD14A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较小的乡镇、村级可以用点状符号表示。</w:t>
      </w:r>
    </w:p>
    <w:p w14:paraId="529E660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行政区边界显示了晕线，但并未在图例中展现。</w:t>
      </w:r>
    </w:p>
    <w:p w14:paraId="608D42EF">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lang w:val="en-US" w:eastAsia="zh-CN"/>
        </w:rPr>
      </w:pPr>
      <w:r>
        <w:drawing>
          <wp:inline distT="0" distB="0" distL="114300" distR="114300">
            <wp:extent cx="1408430" cy="2376170"/>
            <wp:effectExtent l="0" t="0" r="1270" b="5080"/>
            <wp:docPr id="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pic:cNvPicPr>
                      <a:picLocks noChangeAspect="1"/>
                    </pic:cNvPicPr>
                  </pic:nvPicPr>
                  <pic:blipFill>
                    <a:blip r:embed="rId21"/>
                    <a:stretch>
                      <a:fillRect/>
                    </a:stretch>
                  </pic:blipFill>
                  <pic:spPr>
                    <a:xfrm>
                      <a:off x="0" y="0"/>
                      <a:ext cx="1408430" cy="23761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38325" cy="1504950"/>
            <wp:effectExtent l="0" t="0" r="9525" b="0"/>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pic:cNvPicPr>
                      <a:picLocks noChangeAspect="1"/>
                    </pic:cNvPicPr>
                  </pic:nvPicPr>
                  <pic:blipFill>
                    <a:blip r:embed="rId22"/>
                    <a:stretch>
                      <a:fillRect/>
                    </a:stretch>
                  </pic:blipFill>
                  <pic:spPr>
                    <a:xfrm>
                      <a:off x="0" y="0"/>
                      <a:ext cx="1838325" cy="1504950"/>
                    </a:xfrm>
                    <a:prstGeom prst="rect">
                      <a:avLst/>
                    </a:prstGeom>
                    <a:noFill/>
                    <a:ln>
                      <a:noFill/>
                    </a:ln>
                  </pic:spPr>
                </pic:pic>
              </a:graphicData>
            </a:graphic>
          </wp:inline>
        </w:drawing>
      </w:r>
      <w:r>
        <w:rPr>
          <w:rFonts w:hint="eastAsia"/>
          <w:lang w:val="en-US" w:eastAsia="zh-CN"/>
        </w:rPr>
        <w:t xml:space="preserve">      </w:t>
      </w:r>
    </w:p>
    <w:p w14:paraId="176738E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0ED18179">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019771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B3D1FA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7AFAEDA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7A161D1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2A3149E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55ECEC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76B8E04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审查结果：铁路站场、民用机场、公路与铁路</w:t>
      </w:r>
      <w:r>
        <w:rPr>
          <w:rFonts w:hint="eastAsia" w:ascii="宋体" w:hAnsi="宋体" w:eastAsia="宋体" w:cs="宋体"/>
          <w:b w:val="0"/>
          <w:sz w:val="24"/>
          <w:u w:val="none"/>
          <w:lang w:val="en-US" w:eastAsia="zh-CN"/>
        </w:rPr>
        <w:t>等重要地物名称未注记。</w:t>
      </w:r>
    </w:p>
    <w:p w14:paraId="1E88445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58C954D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57FA11F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70AB26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C3F2B4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（2）辖区面积与2023年国土变更调查的数据一致，</w:t>
      </w:r>
      <w:r>
        <w:rPr>
          <w:rFonts w:hint="eastAsia" w:ascii="宋体" w:hAnsi="宋体" w:eastAsia="宋体" w:cs="宋体"/>
          <w:b w:val="0"/>
          <w:color w:val="auto"/>
          <w:sz w:val="24"/>
          <w:highlight w:val="yellow"/>
          <w:u w:val="none"/>
          <w:lang w:eastAsia="zh-CN"/>
        </w:rPr>
        <w:t>要进行平差</w:t>
      </w:r>
      <w:r>
        <w:rPr>
          <w:rFonts w:hint="eastAsia" w:ascii="宋体" w:hAnsi="宋体" w:eastAsia="宋体" w:cs="宋体"/>
          <w:b w:val="0"/>
          <w:sz w:val="24"/>
          <w:u w:val="none"/>
          <w:lang w:eastAsia="zh-CN"/>
        </w:rPr>
        <w:t>。</w:t>
      </w:r>
    </w:p>
    <w:p w14:paraId="528643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数据乱码，同时注意各个数据的县域面积要和三调一致。</w:t>
      </w:r>
    </w:p>
    <w:p w14:paraId="4ECB71B3">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2886075" cy="685800"/>
            <wp:effectExtent l="0" t="0" r="9525" b="0"/>
            <wp:docPr id="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pic:cNvPicPr>
                      <a:picLocks noChangeAspect="1"/>
                    </pic:cNvPicPr>
                  </pic:nvPicPr>
                  <pic:blipFill>
                    <a:blip r:embed="rId23"/>
                    <a:stretch>
                      <a:fillRect/>
                    </a:stretch>
                  </pic:blipFill>
                  <pic:spPr>
                    <a:xfrm>
                      <a:off x="0" y="0"/>
                      <a:ext cx="2886075" cy="685800"/>
                    </a:xfrm>
                    <a:prstGeom prst="rect">
                      <a:avLst/>
                    </a:prstGeom>
                    <a:noFill/>
                    <a:ln>
                      <a:noFill/>
                    </a:ln>
                  </pic:spPr>
                </pic:pic>
              </a:graphicData>
            </a:graphic>
          </wp:inline>
        </w:drawing>
      </w:r>
    </w:p>
    <w:p w14:paraId="43C7715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087188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087788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17902D7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16FB70C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符合要求。</w:t>
      </w:r>
    </w:p>
    <w:p w14:paraId="540BFB6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5FE8A8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DF5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33323A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4B683C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审查结果：缺少外图廓线</w:t>
      </w:r>
      <w:r>
        <w:rPr>
          <w:rFonts w:hint="eastAsia" w:ascii="宋体" w:hAnsi="宋体" w:eastAsia="宋体" w:cs="宋体"/>
          <w:b w:val="0"/>
          <w:sz w:val="24"/>
          <w:u w:val="none"/>
          <w:lang w:val="en-US" w:eastAsia="zh-CN"/>
        </w:rPr>
        <w:t>。</w:t>
      </w:r>
    </w:p>
    <w:p w14:paraId="79FBEEF6">
      <w:pPr>
        <w:keepNext/>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sz w:val="24"/>
          <w:u w:val="none"/>
          <w:lang w:val="en-US" w:eastAsia="zh-CN"/>
        </w:rPr>
      </w:pPr>
      <w:r>
        <w:drawing>
          <wp:inline distT="0" distB="0" distL="114300" distR="114300">
            <wp:extent cx="3943350" cy="1440180"/>
            <wp:effectExtent l="0" t="0" r="0" b="7620"/>
            <wp:docPr id="5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8"/>
                    <pic:cNvPicPr>
                      <a:picLocks noChangeAspect="1"/>
                    </pic:cNvPicPr>
                  </pic:nvPicPr>
                  <pic:blipFill>
                    <a:blip r:embed="rId24"/>
                    <a:stretch>
                      <a:fillRect/>
                    </a:stretch>
                  </pic:blipFill>
                  <pic:spPr>
                    <a:xfrm>
                      <a:off x="0" y="0"/>
                      <a:ext cx="3943350" cy="1440180"/>
                    </a:xfrm>
                    <a:prstGeom prst="rect">
                      <a:avLst/>
                    </a:prstGeom>
                    <a:noFill/>
                    <a:ln>
                      <a:noFill/>
                    </a:ln>
                  </pic:spPr>
                </pic:pic>
              </a:graphicData>
            </a:graphic>
          </wp:inline>
        </w:drawing>
      </w:r>
    </w:p>
    <w:p w14:paraId="17A4B73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1C0405B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545941F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1F398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65E0F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7A8602A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3751E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7AB25A4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7D65CE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6C93440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2DAD6F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（7）质地规范：土种命名时，是否采用质地5级；土体质地构型与命名是否准确。</w:t>
      </w:r>
    </w:p>
    <w:p w14:paraId="59DA36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FA49B9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1）</w:t>
      </w: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p>
    <w:p w14:paraId="79CCF58E">
      <w:pPr>
        <w:keepNext/>
        <w:keepLines w:val="0"/>
        <w:pageBreakBefore w:val="0"/>
        <w:widowControl w:val="0"/>
        <w:numPr>
          <w:ilvl w:val="0"/>
          <w:numId w:val="8"/>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单位</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规范：计量单位全文</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统一，</w:t>
      </w:r>
      <w:r>
        <w:rPr>
          <w:rFonts w:hint="eastAsia" w:ascii="宋体" w:hAnsi="宋体" w:eastAsia="宋体" w:cs="宋体"/>
          <w:b w:val="0"/>
          <w:sz w:val="24"/>
          <w:u w:val="none"/>
          <w:lang w:val="en-US" w:eastAsia="zh-CN"/>
        </w:rPr>
        <w:t>cm和厘米混用</w:t>
      </w:r>
      <w:r>
        <w:rPr>
          <w:rFonts w:hint="eastAsia" w:ascii="宋体" w:hAnsi="宋体" w:eastAsia="宋体" w:cs="宋体"/>
          <w:b w:val="0"/>
          <w:sz w:val="24"/>
          <w:u w:val="none"/>
          <w:lang w:eastAsia="zh-CN"/>
        </w:rPr>
        <w:t>。</w:t>
      </w:r>
    </w:p>
    <w:p w14:paraId="054A3280">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69865" cy="876935"/>
            <wp:effectExtent l="0" t="0" r="6985" b="18415"/>
            <wp:docPr id="5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
                    <pic:cNvPicPr>
                      <a:picLocks noChangeAspect="1"/>
                    </pic:cNvPicPr>
                  </pic:nvPicPr>
                  <pic:blipFill>
                    <a:blip r:embed="rId25"/>
                    <a:stretch>
                      <a:fillRect/>
                    </a:stretch>
                  </pic:blipFill>
                  <pic:spPr>
                    <a:xfrm>
                      <a:off x="0" y="0"/>
                      <a:ext cx="5269865" cy="876935"/>
                    </a:xfrm>
                    <a:prstGeom prst="rect">
                      <a:avLst/>
                    </a:prstGeom>
                    <a:noFill/>
                    <a:ln>
                      <a:noFill/>
                    </a:ln>
                  </pic:spPr>
                </pic:pic>
              </a:graphicData>
            </a:graphic>
          </wp:inline>
        </w:drawing>
      </w:r>
    </w:p>
    <w:p w14:paraId="0D64580F">
      <w:pPr>
        <w:keepNext/>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272405" cy="500380"/>
            <wp:effectExtent l="0" t="0" r="4445" b="13970"/>
            <wp:docPr id="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
                    <pic:cNvPicPr>
                      <a:picLocks noChangeAspect="1"/>
                    </pic:cNvPicPr>
                  </pic:nvPicPr>
                  <pic:blipFill>
                    <a:blip r:embed="rId26"/>
                    <a:stretch>
                      <a:fillRect/>
                    </a:stretch>
                  </pic:blipFill>
                  <pic:spPr>
                    <a:xfrm>
                      <a:off x="0" y="0"/>
                      <a:ext cx="5272405" cy="500380"/>
                    </a:xfrm>
                    <a:prstGeom prst="rect">
                      <a:avLst/>
                    </a:prstGeom>
                    <a:noFill/>
                    <a:ln>
                      <a:noFill/>
                    </a:ln>
                  </pic:spPr>
                </pic:pic>
              </a:graphicData>
            </a:graphic>
          </wp:inline>
        </w:drawing>
      </w:r>
    </w:p>
    <w:p w14:paraId="6F7C009E">
      <w:pPr>
        <w:keepNext/>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各级标题字体、行距不符合要求。</w:t>
      </w:r>
    </w:p>
    <w:p w14:paraId="1563E091">
      <w:pPr>
        <w:keepNext/>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制图</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部分图片模糊、清晰度低。</w:t>
      </w:r>
    </w:p>
    <w:p w14:paraId="21E47975">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宋体" w:hAnsi="宋体" w:eastAsia="宋体" w:cs="宋体"/>
          <w:b w:val="0"/>
          <w:sz w:val="24"/>
          <w:u w:val="none"/>
          <w:lang w:val="en-US" w:eastAsia="zh-CN"/>
        </w:rPr>
      </w:pPr>
      <w:r>
        <w:drawing>
          <wp:inline distT="0" distB="0" distL="114300" distR="114300">
            <wp:extent cx="4566920" cy="935990"/>
            <wp:effectExtent l="0" t="0" r="5080" b="16510"/>
            <wp:docPr id="5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pic:cNvPicPr>
                      <a:picLocks noChangeAspect="1"/>
                    </pic:cNvPicPr>
                  </pic:nvPicPr>
                  <pic:blipFill>
                    <a:blip r:embed="rId27"/>
                    <a:stretch>
                      <a:fillRect/>
                    </a:stretch>
                  </pic:blipFill>
                  <pic:spPr>
                    <a:xfrm>
                      <a:off x="0" y="0"/>
                      <a:ext cx="4566920" cy="935990"/>
                    </a:xfrm>
                    <a:prstGeom prst="rect">
                      <a:avLst/>
                    </a:prstGeom>
                    <a:noFill/>
                    <a:ln>
                      <a:noFill/>
                    </a:ln>
                  </pic:spPr>
                </pic:pic>
              </a:graphicData>
            </a:graphic>
          </wp:inline>
        </w:drawing>
      </w:r>
    </w:p>
    <w:p w14:paraId="506B3E22">
      <w:pPr>
        <w:keepNext/>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p>
    <w:p w14:paraId="6FC63F7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5）</w:t>
      </w:r>
      <w:r>
        <w:rPr>
          <w:rFonts w:hint="eastAsia" w:ascii="宋体" w:hAnsi="宋体" w:eastAsia="宋体" w:cs="宋体"/>
          <w:sz w:val="24"/>
          <w:szCs w:val="32"/>
        </w:rPr>
        <w:t>目录编号错误。技术报告目录中4.5.3出现两次——4.5.3土壤景观模型构建与空间推测和4.5.3 土壤推测制图结果与应用</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请自查全文字体格式、标点等，避免低级错误。</w:t>
      </w:r>
    </w:p>
    <w:p w14:paraId="7FC12B58">
      <w:pPr>
        <w:keepNext/>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pPr>
      <w:r>
        <w:drawing>
          <wp:inline distT="0" distB="0" distL="114300" distR="114300">
            <wp:extent cx="2828925" cy="971550"/>
            <wp:effectExtent l="0" t="0" r="9525" b="0"/>
            <wp:docPr id="5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3"/>
                    <pic:cNvPicPr>
                      <a:picLocks noChangeAspect="1"/>
                    </pic:cNvPicPr>
                  </pic:nvPicPr>
                  <pic:blipFill>
                    <a:blip r:embed="rId28"/>
                    <a:stretch>
                      <a:fillRect/>
                    </a:stretch>
                  </pic:blipFill>
                  <pic:spPr>
                    <a:xfrm>
                      <a:off x="0" y="0"/>
                      <a:ext cx="2828925" cy="971550"/>
                    </a:xfrm>
                    <a:prstGeom prst="rect">
                      <a:avLst/>
                    </a:prstGeom>
                    <a:noFill/>
                    <a:ln>
                      <a:noFill/>
                    </a:ln>
                  </pic:spPr>
                </pic:pic>
              </a:graphicData>
            </a:graphic>
          </wp:inline>
        </w:drawing>
      </w:r>
    </w:p>
    <w:p w14:paraId="05FC4896">
      <w:pPr>
        <w:keepNext/>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lang w:val="en-US"/>
        </w:rPr>
      </w:pPr>
      <w:r>
        <w:rPr>
          <w:rFonts w:hint="eastAsia" w:ascii="宋体" w:hAnsi="宋体" w:eastAsia="宋体" w:cs="宋体"/>
          <w:b w:val="0"/>
          <w:sz w:val="24"/>
          <w:u w:val="none"/>
          <w:lang w:eastAsia="zh-CN"/>
        </w:rPr>
        <w:t>（5）制表</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规范：表名格式不统一，</w:t>
      </w:r>
      <w:r>
        <w:rPr>
          <w:rFonts w:hint="eastAsia" w:ascii="宋体" w:hAnsi="宋体" w:eastAsia="宋体" w:cs="宋体"/>
          <w:b w:val="0"/>
          <w:sz w:val="24"/>
          <w:u w:val="none"/>
          <w:lang w:val="en-US" w:eastAsia="zh-CN"/>
        </w:rPr>
        <w:t>有的有空格、有的没有空格。</w:t>
      </w:r>
    </w:p>
    <w:p w14:paraId="2C4DAC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6C31FE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678F4F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194207D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27877E3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2CBFC2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1196D2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3A04A2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01EACFC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430CBD6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w:t>
      </w:r>
      <w:r>
        <w:rPr>
          <w:rFonts w:hint="eastAsia" w:ascii="宋体" w:hAnsi="宋体" w:eastAsia="宋体" w:cs="宋体"/>
          <w:b w:val="0"/>
          <w:sz w:val="24"/>
          <w:highlight w:val="none"/>
          <w:u w:val="none"/>
          <w:lang w:eastAsia="zh-CN"/>
        </w:rPr>
        <w:t>正确的图例；</w:t>
      </w:r>
    </w:p>
    <w:p w14:paraId="2E7D8D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33A30ED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59AFCAA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438D7F2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345BC9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675F5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F9ED817">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虚点对土壤类型代表性的证明</w:t>
      </w:r>
    </w:p>
    <w:p w14:paraId="07F67EC6">
      <w:pPr>
        <w:keepNext/>
        <w:keepLines w:val="0"/>
        <w:pageBreakBefore w:val="0"/>
        <w:widowControl w:val="0"/>
        <w:numPr>
          <w:ilvl w:val="0"/>
          <w:numId w:val="9"/>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推测制图的土种空间分布</w:t>
      </w:r>
      <w:r>
        <w:rPr>
          <w:rFonts w:hint="eastAsia" w:ascii="宋体" w:hAnsi="宋体" w:eastAsia="宋体" w:cs="宋体"/>
          <w:b w:val="0"/>
          <w:sz w:val="24"/>
          <w:u w:val="none"/>
          <w:lang w:val="en-US" w:eastAsia="zh-CN"/>
        </w:rPr>
        <w:t>图（矢量）。</w:t>
      </w:r>
    </w:p>
    <w:p w14:paraId="532B4A28">
      <w:pPr>
        <w:keepNext/>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对推测制图的效果进行评述，且突出最优和最劣情况。</w:t>
      </w:r>
    </w:p>
    <w:p w14:paraId="1E7C0B7A">
      <w:pPr>
        <w:keepNext/>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结合室内校核、野外校核和推测制图结果，明确给出土壤类型改变区提取和类型预判的依据。</w:t>
      </w:r>
    </w:p>
    <w:p w14:paraId="76F3AB17">
      <w:pPr>
        <w:keepNext/>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对本县区二普和三普土壤变化原因分析</w:t>
      </w:r>
      <w:r>
        <w:rPr>
          <w:rFonts w:hint="eastAsia" w:ascii="宋体" w:hAnsi="宋体" w:eastAsia="宋体" w:cs="宋体"/>
          <w:b w:val="0"/>
          <w:sz w:val="24"/>
          <w:u w:val="none"/>
          <w:lang w:val="en-US" w:eastAsia="zh-CN"/>
        </w:rPr>
        <w:t>较浅。</w:t>
      </w:r>
    </w:p>
    <w:p w14:paraId="1B0040ED">
      <w:pPr>
        <w:keepNext/>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二普土属前后不一致。第二章写二普10个土属，第四章比较时却写9个土属，请核实。</w:t>
      </w:r>
    </w:p>
    <w:p w14:paraId="035DBBCD">
      <w:pPr>
        <w:keepNext/>
        <w:keepLines w:val="0"/>
        <w:pageBreakBefore w:val="0"/>
        <w:widowControl w:val="0"/>
        <w:numPr>
          <w:ilvl w:val="0"/>
          <w:numId w:val="0"/>
        </w:numPr>
        <w:kinsoku/>
        <w:wordWrap/>
        <w:overflowPunct/>
        <w:topLinePunct w:val="0"/>
        <w:autoSpaceDE/>
        <w:autoSpaceDN/>
        <w:bidi w:val="0"/>
        <w:adjustRightInd/>
        <w:snapToGrid/>
        <w:spacing w:line="360" w:lineRule="auto"/>
        <w:ind w:leftChars="200"/>
        <w:jc w:val="left"/>
        <w:textAlignment w:val="auto"/>
        <w:rPr>
          <w:rFonts w:hint="eastAsia" w:ascii="宋体" w:hAnsi="宋体" w:eastAsia="宋体" w:cs="宋体"/>
          <w:b w:val="0"/>
          <w:sz w:val="24"/>
          <w:u w:val="none"/>
          <w:lang w:val="en-US" w:eastAsia="zh-CN"/>
        </w:rPr>
      </w:pPr>
      <w:r>
        <w:drawing>
          <wp:inline distT="0" distB="0" distL="114300" distR="114300">
            <wp:extent cx="3683635" cy="1080135"/>
            <wp:effectExtent l="0" t="0" r="12065" b="5715"/>
            <wp:docPr id="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4"/>
                    <pic:cNvPicPr>
                      <a:picLocks noChangeAspect="1"/>
                    </pic:cNvPicPr>
                  </pic:nvPicPr>
                  <pic:blipFill>
                    <a:blip r:embed="rId29"/>
                    <a:stretch>
                      <a:fillRect/>
                    </a:stretch>
                  </pic:blipFill>
                  <pic:spPr>
                    <a:xfrm>
                      <a:off x="0" y="0"/>
                      <a:ext cx="3683635" cy="1080135"/>
                    </a:xfrm>
                    <a:prstGeom prst="rect">
                      <a:avLst/>
                    </a:prstGeom>
                    <a:noFill/>
                    <a:ln>
                      <a:noFill/>
                    </a:ln>
                  </pic:spPr>
                </pic:pic>
              </a:graphicData>
            </a:graphic>
          </wp:inline>
        </w:drawing>
      </w:r>
    </w:p>
    <w:p w14:paraId="0BF0E7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479768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87821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54A4E6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728292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254C5A8">
      <w:pPr>
        <w:keepNext/>
        <w:keepLines w:val="0"/>
        <w:pageBreakBefore w:val="0"/>
        <w:widowControl w:val="0"/>
        <w:numPr>
          <w:ilvl w:val="0"/>
          <w:numId w:val="10"/>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目录</w:t>
      </w:r>
      <w:r>
        <w:rPr>
          <w:rFonts w:hint="eastAsia" w:ascii="宋体" w:hAnsi="宋体" w:eastAsia="宋体" w:cs="宋体"/>
          <w:b w:val="0"/>
          <w:sz w:val="24"/>
          <w:u w:val="none"/>
          <w:lang w:val="en-US" w:eastAsia="zh-CN"/>
        </w:rPr>
        <w:t>不</w:t>
      </w:r>
      <w:r>
        <w:rPr>
          <w:rFonts w:hint="eastAsia" w:ascii="宋体" w:hAnsi="宋体" w:eastAsia="宋体" w:cs="宋体"/>
          <w:b w:val="0"/>
          <w:sz w:val="24"/>
          <w:u w:val="none"/>
          <w:lang w:eastAsia="zh-CN"/>
        </w:rPr>
        <w:t>规范：</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图、表目录</w:t>
      </w:r>
      <w:r>
        <w:rPr>
          <w:rFonts w:hint="eastAsia" w:ascii="宋体" w:hAnsi="宋体" w:eastAsia="宋体" w:cs="宋体"/>
          <w:b w:val="0"/>
          <w:sz w:val="24"/>
          <w:u w:val="none"/>
          <w:lang w:val="en-US" w:eastAsia="zh-CN"/>
        </w:rPr>
        <w:t>。</w:t>
      </w:r>
    </w:p>
    <w:p w14:paraId="4CCE3C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2</w:t>
      </w:r>
      <w:r>
        <w:rPr>
          <w:rFonts w:hint="eastAsia" w:ascii="宋体" w:hAnsi="宋体" w:eastAsia="宋体" w:cs="宋体"/>
          <w:b w:val="0"/>
          <w:sz w:val="24"/>
          <w:u w:val="none"/>
          <w:lang w:eastAsia="zh-CN"/>
        </w:rPr>
        <w:t>）标题</w:t>
      </w:r>
      <w:r>
        <w:rPr>
          <w:rFonts w:hint="eastAsia" w:ascii="宋体" w:hAnsi="宋体" w:eastAsia="宋体" w:cs="宋体"/>
          <w:b w:val="0"/>
          <w:sz w:val="24"/>
          <w:u w:val="none"/>
          <w:lang w:val="en-US" w:eastAsia="zh-CN"/>
        </w:rPr>
        <w:t>字体、行距不</w:t>
      </w:r>
      <w:r>
        <w:rPr>
          <w:rFonts w:hint="eastAsia" w:ascii="宋体" w:hAnsi="宋体" w:eastAsia="宋体" w:cs="宋体"/>
          <w:b w:val="0"/>
          <w:sz w:val="24"/>
          <w:u w:val="none"/>
          <w:lang w:eastAsia="zh-CN"/>
        </w:rPr>
        <w:t>规范。</w:t>
      </w:r>
    </w:p>
    <w:p w14:paraId="3340A043">
      <w:pPr>
        <w:keepNext/>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4486275" cy="781050"/>
            <wp:effectExtent l="0" t="0" r="9525" b="0"/>
            <wp:docPr id="5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5"/>
                    <pic:cNvPicPr>
                      <a:picLocks noChangeAspect="1"/>
                    </pic:cNvPicPr>
                  </pic:nvPicPr>
                  <pic:blipFill>
                    <a:blip r:embed="rId30"/>
                    <a:stretch>
                      <a:fillRect/>
                    </a:stretch>
                  </pic:blipFill>
                  <pic:spPr>
                    <a:xfrm>
                      <a:off x="0" y="0"/>
                      <a:ext cx="4486275" cy="781050"/>
                    </a:xfrm>
                    <a:prstGeom prst="rect">
                      <a:avLst/>
                    </a:prstGeom>
                    <a:noFill/>
                    <a:ln>
                      <a:noFill/>
                    </a:ln>
                  </pic:spPr>
                </pic:pic>
              </a:graphicData>
            </a:graphic>
          </wp:inline>
        </w:drawing>
      </w:r>
    </w:p>
    <w:p w14:paraId="345C20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lang w:val="en-US" w:eastAsia="zh-CN"/>
        </w:rPr>
      </w:pPr>
      <w:r>
        <w:rPr>
          <w:rFonts w:hint="eastAsia" w:ascii="宋体" w:hAnsi="宋体" w:eastAsia="宋体" w:cs="宋体"/>
          <w:b w:val="0"/>
          <w:sz w:val="24"/>
          <w:u w:val="none"/>
          <w:lang w:eastAsia="zh-CN"/>
        </w:rPr>
        <w:t>（</w:t>
      </w:r>
      <w:r>
        <w:rPr>
          <w:rFonts w:hint="eastAsia" w:ascii="宋体" w:hAnsi="宋体" w:eastAsia="宋体" w:cs="宋体"/>
          <w:b w:val="0"/>
          <w:sz w:val="24"/>
          <w:u w:val="none"/>
          <w:lang w:val="en-US" w:eastAsia="zh-CN"/>
        </w:rPr>
        <w:t>3）</w:t>
      </w:r>
      <w:r>
        <w:rPr>
          <w:rFonts w:hint="eastAsia" w:ascii="宋体" w:hAnsi="宋体" w:eastAsia="宋体" w:cs="宋体"/>
          <w:b w:val="0"/>
          <w:sz w:val="24"/>
          <w:u w:val="none"/>
          <w:lang w:eastAsia="zh-CN"/>
        </w:rPr>
        <w:t>正文规范：正文、图名、表名、行距、全文涉及的数字及英文字母</w:t>
      </w:r>
      <w:r>
        <w:rPr>
          <w:rFonts w:hint="eastAsia" w:ascii="宋体" w:hAnsi="宋体" w:eastAsia="宋体" w:cs="宋体"/>
          <w:b w:val="0"/>
          <w:sz w:val="24"/>
          <w:u w:val="none"/>
          <w:lang w:val="en-US" w:eastAsia="zh-CN"/>
        </w:rPr>
        <w:t>须按要求进行统一标准</w:t>
      </w:r>
      <w:r>
        <w:rPr>
          <w:rFonts w:hint="eastAsia" w:ascii="宋体" w:hAnsi="宋体" w:eastAsia="宋体" w:cs="宋体"/>
          <w:b w:val="0"/>
          <w:sz w:val="24"/>
          <w:u w:val="none"/>
          <w:lang w:eastAsia="zh-CN"/>
        </w:rPr>
        <w:t>。</w:t>
      </w:r>
    </w:p>
    <w:p w14:paraId="645F772D">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25FFC1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56F59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3D1A30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2E38FBE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60D5BC76">
      <w:pPr>
        <w:keepNext/>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质量控制章节</w:t>
      </w:r>
      <w:r>
        <w:rPr>
          <w:rFonts w:hint="eastAsia" w:ascii="宋体" w:hAnsi="宋体" w:eastAsia="宋体" w:cs="宋体"/>
          <w:b w:val="0"/>
          <w:sz w:val="24"/>
          <w:u w:val="none"/>
          <w:lang w:val="en-US" w:eastAsia="zh-CN"/>
        </w:rPr>
        <w:t>没有</w:t>
      </w:r>
      <w:r>
        <w:rPr>
          <w:rFonts w:hint="eastAsia" w:ascii="宋体" w:hAnsi="宋体" w:eastAsia="宋体" w:cs="宋体"/>
          <w:b w:val="0"/>
          <w:sz w:val="24"/>
          <w:u w:val="none"/>
          <w:lang w:eastAsia="zh-CN"/>
        </w:rPr>
        <w:t>单独列为二级标题，独立成章节</w:t>
      </w:r>
    </w:p>
    <w:p w14:paraId="22A86AD8">
      <w:pPr>
        <w:keepNext/>
        <w:keepLines w:val="0"/>
        <w:pageBreakBefore w:val="0"/>
        <w:widowControl w:val="0"/>
        <w:numPr>
          <w:ilvl w:val="0"/>
          <w:numId w:val="11"/>
        </w:numPr>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结论与建议</w:t>
      </w:r>
      <w:r>
        <w:rPr>
          <w:rFonts w:hint="eastAsia" w:ascii="宋体" w:hAnsi="宋体" w:eastAsia="宋体" w:cs="宋体"/>
          <w:b w:val="0"/>
          <w:sz w:val="24"/>
          <w:u w:val="none"/>
          <w:lang w:val="en-US" w:eastAsia="zh-CN"/>
        </w:rPr>
        <w:t>较为单薄，建议</w:t>
      </w:r>
      <w:r>
        <w:rPr>
          <w:rFonts w:hint="default" w:ascii="宋体" w:hAnsi="宋体" w:eastAsia="宋体" w:cs="宋体"/>
          <w:b w:val="0"/>
          <w:sz w:val="24"/>
          <w:u w:val="none"/>
          <w:lang w:val="en-US" w:eastAsia="zh-CN"/>
        </w:rPr>
        <w:t>完整给出土壤改良的针对性技术建议及利用对策</w:t>
      </w:r>
      <w:r>
        <w:rPr>
          <w:rFonts w:hint="eastAsia" w:ascii="宋体" w:hAnsi="宋体" w:eastAsia="宋体" w:cs="宋体"/>
          <w:b w:val="0"/>
          <w:sz w:val="24"/>
          <w:u w:val="none"/>
          <w:lang w:val="en-US" w:eastAsia="zh-CN"/>
        </w:rPr>
        <w:t>。</w:t>
      </w:r>
    </w:p>
    <w:p w14:paraId="4CA1A17A">
      <w:pPr>
        <w:rPr>
          <w:rFonts w:hint="default"/>
          <w:sz w:val="24"/>
          <w:szCs w:val="24"/>
          <w:lang w:val="en-US" w:eastAsia="zh-CN"/>
        </w:rPr>
      </w:pPr>
      <w:r>
        <w:rPr>
          <w:rFonts w:hint="default"/>
          <w:sz w:val="24"/>
          <w:szCs w:val="24"/>
          <w:lang w:val="en-US" w:eastAsia="zh-CN"/>
        </w:rPr>
        <w:br w:type="page"/>
      </w:r>
    </w:p>
    <w:p w14:paraId="3E74B82B">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第二部分：土壤属性图成果质控意见</w:t>
      </w:r>
    </w:p>
    <w:p w14:paraId="56F632EA">
      <w:pPr>
        <w:ind w:firstLine="1680" w:firstLineChars="600"/>
        <w:jc w:val="both"/>
        <w:rPr>
          <w:rFonts w:hint="eastAsia"/>
          <w:sz w:val="28"/>
          <w:szCs w:val="28"/>
          <w:lang w:val="en-US" w:eastAsia="zh-CN"/>
        </w:rPr>
      </w:pPr>
      <w:bookmarkStart w:id="12" w:name="_GoBack"/>
      <w:bookmarkEnd w:id="12"/>
      <w:r>
        <w:rPr>
          <w:rFonts w:hint="eastAsia"/>
          <w:sz w:val="28"/>
          <w:szCs w:val="28"/>
          <w:lang w:val="en-US" w:eastAsia="zh-CN"/>
        </w:rPr>
        <w:t>土壤属性图质控问题反馈——辛集市</w:t>
      </w:r>
    </w:p>
    <w:p w14:paraId="3298E80A">
      <w:pPr>
        <w:numPr>
          <w:ilvl w:val="0"/>
          <w:numId w:val="12"/>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(一)数据库结构：</w:t>
      </w:r>
    </w:p>
    <w:p w14:paraId="78E3B92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1.按目录结构整理数据库，数据库内容是否完整。（数据结构要求参考《第三次全国土壤普查土壤属性图与专题图编制技术规范》7.2 制图成果数据质量要求）</w:t>
      </w:r>
    </w:p>
    <w:p w14:paraId="7DE09812">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缺失元数据</w:t>
      </w:r>
    </w:p>
    <w:p w14:paraId="183F9D6A">
      <w:pPr>
        <w:numPr>
          <w:ilvl w:val="0"/>
          <w:numId w:val="0"/>
        </w:numPr>
        <w:spacing w:line="360" w:lineRule="auto"/>
        <w:jc w:val="both"/>
      </w:pPr>
      <w:r>
        <w:drawing>
          <wp:inline distT="0" distB="0" distL="114300" distR="114300">
            <wp:extent cx="5451475" cy="2113915"/>
            <wp:effectExtent l="0" t="0" r="9525" b="698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31"/>
                    <a:stretch>
                      <a:fillRect/>
                    </a:stretch>
                  </pic:blipFill>
                  <pic:spPr>
                    <a:xfrm>
                      <a:off x="0" y="0"/>
                      <a:ext cx="5451475" cy="2113915"/>
                    </a:xfrm>
                    <a:prstGeom prst="rect">
                      <a:avLst/>
                    </a:prstGeom>
                    <a:noFill/>
                    <a:ln>
                      <a:noFill/>
                    </a:ln>
                  </pic:spPr>
                </pic:pic>
              </a:graphicData>
            </a:graphic>
          </wp:inline>
        </w:drawing>
      </w:r>
    </w:p>
    <w:p w14:paraId="53E828E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缺失文字报告成果</w:t>
      </w:r>
    </w:p>
    <w:p w14:paraId="18CD67C9">
      <w:pPr>
        <w:numPr>
          <w:ilvl w:val="0"/>
          <w:numId w:val="0"/>
        </w:numPr>
        <w:spacing w:line="360" w:lineRule="auto"/>
        <w:jc w:val="both"/>
        <w:rPr>
          <w:rFonts w:hint="default"/>
          <w:lang w:val="en-US" w:eastAsia="zh-CN"/>
        </w:rPr>
      </w:pPr>
      <w:r>
        <w:rPr>
          <w:rFonts w:hint="default"/>
          <w:lang w:val="en-US" w:eastAsia="zh-CN"/>
        </w:rPr>
        <w:drawing>
          <wp:inline distT="0" distB="0" distL="114300" distR="114300">
            <wp:extent cx="5505450" cy="2468245"/>
            <wp:effectExtent l="0" t="0" r="6350" b="8255"/>
            <wp:docPr id="6" name="图片 6" descr="55665df675f9b7bb78333c150a8c0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5665df675f9b7bb78333c150a8c0f9"/>
                    <pic:cNvPicPr>
                      <a:picLocks noChangeAspect="1"/>
                    </pic:cNvPicPr>
                  </pic:nvPicPr>
                  <pic:blipFill>
                    <a:blip r:embed="rId32"/>
                    <a:stretch>
                      <a:fillRect/>
                    </a:stretch>
                  </pic:blipFill>
                  <pic:spPr>
                    <a:xfrm>
                      <a:off x="0" y="0"/>
                      <a:ext cx="5505450" cy="2468245"/>
                    </a:xfrm>
                    <a:prstGeom prst="rect">
                      <a:avLst/>
                    </a:prstGeom>
                  </pic:spPr>
                </pic:pic>
              </a:graphicData>
            </a:graphic>
          </wp:inline>
        </w:drawing>
      </w:r>
    </w:p>
    <w:p w14:paraId="3F00CAF3">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28EAD75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2.提交的成果与目录结构中的文件名称要求是否一致。</w:t>
      </w:r>
    </w:p>
    <w:p w14:paraId="57BDF4BC">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未发现问题</w:t>
      </w:r>
    </w:p>
    <w:p w14:paraId="71F3E073">
      <w:pPr>
        <w:numPr>
          <w:ilvl w:val="0"/>
          <w:numId w:val="12"/>
        </w:numPr>
        <w:spacing w:line="360" w:lineRule="auto"/>
        <w:jc w:val="both"/>
        <w:rPr>
          <w:rFonts w:hint="eastAsia"/>
          <w:b/>
          <w:bCs/>
          <w:color w:val="000000" w:themeColor="text1"/>
          <w:sz w:val="24"/>
          <w:szCs w:val="24"/>
          <w:lang w:val="en-US" w:eastAsia="zh-CN"/>
          <w14:textFill>
            <w14:solidFill>
              <w14:schemeClr w14:val="tx1"/>
            </w14:solidFill>
          </w14:textFill>
        </w:rPr>
      </w:pPr>
      <w:r>
        <w:rPr>
          <w:rFonts w:hint="eastAsia"/>
          <w:b/>
          <w:bCs/>
          <w:color w:val="000000" w:themeColor="text1"/>
          <w:sz w:val="24"/>
          <w:szCs w:val="24"/>
          <w:lang w:val="en-US" w:eastAsia="zh-CN"/>
          <w14:textFill>
            <w14:solidFill>
              <w14:schemeClr w14:val="tx1"/>
            </w14:solidFill>
          </w14:textFill>
        </w:rPr>
        <w:t>制图过程</w:t>
      </w:r>
    </w:p>
    <w:p w14:paraId="22589CF4">
      <w:pPr>
        <w:numPr>
          <w:ilvl w:val="0"/>
          <w:numId w:val="0"/>
        </w:numPr>
        <w:spacing w:line="360" w:lineRule="auto"/>
        <w:jc w:val="both"/>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bCs/>
          <w:color w:val="000000" w:themeColor="text1"/>
          <w:sz w:val="24"/>
          <w:szCs w:val="24"/>
          <w:lang w:val="en-US" w:eastAsia="zh-CN"/>
          <w14:textFill>
            <w14:solidFill>
              <w14:schemeClr w14:val="tx1"/>
            </w14:solidFill>
          </w14:textFill>
        </w:rPr>
        <w:t>(一)三普样点</w:t>
      </w:r>
    </w:p>
    <w:p w14:paraId="595566F1">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1.数据库中提交入模属性样点矢量数据（shp格式）</w:t>
      </w:r>
    </w:p>
    <w:p w14:paraId="5EB9367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是</w:t>
      </w:r>
    </w:p>
    <w:p w14:paraId="337D3911">
      <w:pPr>
        <w:numPr>
          <w:ilvl w:val="0"/>
          <w:numId w:val="0"/>
        </w:numPr>
        <w:spacing w:line="360" w:lineRule="auto"/>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2.样点经纬度是否为定位经纬度、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CGCS2000坐标系。</w:t>
      </w:r>
    </w:p>
    <w:p w14:paraId="5232E191">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是，存在地理坐标系，投影坐标系</w:t>
      </w: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w:t>
      </w:r>
    </w:p>
    <w:p w14:paraId="5253FC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3.剖面样点</w:t>
      </w:r>
      <w:r>
        <w:rPr>
          <w:rFonts w:hint="default" w:ascii="Times New Roman" w:hAnsi="Times New Roman" w:eastAsia="宋体" w:cs="Times New Roman"/>
          <w:b w:val="0"/>
          <w:bCs w:val="0"/>
          <w:sz w:val="24"/>
          <w:szCs w:val="24"/>
          <w:lang w:val="en-US" w:eastAsia="zh-CN"/>
        </w:rPr>
        <w:t>土壤属性值是否根据土层厚度进行加权平均处理（0-20cm）</w:t>
      </w:r>
    </w:p>
    <w:p w14:paraId="6FB1DE6D">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数据库中未找到处理结果，报告中应提及（报告缺失无法核实）</w:t>
      </w:r>
    </w:p>
    <w:p w14:paraId="53608D27">
      <w:pPr>
        <w:numPr>
          <w:ilvl w:val="0"/>
          <w:numId w:val="0"/>
        </w:numPr>
        <w:spacing w:line="360" w:lineRule="auto"/>
        <w:jc w:val="both"/>
        <w:rPr>
          <w:rFonts w:hint="default" w:ascii="Times New Roman" w:hAnsi="Times New Roman" w:eastAsia="宋体" w:cs="Times New Roman"/>
          <w:b w:val="0"/>
          <w:bCs w:val="0"/>
          <w:color w:val="2E54A1" w:themeColor="accent1" w:themeShade="BF"/>
          <w:sz w:val="24"/>
          <w:szCs w:val="24"/>
          <w:lang w:val="en-US" w:eastAsia="zh-CN"/>
        </w:rPr>
      </w:pPr>
      <w:r>
        <w:rPr>
          <w:rFonts w:hint="default" w:ascii="Times New Roman" w:hAnsi="Times New Roman" w:eastAsia="宋体" w:cs="Times New Roman"/>
          <w:b w:val="0"/>
          <w:bCs w:val="0"/>
          <w:color w:val="2E54A1" w:themeColor="accent1" w:themeShade="BF"/>
          <w:sz w:val="24"/>
          <w:szCs w:val="24"/>
          <w:lang w:val="en-US" w:eastAsia="zh-CN"/>
        </w:rPr>
        <w:t>4.入模样点是否针对每个土壤属性指标划分训练集与验证集。</w:t>
      </w:r>
    </w:p>
    <w:p w14:paraId="4BD791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color w:val="2E54A1" w:themeColor="accent1" w:themeShade="BF"/>
          <w:sz w:val="24"/>
          <w:szCs w:val="24"/>
          <w:lang w:val="en-US" w:eastAsia="zh-CN"/>
        </w:rPr>
      </w:pPr>
      <w:r>
        <w:rPr>
          <w:rFonts w:hint="default" w:ascii="Times New Roman" w:hAnsi="Times New Roman" w:eastAsia="宋体" w:cs="Times New Roman"/>
          <w:b w:val="0"/>
          <w:bCs w:val="0"/>
          <w:color w:val="2E54A1" w:themeColor="accent1" w:themeShade="BF"/>
          <w:sz w:val="24"/>
          <w:szCs w:val="24"/>
          <w:lang w:val="en-US" w:eastAsia="zh-CN"/>
        </w:rPr>
        <w:t>是/否。训练集与验证集比例是否与文字报告中的数据一致。</w:t>
      </w:r>
      <w:r>
        <w:rPr>
          <w:rFonts w:hint="eastAsia" w:ascii="Times New Roman" w:hAnsi="Times New Roman" w:eastAsia="宋体" w:cs="Times New Roman"/>
          <w:b w:val="0"/>
          <w:bCs w:val="0"/>
          <w:color w:val="2E54A1" w:themeColor="accent1" w:themeShade="BF"/>
          <w:sz w:val="24"/>
          <w:szCs w:val="24"/>
          <w:lang w:val="en-US" w:eastAsia="zh-CN"/>
        </w:rPr>
        <w:t>（报告缺失无法核实）</w:t>
      </w:r>
    </w:p>
    <w:p w14:paraId="4F48AC3D">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在入模之前需要对属性数据进行正态分布检验，查看提交数据中</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不</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存在正态性检验结果数据。</w:t>
      </w:r>
    </w:p>
    <w:p w14:paraId="3AA737F6">
      <w:pPr>
        <w:keepNext w:val="0"/>
        <w:keepLines w:val="0"/>
        <w:pageBreakBefore w:val="0"/>
        <w:widowControl w:val="0"/>
        <w:kinsoku/>
        <w:wordWrap/>
        <w:overflowPunct/>
        <w:topLinePunct w:val="0"/>
        <w:autoSpaceDE/>
        <w:autoSpaceDN/>
        <w:bidi w:val="0"/>
        <w:adjustRightInd/>
        <w:snapToGrid/>
        <w:spacing w:before="0" w:after="0" w:line="360" w:lineRule="auto"/>
        <w:jc w:val="both"/>
        <w:textAlignment w:val="auto"/>
        <w:rPr>
          <w:rFonts w:ascii="宋体" w:hAnsi="宋体" w:eastAsia="宋体" w:cs="宋体"/>
          <w:color w:val="auto"/>
          <w:sz w:val="24"/>
          <w:szCs w:val="24"/>
        </w:rPr>
      </w:pPr>
      <w:r>
        <w:rPr>
          <w:rFonts w:hint="eastAsia" w:ascii="宋体" w:hAnsi="宋体" w:eastAsia="宋体" w:cs="宋体"/>
          <w:color w:val="auto"/>
          <w:sz w:val="24"/>
          <w:szCs w:val="24"/>
          <w:lang w:val="en-US" w:eastAsia="zh-CN"/>
        </w:rPr>
        <w:t>5.</w:t>
      </w:r>
      <w:r>
        <w:rPr>
          <w:rFonts w:ascii="宋体" w:hAnsi="宋体" w:eastAsia="宋体" w:cs="宋体"/>
          <w:color w:val="auto"/>
          <w:sz w:val="24"/>
          <w:szCs w:val="24"/>
        </w:rPr>
        <w:t>数据库中砂粒，粉粒，黏粒的栅格计算器相加</w:t>
      </w:r>
      <w:r>
        <w:rPr>
          <w:rFonts w:hint="eastAsia" w:ascii="宋体" w:hAnsi="宋体" w:eastAsia="宋体" w:cs="宋体"/>
          <w:color w:val="auto"/>
          <w:sz w:val="24"/>
          <w:szCs w:val="24"/>
          <w:lang w:val="en-US" w:eastAsia="zh-CN"/>
        </w:rPr>
        <w:t>是否</w:t>
      </w:r>
      <w:r>
        <w:rPr>
          <w:rFonts w:ascii="宋体" w:hAnsi="宋体" w:eastAsia="宋体" w:cs="宋体"/>
          <w:color w:val="auto"/>
          <w:sz w:val="24"/>
          <w:szCs w:val="24"/>
        </w:rPr>
        <w:t>100%</w:t>
      </w:r>
    </w:p>
    <w:p w14:paraId="21C32F04">
      <w:pPr>
        <w:numPr>
          <w:ilvl w:val="0"/>
          <w:numId w:val="0"/>
        </w:numPr>
        <w:spacing w:line="360" w:lineRule="auto"/>
        <w:ind w:firstLine="480" w:firstLineChars="200"/>
        <w:jc w:val="both"/>
        <w:rPr>
          <w:rFonts w:hint="default" w:ascii="Times New Roman" w:hAnsi="Times New Roman" w:eastAsia="宋体" w:cs="Times New Roman"/>
          <w:b w:val="0"/>
          <w:bCs w:val="0"/>
          <w:color w:val="auto"/>
          <w:sz w:val="24"/>
          <w:szCs w:val="24"/>
          <w:lang w:val="en-US" w:eastAsia="zh-CN"/>
        </w:rPr>
      </w:pPr>
      <w:r>
        <w:rPr>
          <w:rFonts w:hint="eastAsia" w:ascii="Times New Roman" w:hAnsi="Times New Roman" w:eastAsia="宋体" w:cs="Times New Roman"/>
          <w:b w:val="0"/>
          <w:bCs w:val="0"/>
          <w:color w:val="auto"/>
          <w:sz w:val="24"/>
          <w:szCs w:val="24"/>
          <w:lang w:val="en-US" w:eastAsia="zh-CN"/>
        </w:rPr>
        <w:t>不符合</w:t>
      </w:r>
    </w:p>
    <w:p w14:paraId="237EDBC3">
      <w:pPr>
        <w:numPr>
          <w:ilvl w:val="0"/>
          <w:numId w:val="0"/>
        </w:numPr>
        <w:spacing w:line="360" w:lineRule="auto"/>
        <w:jc w:val="both"/>
        <w:rPr>
          <w:rFonts w:hint="default" w:ascii="Times New Roman" w:hAnsi="Times New Roman" w:eastAsia="宋体" w:cs="Times New Roman"/>
          <w:b w:val="0"/>
          <w:bCs w:val="0"/>
          <w:color w:val="2E54A1" w:themeColor="accent1" w:themeShade="BF"/>
          <w:sz w:val="24"/>
          <w:szCs w:val="24"/>
          <w:lang w:val="en-US" w:eastAsia="zh-CN"/>
        </w:rPr>
      </w:pPr>
      <w:r>
        <w:drawing>
          <wp:inline distT="0" distB="0" distL="114300" distR="114300">
            <wp:extent cx="4736465" cy="2835910"/>
            <wp:effectExtent l="0" t="0" r="63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3"/>
                    <a:stretch>
                      <a:fillRect/>
                    </a:stretch>
                  </pic:blipFill>
                  <pic:spPr>
                    <a:xfrm>
                      <a:off x="0" y="0"/>
                      <a:ext cx="4736465" cy="2835910"/>
                    </a:xfrm>
                    <a:prstGeom prst="rect">
                      <a:avLst/>
                    </a:prstGeom>
                    <a:noFill/>
                    <a:ln>
                      <a:noFill/>
                    </a:ln>
                  </pic:spPr>
                </pic:pic>
              </a:graphicData>
            </a:graphic>
          </wp:inline>
        </w:drawing>
      </w: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(二)历史样点</w:t>
      </w:r>
    </w:p>
    <w:p w14:paraId="3DE448AE">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1.要求土壤二普、测土配方施肥（采集时间应为2008-2010年）、耕地地力监测样点数据，三者至少有一个。</w:t>
      </w:r>
    </w:p>
    <w:p w14:paraId="2923912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缺失历史样点数据</w:t>
      </w:r>
    </w:p>
    <w:p w14:paraId="009D37A6">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2.是否将历史样点数据转为矢量（shp）格式并生成相应的栅格数据（Geotiff）</w:t>
      </w:r>
    </w:p>
    <w:p w14:paraId="10ADBBCE">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缺失历史样点数据</w:t>
      </w:r>
    </w:p>
    <w:p w14:paraId="1D8EDC6C">
      <w:pPr>
        <w:numPr>
          <w:ilvl w:val="0"/>
          <w:numId w:val="13"/>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007F47FA">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缺失历史样点数据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11A25CEB">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1.坐标系需要统一，统一使用三度带且所有环境变量在同一分带下</w:t>
      </w:r>
    </w:p>
    <w:p w14:paraId="3EBB8FBC">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2AD39696">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2.审核入模环境变量图层数据是否为栅格（Geotiff）格式</w:t>
      </w:r>
    </w:p>
    <w:p w14:paraId="64BAD6E1">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highlight w:val="none"/>
          <w:lang w:val="en-US" w:eastAsia="zh-CN"/>
          <w14:textFill>
            <w14:solidFill>
              <w14:schemeClr w14:val="tx1"/>
            </w14:solidFill>
          </w14:textFill>
        </w:rPr>
        <w:t>未见问题</w:t>
      </w:r>
    </w:p>
    <w:p w14:paraId="7B4EB469">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3.坐标与投影是否为CGCS2000坐标系和高斯-克吕格投影，空间分辨率是否统一为30米</w:t>
      </w:r>
    </w:p>
    <w:p w14:paraId="2789C3E9">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144F1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4.各个环境变量图层在空</w:t>
      </w:r>
      <w:r>
        <w:rPr>
          <w:rFonts w:hint="eastAsia" w:ascii="Times New Roman" w:hAnsi="Times New Roman" w:eastAsia="宋体" w:cs="Times New Roman"/>
          <w:b w:val="0"/>
          <w:bCs w:val="0"/>
          <w:sz w:val="24"/>
          <w:szCs w:val="24"/>
          <w:lang w:val="en-US" w:eastAsia="zh-CN"/>
        </w:rPr>
        <w:t>间上是否严格匹配（栅格四至一一对应、像素空间完全吻合）</w:t>
      </w:r>
    </w:p>
    <w:p w14:paraId="5F43B5D3">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52EE9C6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03ADE5CD">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6.环境变量制备的年限需要在报告中说明</w:t>
      </w:r>
    </w:p>
    <w:p w14:paraId="269C2CBA">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报告中查看是否存在文字或表格确定选取的环境变量的年份</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439732B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未进行数值化处理，无法核实</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6D4D5EC6">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w:t>
      </w:r>
      <w:r>
        <w:rPr>
          <w:rFonts w:hint="default" w:ascii="Times New Roman" w:hAnsi="Times New Roman" w:eastAsia="宋体" w:cs="Times New Roman"/>
          <w:b w:val="0"/>
          <w:bCs w:val="0"/>
          <w:color w:val="2E54A1" w:themeColor="accent1" w:themeShade="BF"/>
          <w:sz w:val="24"/>
          <w:szCs w:val="24"/>
          <w:lang w:val="en-US" w:eastAsia="zh-CN"/>
        </w:rPr>
        <w:t>审核气候、植被环境变量的制备是否采用长时间序列数据</w:t>
      </w:r>
      <w:r>
        <w:rPr>
          <w:rFonts w:hint="eastAsia" w:ascii="Times New Roman" w:hAnsi="Times New Roman" w:eastAsia="宋体" w:cs="Times New Roman"/>
          <w:b w:val="0"/>
          <w:bCs w:val="0"/>
          <w:color w:val="2E54A1" w:themeColor="accent1" w:themeShade="BF"/>
          <w:sz w:val="24"/>
          <w:szCs w:val="24"/>
          <w:lang w:val="en-US" w:eastAsia="zh-CN"/>
        </w:rPr>
        <w:t>（报告缺失无法核实）</w:t>
      </w:r>
    </w:p>
    <w:p w14:paraId="1436C10B">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气候变量应当是多年均值。气温降水应当是近20年均值，植被数据（NDVI、叶面积指数等）应当是5-10年数据。</w:t>
      </w:r>
    </w:p>
    <w:p w14:paraId="744057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74291BE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分类变量未进行处理。</w:t>
      </w:r>
    </w:p>
    <w:p w14:paraId="78A7279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0AA7362A">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 xml:space="preserve"> 存在问题，类型问题请核实修改。</w:t>
      </w:r>
    </w:p>
    <w:p w14:paraId="35E6B163">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66055" cy="2933065"/>
            <wp:effectExtent l="0" t="0" r="444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4"/>
                    <a:stretch>
                      <a:fillRect/>
                    </a:stretch>
                  </pic:blipFill>
                  <pic:spPr>
                    <a:xfrm>
                      <a:off x="0" y="0"/>
                      <a:ext cx="5266055" cy="2933065"/>
                    </a:xfrm>
                    <a:prstGeom prst="rect">
                      <a:avLst/>
                    </a:prstGeom>
                    <a:noFill/>
                    <a:ln>
                      <a:noFill/>
                    </a:ln>
                  </pic:spPr>
                </pic:pic>
              </a:graphicData>
            </a:graphic>
          </wp:inline>
        </w:drawing>
      </w:r>
    </w:p>
    <w:p w14:paraId="661FA5FA">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r>
        <w:rPr>
          <w:rFonts w:hint="eastAsia" w:ascii="Times New Roman" w:hAnsi="Times New Roman" w:eastAsia="宋体" w:cs="Times New Roman"/>
          <w:b w:val="0"/>
          <w:bCs w:val="0"/>
          <w:color w:val="2E54A1" w:themeColor="accent1" w:themeShade="BF"/>
          <w:sz w:val="24"/>
          <w:szCs w:val="24"/>
          <w:lang w:val="en-US" w:eastAsia="zh-CN"/>
        </w:rPr>
        <w:t>（报告缺失无法核实）</w:t>
      </w:r>
    </w:p>
    <w:p w14:paraId="4E200C99">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1.速磷速钾的环境变量重要性排序中将自然因素排在前面</w:t>
      </w:r>
    </w:p>
    <w:p w14:paraId="256B53F6">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气候、植被不应对该两个属性影响因素大</w:t>
      </w:r>
    </w:p>
    <w:p w14:paraId="75C0EF0A">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2.入模环境变量存在共线性、用土壤属性作为环境变量</w:t>
      </w:r>
    </w:p>
    <w:p w14:paraId="61FB720C">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查看报告中是否存在共线性分析，相关性分析，环境变量的选取中是否存在使用已经预测的土壤属性作为环境变量的情况。</w:t>
      </w:r>
    </w:p>
    <w:p w14:paraId="2BE8DADF">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(六)制图模型或方法选择合理</w:t>
      </w:r>
      <w:r>
        <w:rPr>
          <w:rFonts w:hint="eastAsia" w:ascii="Times New Roman" w:hAnsi="Times New Roman" w:eastAsia="宋体" w:cs="Times New Roman"/>
          <w:b w:val="0"/>
          <w:bCs w:val="0"/>
          <w:color w:val="2E54A1" w:themeColor="accent1" w:themeShade="BF"/>
          <w:sz w:val="24"/>
          <w:szCs w:val="24"/>
          <w:lang w:val="en-US" w:eastAsia="zh-CN"/>
        </w:rPr>
        <w:t>（报告缺失无法核实）</w:t>
      </w:r>
    </w:p>
    <w:p w14:paraId="41ECB1E3">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1.山区选取普通克里格或全域采用IDW进行属性制图.</w:t>
      </w:r>
    </w:p>
    <w:p w14:paraId="1534C03D">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山区不能使用普通克里格或全域采用IDW。</w:t>
      </w:r>
    </w:p>
    <w:p w14:paraId="34ABB7AF">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2.耕层厚度采用以点带面、机器学习方法进行制图</w:t>
      </w:r>
    </w:p>
    <w:p w14:paraId="5FCD4B82">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耕层厚度的预测是采用以点带面，赋值预测，耕层厚度预测是耕地，而不是全域，耕层厚度不能使用机器学习吗，模型预测。</w:t>
      </w:r>
    </w:p>
    <w:p w14:paraId="19BD90CE">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r>
        <w:rPr>
          <w:rFonts w:hint="eastAsia" w:ascii="Times New Roman" w:hAnsi="Times New Roman" w:eastAsia="宋体" w:cs="Times New Roman"/>
          <w:b w:val="0"/>
          <w:bCs w:val="0"/>
          <w:color w:val="2E54A1" w:themeColor="accent1" w:themeShade="BF"/>
          <w:sz w:val="24"/>
          <w:szCs w:val="24"/>
          <w:lang w:val="en-US" w:eastAsia="zh-CN"/>
        </w:rPr>
        <w:t>（报告缺失无法核实）</w:t>
      </w:r>
    </w:p>
    <w:p w14:paraId="0E1B2FC2">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1.精度评价指标(用R2、RMSE)过高或过低</w:t>
      </w:r>
    </w:p>
    <w:p w14:paraId="0D563EF9">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2.报告中是否存在制图结果的验证评价和分析</w:t>
      </w:r>
    </w:p>
    <w:p w14:paraId="1086D26E">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内容是否合理，是否与数据对应</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1.乡镇统计表不能只统计耕地的结果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未见问题</w:t>
      </w:r>
    </w:p>
    <w:p w14:paraId="5FECC4A6">
      <w:pPr>
        <w:numPr>
          <w:ilvl w:val="0"/>
          <w:numId w:val="14"/>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乡镇耕地统计结果应该和分地类统计的耕地结果能对齐</w:t>
      </w:r>
    </w:p>
    <w:p w14:paraId="3F1CF7D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2834640" cy="5873115"/>
            <wp:effectExtent l="0" t="0" r="1016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35"/>
                    <a:stretch>
                      <a:fillRect/>
                    </a:stretch>
                  </pic:blipFill>
                  <pic:spPr>
                    <a:xfrm>
                      <a:off x="0" y="0"/>
                      <a:ext cx="2834640" cy="5873115"/>
                    </a:xfrm>
                    <a:prstGeom prst="rect">
                      <a:avLst/>
                    </a:prstGeom>
                    <a:noFill/>
                    <a:ln>
                      <a:noFill/>
                    </a:ln>
                  </pic:spPr>
                </pic:pic>
              </a:graphicData>
            </a:graphic>
          </wp:inline>
        </w:drawing>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56F79BB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参考《全国九大农区、省级耕地质量监测指标分级标准的通知》</w:t>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4.分级图缺少注记</w:t>
      </w:r>
    </w:p>
    <w:p w14:paraId="02D3696A">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5.耕层质地按12级分级的标准进行上图，颜色按GB 45298-2025的标准上图，酸碱度同步参考</w:t>
      </w:r>
    </w:p>
    <w:p w14:paraId="203CF263">
      <w:pPr>
        <w:numPr>
          <w:ilvl w:val="0"/>
          <w:numId w:val="0"/>
        </w:numPr>
        <w:spacing w:line="360" w:lineRule="auto"/>
        <w:ind w:firstLine="480" w:firstLineChars="200"/>
        <w:jc w:val="both"/>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未见问题</w:t>
      </w:r>
    </w:p>
    <w:p w14:paraId="1B2299C7">
      <w:pPr>
        <w:numPr>
          <w:ilvl w:val="0"/>
          <w:numId w:val="12"/>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0C55D45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图面内容配置、要素搭配、图例等是否完全符合技术规范；图名、比例尺等图廓信息是否符合规范；配色是否符合规范；是否符合A3图幅要求；基础地理要素标注是否符合规范；</w:t>
      </w:r>
    </w:p>
    <w:p w14:paraId="6EF875D0">
      <w:pPr>
        <w:numPr>
          <w:ilvl w:val="0"/>
          <w:numId w:val="0"/>
        </w:numPr>
        <w:spacing w:line="360" w:lineRule="auto"/>
        <w:ind w:firstLine="480" w:firstLineChars="200"/>
        <w:jc w:val="both"/>
        <w:rPr>
          <w:rFonts w:hint="eastAsia" w:cs="Times New Roman"/>
          <w:color w:val="auto"/>
          <w:kern w:val="2"/>
          <w:sz w:val="24"/>
          <w:szCs w:val="24"/>
          <w:lang w:val="en-US" w:eastAsia="zh-CN" w:bidi="ar-SA"/>
        </w:rPr>
      </w:pPr>
      <w:r>
        <w:rPr>
          <w:rFonts w:hint="eastAsia" w:ascii="Times New Roman" w:hAnsi="Times New Roman" w:eastAsia="宋体" w:cs="Times New Roman"/>
          <w:b w:val="0"/>
          <w:bCs w:val="0"/>
          <w:sz w:val="24"/>
          <w:szCs w:val="24"/>
          <w:lang w:val="en-US" w:eastAsia="zh-CN"/>
        </w:rPr>
        <w:t>审核发现以下问题：</w:t>
      </w:r>
    </w:p>
    <w:p w14:paraId="3521CA3C">
      <w:pPr>
        <w:numPr>
          <w:ilvl w:val="0"/>
          <w:numId w:val="0"/>
        </w:numPr>
        <w:spacing w:line="360" w:lineRule="auto"/>
        <w:jc w:val="both"/>
        <w:rPr>
          <w:rFonts w:hint="eastAsia" w:cs="Times New Roman"/>
          <w:color w:val="auto"/>
          <w:kern w:val="2"/>
          <w:sz w:val="24"/>
          <w:szCs w:val="24"/>
          <w:lang w:val="en-US" w:eastAsia="zh-CN" w:bidi="ar-SA"/>
        </w:rPr>
      </w:pPr>
      <w:r>
        <w:rPr>
          <w:rFonts w:hint="eastAsia" w:cs="Times New Roman"/>
          <w:color w:val="auto"/>
          <w:kern w:val="2"/>
          <w:sz w:val="24"/>
          <w:szCs w:val="24"/>
          <w:lang w:val="en-US" w:eastAsia="zh-CN" w:bidi="ar-SA"/>
        </w:rPr>
        <w:t>1.图件的县级行政区边界图例未显示晕线</w:t>
      </w:r>
      <w:r>
        <w:rPr>
          <w:rFonts w:hint="eastAsia"/>
          <w:color w:val="auto"/>
          <w:sz w:val="24"/>
          <w:szCs w:val="24"/>
          <w:lang w:val="en-US" w:eastAsia="zh-CN"/>
        </w:rPr>
        <w:t>，标准画法如下图</w:t>
      </w:r>
      <w:r>
        <w:rPr>
          <w:rFonts w:hint="eastAsia" w:cs="Times New Roman"/>
          <w:color w:val="auto"/>
          <w:kern w:val="2"/>
          <w:sz w:val="24"/>
          <w:szCs w:val="24"/>
          <w:lang w:val="en-US" w:eastAsia="zh-CN" w:bidi="ar-SA"/>
        </w:rPr>
        <w:t>。</w:t>
      </w:r>
    </w:p>
    <w:p w14:paraId="74981274">
      <w:pPr>
        <w:numPr>
          <w:ilvl w:val="0"/>
          <w:numId w:val="0"/>
        </w:numPr>
        <w:spacing w:line="360" w:lineRule="auto"/>
        <w:ind w:firstLine="420" w:firstLineChars="200"/>
        <w:jc w:val="both"/>
      </w:pPr>
      <w:r>
        <w:drawing>
          <wp:inline distT="0" distB="0" distL="114300" distR="114300">
            <wp:extent cx="5271135" cy="2412365"/>
            <wp:effectExtent l="0" t="0" r="12065" b="63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6"/>
                    <a:stretch>
                      <a:fillRect/>
                    </a:stretch>
                  </pic:blipFill>
                  <pic:spPr>
                    <a:xfrm>
                      <a:off x="0" y="0"/>
                      <a:ext cx="5271135" cy="2412365"/>
                    </a:xfrm>
                    <a:prstGeom prst="rect">
                      <a:avLst/>
                    </a:prstGeom>
                    <a:noFill/>
                    <a:ln>
                      <a:noFill/>
                    </a:ln>
                  </pic:spPr>
                </pic:pic>
              </a:graphicData>
            </a:graphic>
          </wp:inline>
        </w:drawing>
      </w:r>
    </w:p>
    <w:p w14:paraId="014CA015">
      <w:pPr>
        <w:numPr>
          <w:ilvl w:val="0"/>
          <w:numId w:val="0"/>
        </w:numPr>
        <w:spacing w:line="360" w:lineRule="auto"/>
        <w:ind w:firstLine="480" w:firstLineChars="200"/>
        <w:jc w:val="both"/>
        <w:rPr>
          <w:rFonts w:hint="eastAsia" w:eastAsia="宋体"/>
          <w:color w:val="0000FF"/>
          <w:sz w:val="24"/>
          <w:szCs w:val="24"/>
          <w:lang w:val="en-US" w:eastAsia="zh-CN"/>
        </w:rPr>
      </w:pPr>
      <w:r>
        <w:rPr>
          <w:rFonts w:hint="eastAsia" w:eastAsia="宋体"/>
          <w:color w:val="0000FF"/>
          <w:sz w:val="24"/>
          <w:szCs w:val="24"/>
          <w:lang w:val="en-US" w:eastAsia="zh-CN"/>
        </w:rPr>
        <w:drawing>
          <wp:inline distT="0" distB="0" distL="114300" distR="114300">
            <wp:extent cx="4092575" cy="3211195"/>
            <wp:effectExtent l="0" t="0" r="9525" b="1905"/>
            <wp:docPr id="11" name="图片 11" descr="7426f9ed57a673ac369bceb6ec21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426f9ed57a673ac369bceb6ec219de7"/>
                    <pic:cNvPicPr>
                      <a:picLocks noChangeAspect="1"/>
                    </pic:cNvPicPr>
                  </pic:nvPicPr>
                  <pic:blipFill>
                    <a:blip r:embed="rId37"/>
                    <a:srcRect l="22396" t="8646" b="23246"/>
                    <a:stretch>
                      <a:fillRect/>
                    </a:stretch>
                  </pic:blipFill>
                  <pic:spPr>
                    <a:xfrm>
                      <a:off x="0" y="0"/>
                      <a:ext cx="4092575" cy="3211195"/>
                    </a:xfrm>
                    <a:prstGeom prst="rect">
                      <a:avLst/>
                    </a:prstGeom>
                  </pic:spPr>
                </pic:pic>
              </a:graphicData>
            </a:graphic>
          </wp:inline>
        </w:drawing>
      </w:r>
    </w:p>
    <w:p w14:paraId="64486E99">
      <w:pPr>
        <w:numPr>
          <w:ilvl w:val="0"/>
          <w:numId w:val="0"/>
        </w:numPr>
        <w:spacing w:line="360" w:lineRule="auto"/>
        <w:ind w:firstLine="480" w:firstLineChars="200"/>
        <w:jc w:val="both"/>
        <w:rPr>
          <w:rFonts w:hint="default" w:eastAsia="宋体"/>
          <w:color w:val="0000FF"/>
          <w:sz w:val="24"/>
          <w:szCs w:val="24"/>
          <w:lang w:val="en-US" w:eastAsia="zh-CN"/>
        </w:rPr>
      </w:pPr>
      <w:r>
        <w:rPr>
          <w:rFonts w:hint="eastAsia" w:ascii="Times New Roman" w:hAnsi="Times New Roman" w:eastAsia="宋体" w:cs="Times New Roman"/>
          <w:b w:val="0"/>
          <w:bCs w:val="0"/>
          <w:sz w:val="24"/>
          <w:szCs w:val="24"/>
          <w:lang w:val="en-US" w:eastAsia="zh-CN"/>
        </w:rPr>
        <w:t>2.缺少表名（两个统计表：①各乡镇耕地土壤分级面积统计表；②各地类土壤分级面积统计表）</w:t>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6E6A6852">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缺少数字比例尺、调查时间（可参考下图排版）</w:t>
      </w:r>
    </w:p>
    <w:p w14:paraId="04426F7E">
      <w:pPr>
        <w:numPr>
          <w:ilvl w:val="0"/>
          <w:numId w:val="0"/>
        </w:numPr>
        <w:spacing w:line="360" w:lineRule="auto"/>
        <w:ind w:firstLine="420" w:firstLineChars="200"/>
        <w:jc w:val="both"/>
      </w:pPr>
      <w:r>
        <w:drawing>
          <wp:inline distT="0" distB="0" distL="114300" distR="114300">
            <wp:extent cx="5267960" cy="280670"/>
            <wp:effectExtent l="0" t="0" r="2540" b="1143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8"/>
                    <a:stretch>
                      <a:fillRect/>
                    </a:stretch>
                  </pic:blipFill>
                  <pic:spPr>
                    <a:xfrm>
                      <a:off x="0" y="0"/>
                      <a:ext cx="5267960" cy="280670"/>
                    </a:xfrm>
                    <a:prstGeom prst="rect">
                      <a:avLst/>
                    </a:prstGeom>
                    <a:noFill/>
                    <a:ln>
                      <a:noFill/>
                    </a:ln>
                  </pic:spPr>
                </pic:pic>
              </a:graphicData>
            </a:graphic>
          </wp:inline>
        </w:drawing>
      </w:r>
    </w:p>
    <w:p w14:paraId="326CD96D">
      <w:pPr>
        <w:numPr>
          <w:ilvl w:val="0"/>
          <w:numId w:val="0"/>
        </w:numPr>
        <w:spacing w:line="360" w:lineRule="auto"/>
        <w:ind w:firstLine="420" w:firstLineChars="200"/>
        <w:jc w:val="both"/>
        <w:rPr>
          <w:rFonts w:hint="eastAsia"/>
          <w:lang w:val="en-US" w:eastAsia="zh-CN"/>
        </w:rPr>
      </w:pPr>
      <w:r>
        <w:drawing>
          <wp:inline distT="0" distB="0" distL="114300" distR="114300">
            <wp:extent cx="5271135" cy="1520190"/>
            <wp:effectExtent l="0" t="0" r="12065" b="3810"/>
            <wp:docPr id="1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
                    <pic:cNvPicPr>
                      <a:picLocks noChangeAspect="1"/>
                    </pic:cNvPicPr>
                  </pic:nvPicPr>
                  <pic:blipFill>
                    <a:blip r:embed="rId39"/>
                    <a:stretch>
                      <a:fillRect/>
                    </a:stretch>
                  </pic:blipFill>
                  <pic:spPr>
                    <a:xfrm>
                      <a:off x="0" y="0"/>
                      <a:ext cx="5271135" cy="1520190"/>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highlight w:val="none"/>
          <w:lang w:val="en-US" w:eastAsia="zh-CN"/>
        </w:rPr>
      </w:pPr>
      <w:r>
        <w:rPr>
          <w:rFonts w:hint="eastAsia"/>
          <w:b/>
          <w:bCs/>
          <w:sz w:val="24"/>
          <w:szCs w:val="24"/>
          <w:highlight w:val="none"/>
          <w:lang w:val="en-US" w:eastAsia="zh-CN"/>
        </w:rPr>
        <w:t>(三)图件缺失</w:t>
      </w:r>
    </w:p>
    <w:p w14:paraId="733F8B72">
      <w:pPr>
        <w:numPr>
          <w:ilvl w:val="0"/>
          <w:numId w:val="0"/>
        </w:numPr>
        <w:spacing w:line="360" w:lineRule="auto"/>
        <w:ind w:firstLine="480" w:firstLineChars="200"/>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数据库中不存在图件，或缺少部分属性图</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07645F2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美观性，易读性，着色。图面清晰度、图件信息清晰度。</w:t>
      </w:r>
    </w:p>
    <w:p w14:paraId="0F21FDF3">
      <w:pPr>
        <w:numPr>
          <w:ilvl w:val="0"/>
          <w:numId w:val="12"/>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报告-制图过程（缺失）</w:t>
      </w:r>
    </w:p>
    <w:p w14:paraId="228760C7">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(一)技术路线与规范</w:t>
      </w:r>
    </w:p>
    <w:p w14:paraId="75EE3E68">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1.属性制图技术路线图是否缺失或过于简单</w:t>
      </w:r>
    </w:p>
    <w:p w14:paraId="7FEE6A5D">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重点查看技术路线图是否与报告流程及内容一一对应。技术路线图是否存在。</w:t>
      </w:r>
    </w:p>
    <w:p w14:paraId="50F954FF">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2.属性制图技术路线内容阐述是否完整或清晰</w:t>
      </w:r>
    </w:p>
    <w:p w14:paraId="788F30A3">
      <w:pPr>
        <w:numPr>
          <w:ilvl w:val="0"/>
          <w:numId w:val="0"/>
        </w:numPr>
        <w:spacing w:line="360" w:lineRule="auto"/>
        <w:jc w:val="both"/>
        <w:rPr>
          <w:rFonts w:hint="eastAsia"/>
          <w:b/>
          <w:bCs/>
          <w:color w:val="2E54A1" w:themeColor="accent1" w:themeShade="BF"/>
          <w:sz w:val="24"/>
          <w:szCs w:val="24"/>
          <w:lang w:val="en-US" w:eastAsia="zh-CN"/>
        </w:rPr>
      </w:pPr>
    </w:p>
    <w:p w14:paraId="629922D1">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(二)数据收集与处理不规范</w:t>
      </w:r>
    </w:p>
    <w:p w14:paraId="6B9B1420">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1.数据的来源、时间跨度、格式等说明是否充分</w:t>
      </w:r>
    </w:p>
    <w:p w14:paraId="2FD185B0">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重点查看报告中的数据来源部分表格或段落，是否对每个数据进行了介绍。</w:t>
      </w:r>
    </w:p>
    <w:p w14:paraId="1C510E80">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2.土壤样点空间分布图是否缺失</w:t>
      </w:r>
    </w:p>
    <w:p w14:paraId="05E28DE8">
      <w:pPr>
        <w:numPr>
          <w:ilvl w:val="0"/>
          <w:numId w:val="0"/>
        </w:numPr>
        <w:spacing w:line="360" w:lineRule="auto"/>
        <w:jc w:val="both"/>
        <w:rPr>
          <w:rFonts w:hint="eastAsia"/>
          <w:b/>
          <w:bCs/>
          <w:color w:val="2E54A1" w:themeColor="accent1" w:themeShade="BF"/>
          <w:sz w:val="24"/>
          <w:szCs w:val="24"/>
          <w:lang w:val="en-US" w:eastAsia="zh-CN"/>
        </w:rPr>
      </w:pPr>
    </w:p>
    <w:p w14:paraId="078B39F4">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3.环境变量制备过程未说明或说明不具体</w:t>
      </w:r>
    </w:p>
    <w:p w14:paraId="376B15DF">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7A286CD2">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4.数据处理过程是否合理</w:t>
      </w:r>
    </w:p>
    <w:p w14:paraId="1025F31A">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参考《土壤属性制图与专题图制图规范》3.制图原则与主要方法 部分</w:t>
      </w:r>
    </w:p>
    <w:p w14:paraId="23CE2F45">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(三)制图模型确定是否合理</w:t>
      </w:r>
    </w:p>
    <w:p w14:paraId="4546CDE6">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1.模型优选是否进行了多种方法对比</w:t>
      </w:r>
    </w:p>
    <w:p w14:paraId="6D6B0727">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重点检查报告中是否存在多个模型的比对，模型选择和模型介绍是否正确，具体模型介绍参考《土壤属性制图与专题图制图规范》3.2 数字土壤制图的主要方法 部分。</w:t>
      </w:r>
    </w:p>
    <w:p w14:paraId="559546D4">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2.环境变量的筛选方法和过程说明</w:t>
      </w:r>
    </w:p>
    <w:p w14:paraId="19D86714">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报告中是否存在对环境变量筛选的过程，每个属性的入模变量分别是什么。</w:t>
      </w:r>
    </w:p>
    <w:p w14:paraId="2B225B18">
      <w:pPr>
        <w:numPr>
          <w:ilvl w:val="0"/>
          <w:numId w:val="0"/>
        </w:numPr>
        <w:spacing w:line="360" w:lineRule="auto"/>
        <w:jc w:val="both"/>
        <w:rPr>
          <w:rFonts w:hint="default"/>
          <w:b/>
          <w:bCs/>
          <w:color w:val="2E54A1" w:themeColor="accent1" w:themeShade="BF"/>
          <w:sz w:val="24"/>
          <w:szCs w:val="24"/>
          <w:lang w:val="en-US" w:eastAsia="zh-CN"/>
        </w:rPr>
      </w:pPr>
      <w:r>
        <w:rPr>
          <w:rFonts w:hint="eastAsia"/>
          <w:b/>
          <w:bCs/>
          <w:color w:val="2E54A1" w:themeColor="accent1" w:themeShade="BF"/>
          <w:sz w:val="24"/>
          <w:szCs w:val="24"/>
          <w:lang w:val="en-US" w:eastAsia="zh-CN"/>
        </w:rPr>
        <w:t>(四)</w:t>
      </w:r>
      <w:r>
        <w:rPr>
          <w:rFonts w:hint="default"/>
          <w:b/>
          <w:bCs/>
          <w:color w:val="2E54A1" w:themeColor="accent1" w:themeShade="BF"/>
          <w:sz w:val="24"/>
          <w:szCs w:val="24"/>
          <w:lang w:val="en-US" w:eastAsia="zh-CN"/>
        </w:rPr>
        <w:t>结果验证与分析</w:t>
      </w:r>
      <w:r>
        <w:rPr>
          <w:rFonts w:hint="eastAsia"/>
          <w:b/>
          <w:bCs/>
          <w:color w:val="2E54A1" w:themeColor="accent1" w:themeShade="BF"/>
          <w:sz w:val="24"/>
          <w:szCs w:val="24"/>
          <w:lang w:val="en-US" w:eastAsia="zh-CN"/>
        </w:rPr>
        <w:t>是否</w:t>
      </w:r>
      <w:r>
        <w:rPr>
          <w:rFonts w:hint="default"/>
          <w:b/>
          <w:bCs/>
          <w:color w:val="2E54A1" w:themeColor="accent1" w:themeShade="BF"/>
          <w:sz w:val="24"/>
          <w:szCs w:val="24"/>
          <w:lang w:val="en-US" w:eastAsia="zh-CN"/>
        </w:rPr>
        <w:t>充分</w:t>
      </w:r>
    </w:p>
    <w:p w14:paraId="7AAD46AF">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1.属性与环境的关联性（驱动因素）是否进行分析展示</w:t>
      </w:r>
    </w:p>
    <w:p w14:paraId="51777AF5">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660A07D8">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2.精度评价指标是否过于单一(仅用R2、RMSE验证)</w:t>
      </w:r>
    </w:p>
    <w:p w14:paraId="0C4BB62E">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48CFE9BC">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3.土壤属性图是否进行空间分布分析</w:t>
      </w:r>
    </w:p>
    <w:p w14:paraId="67DCC9B2">
      <w:pPr>
        <w:numPr>
          <w:ilvl w:val="0"/>
          <w:numId w:val="0"/>
        </w:numPr>
        <w:spacing w:line="360" w:lineRule="auto"/>
        <w:jc w:val="both"/>
        <w:rPr>
          <w:rFonts w:hint="default" w:ascii="Times New Roman" w:hAnsi="Times New Roman" w:eastAsia="宋体" w:cs="Times New Roman"/>
          <w:b w:val="0"/>
          <w:bCs w:val="0"/>
          <w:color w:val="2E54A1" w:themeColor="accent1" w:themeShade="BF"/>
          <w:sz w:val="24"/>
          <w:szCs w:val="24"/>
          <w:lang w:val="en-US" w:eastAsia="zh-CN"/>
        </w:rPr>
      </w:pPr>
    </w:p>
    <w:p w14:paraId="2AA25D65">
      <w:pPr>
        <w:numPr>
          <w:ilvl w:val="0"/>
          <w:numId w:val="12"/>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报告-现状分析</w:t>
      </w:r>
    </w:p>
    <w:p w14:paraId="39DDD968">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1.样点统计与制图统计数据差异是否显著</w:t>
      </w:r>
    </w:p>
    <w:p w14:paraId="4E819144">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2BE21E71">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2.数据是否错误或存疑，部分指标单位是否有误（亩或万亩）</w:t>
      </w:r>
    </w:p>
    <w:p w14:paraId="12054893">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10FC3435">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3.现状数据是否缺少分级表、中微量元素数据等</w:t>
      </w:r>
    </w:p>
    <w:p w14:paraId="7D0C7F42">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7340F7CB">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4.报告中的图表和现状数据是否匹配</w:t>
      </w:r>
    </w:p>
    <w:p w14:paraId="623306B0">
      <w:pPr>
        <w:numPr>
          <w:ilvl w:val="0"/>
          <w:numId w:val="0"/>
        </w:numPr>
        <w:spacing w:line="360" w:lineRule="auto"/>
        <w:jc w:val="both"/>
        <w:rPr>
          <w:rFonts w:hint="eastAsia"/>
          <w:b/>
          <w:bCs/>
          <w:color w:val="2E54A1" w:themeColor="accent1" w:themeShade="BF"/>
          <w:sz w:val="24"/>
          <w:szCs w:val="24"/>
          <w:lang w:val="en-US" w:eastAsia="zh-CN"/>
        </w:rPr>
      </w:pPr>
    </w:p>
    <w:p w14:paraId="508AE070">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1.属性数据分级标准与规范不一致、分级不规范</w:t>
      </w:r>
    </w:p>
    <w:p w14:paraId="22B68B27">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参考《全国九大农区、省级耕地质量监测指标分级标准的通知》</w:t>
      </w:r>
    </w:p>
    <w:p w14:paraId="430E18EC">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2.土壤分类系统不统一（未用三普土属名称）</w:t>
      </w:r>
    </w:p>
    <w:p w14:paraId="64DC4F38">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通过软件进行审核</w:t>
      </w:r>
    </w:p>
    <w:p w14:paraId="0577FDEE">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1.成因分析不深入或不合理</w:t>
      </w:r>
    </w:p>
    <w:p w14:paraId="3D0FACC6">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038B03E5">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2.属性指标的土地利用类型、土壤类型分类分区差异对比不充分（各乡镇间进行对比）</w:t>
      </w:r>
    </w:p>
    <w:p w14:paraId="155A3B3A">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07EB75ED">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3.现状指标分析不完整（缺物理指标、中微量元素等）</w:t>
      </w:r>
    </w:p>
    <w:p w14:paraId="5DBC314F">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1CDFDC49">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1.现状土壤属性间关联分析不足</w:t>
      </w:r>
    </w:p>
    <w:p w14:paraId="5FEFBBE7">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2E31D9E4">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2.关联分析方法不规范</w:t>
      </w:r>
    </w:p>
    <w:p w14:paraId="7D14EC61">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176CAF81">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3.未针对性提出土壤培肥改良措施，乡镇土壤属性分析仅呈现数据，未结合当地土壤问题给出解决方案</w:t>
      </w:r>
    </w:p>
    <w:p w14:paraId="29FE3F4B">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31286588">
      <w:pPr>
        <w:numPr>
          <w:ilvl w:val="0"/>
          <w:numId w:val="12"/>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报告-历史变化及成因</w:t>
      </w:r>
    </w:p>
    <w:p w14:paraId="5668EF12">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1.是否结合历史数据（二普、测土配方等）进行历史变化对比</w:t>
      </w:r>
    </w:p>
    <w:p w14:paraId="1C5D733A">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3F1CE72B">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2.历史变化分析不充分或缺失、剖析不深入</w:t>
      </w:r>
    </w:p>
    <w:p w14:paraId="39E72849">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1C20D27D">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3.对比分析的土壤属性指标分析缺失或不完整</w:t>
      </w:r>
    </w:p>
    <w:p w14:paraId="3F34581F">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p>
    <w:p w14:paraId="5CE62F12">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4.仅文字分析、缺少图表统计对比</w:t>
      </w:r>
    </w:p>
    <w:p w14:paraId="1A8ED440">
      <w:pPr>
        <w:numPr>
          <w:ilvl w:val="0"/>
          <w:numId w:val="0"/>
        </w:numPr>
        <w:spacing w:line="360" w:lineRule="auto"/>
        <w:jc w:val="both"/>
        <w:rPr>
          <w:rFonts w:hint="eastAsia"/>
          <w:b/>
          <w:bCs/>
          <w:color w:val="2E54A1" w:themeColor="accent1" w:themeShade="BF"/>
          <w:sz w:val="24"/>
          <w:szCs w:val="24"/>
          <w:lang w:val="en-US" w:eastAsia="zh-CN"/>
        </w:rPr>
      </w:pPr>
    </w:p>
    <w:p w14:paraId="35ADFF3A">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(二)成因分析未按导引要求</w:t>
      </w:r>
    </w:p>
    <w:p w14:paraId="5922CE73">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是否结合农田管理分析变化；历史变化成因分析不充分或不合理；有没有进行分类分区差异对比</w:t>
      </w:r>
    </w:p>
    <w:p w14:paraId="2A8E6BCA">
      <w:pPr>
        <w:numPr>
          <w:ilvl w:val="0"/>
          <w:numId w:val="0"/>
        </w:numPr>
        <w:spacing w:line="360" w:lineRule="auto"/>
        <w:jc w:val="both"/>
        <w:rPr>
          <w:rFonts w:hint="eastAsia"/>
          <w:b/>
          <w:bCs/>
          <w:color w:val="2E54A1" w:themeColor="accent1" w:themeShade="BF"/>
          <w:sz w:val="24"/>
          <w:szCs w:val="24"/>
          <w:lang w:val="en-US" w:eastAsia="zh-CN"/>
        </w:rPr>
      </w:pPr>
    </w:p>
    <w:p w14:paraId="3BAA297B">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(三)结果分析表述不准确</w:t>
      </w:r>
    </w:p>
    <w:p w14:paraId="160481A4">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变化幅度、趋势方向、现象描述、是否有定量分析</w:t>
      </w:r>
    </w:p>
    <w:p w14:paraId="3F3AA12D">
      <w:pPr>
        <w:numPr>
          <w:ilvl w:val="0"/>
          <w:numId w:val="0"/>
        </w:numPr>
        <w:spacing w:line="360" w:lineRule="auto"/>
        <w:jc w:val="both"/>
        <w:rPr>
          <w:rFonts w:hint="default"/>
          <w:b/>
          <w:bCs/>
          <w:color w:val="2E54A1" w:themeColor="accent1" w:themeShade="BF"/>
          <w:sz w:val="24"/>
          <w:szCs w:val="24"/>
          <w:lang w:val="en-US" w:eastAsia="zh-CN"/>
        </w:rPr>
      </w:pPr>
      <w:r>
        <w:rPr>
          <w:rFonts w:hint="eastAsia"/>
          <w:b/>
          <w:bCs/>
          <w:color w:val="2E54A1" w:themeColor="accent1" w:themeShade="BF"/>
          <w:sz w:val="24"/>
          <w:szCs w:val="24"/>
          <w:lang w:val="en-US" w:eastAsia="zh-CN"/>
        </w:rPr>
        <w:t>(四)其他</w:t>
      </w:r>
    </w:p>
    <w:p w14:paraId="493E6883">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default" w:ascii="Times New Roman" w:hAnsi="Times New Roman" w:eastAsia="宋体" w:cs="Times New Roman"/>
          <w:b w:val="0"/>
          <w:bCs w:val="0"/>
          <w:color w:val="2E54A1" w:themeColor="accent1" w:themeShade="BF"/>
          <w:sz w:val="24"/>
          <w:szCs w:val="24"/>
          <w:lang w:val="en-US" w:eastAsia="zh-CN"/>
        </w:rPr>
        <w:t>制表和单位</w:t>
      </w:r>
      <w:r>
        <w:rPr>
          <w:rFonts w:hint="eastAsia" w:ascii="Times New Roman" w:hAnsi="Times New Roman" w:eastAsia="宋体" w:cs="Times New Roman"/>
          <w:b w:val="0"/>
          <w:bCs w:val="0"/>
          <w:color w:val="2E54A1" w:themeColor="accent1" w:themeShade="BF"/>
          <w:sz w:val="24"/>
          <w:szCs w:val="24"/>
          <w:lang w:val="en-US" w:eastAsia="zh-CN"/>
        </w:rPr>
        <w:t>的规范</w:t>
      </w:r>
    </w:p>
    <w:p w14:paraId="4DCE4E0D">
      <w:pPr>
        <w:numPr>
          <w:ilvl w:val="0"/>
          <w:numId w:val="12"/>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报告质量</w:t>
      </w:r>
    </w:p>
    <w:p w14:paraId="374DDA4F">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(一)撰写与总结问题</w:t>
      </w:r>
    </w:p>
    <w:p w14:paraId="150D3F3B">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重点检查报告撰写的规范性（参考《土壤属性制图与专题图制图规范》）；表述是否严谨，语言文字随意性、、小结部分是否进行归纳总结。</w:t>
      </w:r>
    </w:p>
    <w:p w14:paraId="605A2651">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分析不深入、仅就数据论数据</w:t>
      </w:r>
    </w:p>
    <w:p w14:paraId="22255AAA">
      <w:pPr>
        <w:numPr>
          <w:ilvl w:val="0"/>
          <w:numId w:val="0"/>
        </w:numPr>
        <w:spacing w:line="360" w:lineRule="auto"/>
        <w:jc w:val="both"/>
        <w:rPr>
          <w:rFonts w:hint="eastAsia"/>
          <w:b/>
          <w:bCs/>
          <w:color w:val="2E54A1" w:themeColor="accent1" w:themeShade="BF"/>
          <w:sz w:val="24"/>
          <w:szCs w:val="24"/>
          <w:lang w:val="en-US" w:eastAsia="zh-CN"/>
        </w:rPr>
      </w:pPr>
      <w:r>
        <w:rPr>
          <w:rFonts w:hint="eastAsia"/>
          <w:b/>
          <w:bCs/>
          <w:color w:val="2E54A1" w:themeColor="accent1" w:themeShade="BF"/>
          <w:sz w:val="24"/>
          <w:szCs w:val="24"/>
          <w:lang w:val="en-US" w:eastAsia="zh-CN"/>
        </w:rPr>
        <w:t>(三)统计表与规范性问题</w:t>
      </w:r>
    </w:p>
    <w:p w14:paraId="07C51C90">
      <w:pPr>
        <w:numPr>
          <w:ilvl w:val="0"/>
          <w:numId w:val="0"/>
        </w:numPr>
        <w:spacing w:line="360" w:lineRule="auto"/>
        <w:ind w:firstLine="480" w:firstLineChars="200"/>
        <w:jc w:val="both"/>
        <w:rPr>
          <w:rFonts w:hint="default"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表格的格式、标题、单位、排版格式、表头、图表清晰度</w:t>
      </w:r>
    </w:p>
    <w:p w14:paraId="259EF2D6">
      <w:pPr>
        <w:numPr>
          <w:ilvl w:val="0"/>
          <w:numId w:val="0"/>
        </w:numPr>
        <w:spacing w:line="360" w:lineRule="auto"/>
        <w:jc w:val="both"/>
        <w:rPr>
          <w:rFonts w:hint="default"/>
          <w:b/>
          <w:bCs/>
          <w:color w:val="2E54A1" w:themeColor="accent1" w:themeShade="BF"/>
          <w:sz w:val="24"/>
          <w:szCs w:val="24"/>
          <w:lang w:val="en-US" w:eastAsia="zh-CN"/>
        </w:rPr>
      </w:pPr>
      <w:r>
        <w:rPr>
          <w:rFonts w:hint="eastAsia"/>
          <w:b/>
          <w:bCs/>
          <w:color w:val="2E54A1" w:themeColor="accent1" w:themeShade="BF"/>
          <w:sz w:val="24"/>
          <w:szCs w:val="24"/>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color w:val="2E54A1" w:themeColor="accent1" w:themeShade="BF"/>
          <w:sz w:val="24"/>
          <w:szCs w:val="24"/>
          <w:lang w:val="en-US" w:eastAsia="zh-CN"/>
        </w:rPr>
      </w:pPr>
      <w:r>
        <w:rPr>
          <w:rFonts w:hint="default" w:ascii="Times New Roman" w:hAnsi="Times New Roman" w:eastAsia="宋体" w:cs="Times New Roman"/>
          <w:b w:val="0"/>
          <w:bCs w:val="0"/>
          <w:color w:val="2E54A1" w:themeColor="accent1" w:themeShade="BF"/>
          <w:sz w:val="24"/>
          <w:szCs w:val="24"/>
          <w:lang w:val="en-US" w:eastAsia="zh-CN"/>
        </w:rPr>
        <w:t>分析报告未按县级成果导引提纲要求编制</w:t>
      </w:r>
      <w:r>
        <w:rPr>
          <w:rFonts w:hint="eastAsia" w:ascii="Times New Roman" w:hAnsi="Times New Roman" w:eastAsia="宋体" w:cs="Times New Roman"/>
          <w:b w:val="0"/>
          <w:bCs w:val="0"/>
          <w:color w:val="2E54A1" w:themeColor="accent1" w:themeShade="BF"/>
          <w:sz w:val="24"/>
          <w:szCs w:val="24"/>
          <w:lang w:val="en-US" w:eastAsia="zh-CN"/>
        </w:rPr>
        <w:t>、土壤属性分级未按全国九大农区分级标准</w:t>
      </w:r>
    </w:p>
    <w:p w14:paraId="4C51B231">
      <w:pPr>
        <w:numPr>
          <w:ilvl w:val="0"/>
          <w:numId w:val="0"/>
        </w:numPr>
        <w:spacing w:line="360" w:lineRule="auto"/>
        <w:jc w:val="both"/>
        <w:rPr>
          <w:rFonts w:hint="default"/>
          <w:b/>
          <w:bCs/>
          <w:color w:val="2E54A1" w:themeColor="accent1" w:themeShade="BF"/>
          <w:sz w:val="24"/>
          <w:szCs w:val="24"/>
          <w:lang w:val="en-US" w:eastAsia="zh-CN"/>
        </w:rPr>
      </w:pPr>
      <w:r>
        <w:rPr>
          <w:rFonts w:hint="eastAsia"/>
          <w:b/>
          <w:bCs/>
          <w:color w:val="2E54A1" w:themeColor="accent1" w:themeShade="BF"/>
          <w:sz w:val="24"/>
          <w:szCs w:val="24"/>
          <w:lang w:val="en-US" w:eastAsia="zh-CN"/>
        </w:rPr>
        <w:t>(五)现状分析不深入</w:t>
      </w:r>
    </w:p>
    <w:p w14:paraId="02CB4C0D">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default" w:ascii="Times New Roman" w:hAnsi="Times New Roman" w:eastAsia="宋体" w:cs="Times New Roman"/>
          <w:b w:val="0"/>
          <w:bCs w:val="0"/>
          <w:color w:val="2E54A1" w:themeColor="accent1" w:themeShade="BF"/>
          <w:sz w:val="24"/>
          <w:szCs w:val="24"/>
          <w:lang w:val="en-US" w:eastAsia="zh-CN"/>
        </w:rPr>
        <w:t>结合当地农业生产方式等进行成因分析、仅对表格数据进行简单文字</w:t>
      </w:r>
      <w:r>
        <w:rPr>
          <w:rFonts w:hint="eastAsia" w:ascii="Times New Roman" w:hAnsi="Times New Roman" w:eastAsia="宋体" w:cs="Times New Roman"/>
          <w:b w:val="0"/>
          <w:bCs w:val="0"/>
          <w:color w:val="2E54A1" w:themeColor="accent1" w:themeShade="BF"/>
          <w:sz w:val="24"/>
          <w:szCs w:val="24"/>
          <w:lang w:val="en-US" w:eastAsia="zh-CN"/>
        </w:rPr>
        <w:t>表述；对与土壤类型无关的属性进行分析，如速磷、速钾</w:t>
      </w:r>
    </w:p>
    <w:p w14:paraId="16B38042">
      <w:pPr>
        <w:numPr>
          <w:ilvl w:val="0"/>
          <w:numId w:val="0"/>
        </w:numPr>
        <w:spacing w:line="360" w:lineRule="auto"/>
        <w:jc w:val="both"/>
        <w:rPr>
          <w:rFonts w:hint="default" w:ascii="Times New Roman" w:hAnsi="Times New Roman" w:eastAsia="宋体" w:cs="Times New Roman"/>
          <w:b w:val="0"/>
          <w:bCs w:val="0"/>
          <w:color w:val="2E54A1" w:themeColor="accent1" w:themeShade="BF"/>
          <w:sz w:val="24"/>
          <w:szCs w:val="24"/>
          <w:lang w:val="en-US" w:eastAsia="zh-CN"/>
        </w:rPr>
      </w:pPr>
    </w:p>
    <w:p w14:paraId="24DE8D4A">
      <w:pPr>
        <w:numPr>
          <w:ilvl w:val="0"/>
          <w:numId w:val="12"/>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431C7E11">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(一)剔除样点过多，且无明确的逐个样点剔除说明</w:t>
      </w:r>
    </w:p>
    <w:p w14:paraId="7DC06A04">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lang w:val="en-US" w:eastAsia="zh-CN"/>
        </w:rPr>
      </w:pPr>
      <w:r>
        <w:rPr>
          <w:rFonts w:hint="eastAsia" w:ascii="Times New Roman" w:hAnsi="Times New Roman" w:eastAsia="宋体" w:cs="Times New Roman"/>
          <w:b w:val="0"/>
          <w:bCs w:val="0"/>
          <w:color w:val="2E54A1" w:themeColor="accent1" w:themeShade="BF"/>
          <w:sz w:val="24"/>
          <w:szCs w:val="24"/>
          <w:lang w:val="en-US" w:eastAsia="zh-CN"/>
        </w:rPr>
        <w:t>(二)环境变量制备仅包括部分成土要素，未针对指标特征筛选环境变量，造成入模环境变量不合理</w:t>
      </w:r>
    </w:p>
    <w:p w14:paraId="0A4B8D0A">
      <w:pPr>
        <w:numPr>
          <w:ilvl w:val="0"/>
          <w:numId w:val="0"/>
        </w:numPr>
        <w:spacing w:line="360" w:lineRule="auto"/>
        <w:jc w:val="both"/>
        <w:rPr>
          <w:rFonts w:hint="eastAsia" w:ascii="Times New Roman" w:hAnsi="Times New Roman" w:eastAsia="宋体" w:cs="Times New Roman"/>
          <w:b w:val="0"/>
          <w:bCs w:val="0"/>
          <w:color w:val="2E54A1" w:themeColor="accent1" w:themeShade="BF"/>
          <w:sz w:val="24"/>
          <w:szCs w:val="24"/>
          <w:highlight w:val="none"/>
          <w:lang w:val="en-US" w:eastAsia="zh-CN"/>
        </w:rPr>
      </w:pPr>
      <w:r>
        <w:rPr>
          <w:rFonts w:hint="eastAsia" w:ascii="Times New Roman" w:hAnsi="Times New Roman" w:eastAsia="宋体" w:cs="Times New Roman"/>
          <w:b w:val="0"/>
          <w:bCs w:val="0"/>
          <w:color w:val="2E54A1" w:themeColor="accent1" w:themeShade="BF"/>
          <w:sz w:val="24"/>
          <w:szCs w:val="24"/>
          <w:highlight w:val="none"/>
          <w:lang w:val="en-US" w:eastAsia="zh-CN"/>
        </w:rPr>
        <w:t>(三)山地丘陵区采用普通克里格或IDW模型</w:t>
      </w:r>
    </w:p>
    <w:p w14:paraId="2072AC6D">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(四)制图结果空间分布明显与实际不符（如DEM高，PH低的规律）</w:t>
      </w:r>
    </w:p>
    <w:p w14:paraId="385A6C52">
      <w:pPr>
        <w:numPr>
          <w:ilvl w:val="0"/>
          <w:numId w:val="0"/>
        </w:numPr>
        <w:spacing w:line="360" w:lineRule="auto"/>
        <w:jc w:val="both"/>
        <w:rPr>
          <w:rFonts w:hint="default"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未见问题</w:t>
      </w:r>
    </w:p>
    <w:p w14:paraId="4A7CB3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29937365">
      <w:pPr>
        <w:rPr>
          <w:rFonts w:hint="default"/>
          <w:sz w:val="32"/>
          <w:szCs w:val="32"/>
          <w:lang w:val="en-US" w:eastAsia="zh-CN"/>
        </w:rPr>
      </w:pPr>
    </w:p>
    <w:p w14:paraId="56E6C250">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第三部分：土壤退化、障碍与改良成果质控意见</w:t>
      </w:r>
    </w:p>
    <w:p w14:paraId="70937E64">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第四部分：土壤农业利用适宜性评价成果质控意见</w:t>
      </w:r>
    </w:p>
    <w:p w14:paraId="266B0D62">
      <w:pPr>
        <w:keepNext w:val="0"/>
        <w:keepLines w:val="0"/>
        <w:pageBreakBefore w:val="0"/>
        <w:widowControl w:val="0"/>
        <w:kinsoku/>
        <w:wordWrap/>
        <w:overflowPunct/>
        <w:topLinePunct w:val="0"/>
        <w:autoSpaceDE/>
        <w:autoSpaceDN/>
        <w:bidi w:val="0"/>
        <w:adjustRightInd/>
        <w:snapToGrid/>
        <w:jc w:val="center"/>
        <w:textAlignment w:val="auto"/>
        <w:rPr>
          <w:rFonts w:hint="eastAsia"/>
          <w:sz w:val="32"/>
          <w:szCs w:val="32"/>
          <w:lang w:val="en-US" w:eastAsia="zh-CN"/>
        </w:rPr>
      </w:pPr>
      <w:r>
        <w:rPr>
          <w:rFonts w:hint="eastAsia"/>
          <w:sz w:val="32"/>
          <w:szCs w:val="32"/>
          <w:lang w:val="en-US" w:eastAsia="zh-CN"/>
        </w:rPr>
        <w:t>第五部分：耕地质量等级评价成果质控意见</w:t>
      </w:r>
    </w:p>
    <w:p w14:paraId="21E24481">
      <w:pPr>
        <w:keepNext w:val="0"/>
        <w:keepLines w:val="0"/>
        <w:pageBreakBefore w:val="0"/>
        <w:widowControl w:val="0"/>
        <w:kinsoku/>
        <w:wordWrap/>
        <w:overflowPunct/>
        <w:topLinePunct w:val="0"/>
        <w:autoSpaceDE/>
        <w:autoSpaceDN/>
        <w:bidi w:val="0"/>
        <w:adjustRightInd/>
        <w:snapToGrid/>
        <w:jc w:val="center"/>
        <w:textAlignment w:val="auto"/>
        <w:rPr>
          <w:rFonts w:hint="default"/>
          <w:sz w:val="32"/>
          <w:szCs w:val="32"/>
          <w:lang w:val="en-US" w:eastAsia="zh-CN"/>
        </w:rPr>
      </w:pPr>
      <w:r>
        <w:rPr>
          <w:rFonts w:hint="eastAsia"/>
          <w:sz w:val="32"/>
          <w:szCs w:val="32"/>
          <w:lang w:val="en-US" w:eastAsia="zh-CN"/>
        </w:rPr>
        <w:t>第六部分：土特产品土壤适宜性评价成果质控意见</w:t>
      </w:r>
    </w:p>
    <w:p w14:paraId="0CEBA02B">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3092B"/>
    <w:multiLevelType w:val="singleLevel"/>
    <w:tmpl w:val="8203092B"/>
    <w:lvl w:ilvl="0" w:tentative="0">
      <w:start w:val="1"/>
      <w:numFmt w:val="decimal"/>
      <w:suff w:val="nothing"/>
      <w:lvlText w:val="（%1）"/>
      <w:lvlJc w:val="left"/>
    </w:lvl>
  </w:abstractNum>
  <w:abstractNum w:abstractNumId="1">
    <w:nsid w:val="86AF1D9A"/>
    <w:multiLevelType w:val="singleLevel"/>
    <w:tmpl w:val="86AF1D9A"/>
    <w:lvl w:ilvl="0" w:tentative="0">
      <w:start w:val="1"/>
      <w:numFmt w:val="decimal"/>
      <w:suff w:val="space"/>
      <w:lvlText w:val="%1."/>
      <w:lvlJc w:val="left"/>
    </w:lvl>
  </w:abstractNum>
  <w:abstractNum w:abstractNumId="2">
    <w:nsid w:val="907497B8"/>
    <w:multiLevelType w:val="singleLevel"/>
    <w:tmpl w:val="907497B8"/>
    <w:lvl w:ilvl="0" w:tentative="0">
      <w:start w:val="1"/>
      <w:numFmt w:val="decimal"/>
      <w:suff w:val="nothing"/>
      <w:lvlText w:val="（%1）"/>
      <w:lvlJc w:val="left"/>
    </w:lvl>
  </w:abstractNum>
  <w:abstractNum w:abstractNumId="3">
    <w:nsid w:val="90D51542"/>
    <w:multiLevelType w:val="singleLevel"/>
    <w:tmpl w:val="90D51542"/>
    <w:lvl w:ilvl="0" w:tentative="0">
      <w:start w:val="2"/>
      <w:numFmt w:val="decimal"/>
      <w:suff w:val="nothing"/>
      <w:lvlText w:val="%1."/>
      <w:lvlJc w:val="left"/>
    </w:lvl>
  </w:abstractNum>
  <w:abstractNum w:abstractNumId="4">
    <w:nsid w:val="94EAE951"/>
    <w:multiLevelType w:val="singleLevel"/>
    <w:tmpl w:val="94EAE951"/>
    <w:lvl w:ilvl="0" w:tentative="0">
      <w:start w:val="1"/>
      <w:numFmt w:val="chineseCounting"/>
      <w:suff w:val="nothing"/>
      <w:lvlText w:val="%1、"/>
      <w:lvlJc w:val="left"/>
      <w:rPr>
        <w:rFonts w:hint="eastAsia"/>
      </w:rPr>
    </w:lvl>
  </w:abstractNum>
  <w:abstractNum w:abstractNumId="5">
    <w:nsid w:val="BFC5C279"/>
    <w:multiLevelType w:val="singleLevel"/>
    <w:tmpl w:val="BFC5C279"/>
    <w:lvl w:ilvl="0" w:tentative="0">
      <w:start w:val="1"/>
      <w:numFmt w:val="chineseCounting"/>
      <w:suff w:val="nothing"/>
      <w:lvlText w:val="（%1）"/>
      <w:lvlJc w:val="left"/>
      <w:rPr>
        <w:rFonts w:hint="eastAsia"/>
      </w:rPr>
    </w:lvl>
  </w:abstractNum>
  <w:abstractNum w:abstractNumId="6">
    <w:nsid w:val="D2E9301D"/>
    <w:multiLevelType w:val="singleLevel"/>
    <w:tmpl w:val="D2E9301D"/>
    <w:lvl w:ilvl="0" w:tentative="0">
      <w:start w:val="1"/>
      <w:numFmt w:val="decimal"/>
      <w:suff w:val="nothing"/>
      <w:lvlText w:val="（%1）"/>
      <w:lvlJc w:val="left"/>
    </w:lvl>
  </w:abstractNum>
  <w:abstractNum w:abstractNumId="7">
    <w:nsid w:val="E05C426E"/>
    <w:multiLevelType w:val="singleLevel"/>
    <w:tmpl w:val="E05C426E"/>
    <w:lvl w:ilvl="0" w:tentative="0">
      <w:start w:val="1"/>
      <w:numFmt w:val="decimal"/>
      <w:suff w:val="nothing"/>
      <w:lvlText w:val="（%1）"/>
      <w:lvlJc w:val="left"/>
    </w:lvl>
  </w:abstractNum>
  <w:abstractNum w:abstractNumId="8">
    <w:nsid w:val="E59200AC"/>
    <w:multiLevelType w:val="singleLevel"/>
    <w:tmpl w:val="E59200AC"/>
    <w:lvl w:ilvl="0" w:tentative="0">
      <w:start w:val="4"/>
      <w:numFmt w:val="decimal"/>
      <w:suff w:val="space"/>
      <w:lvlText w:val="%1."/>
      <w:lvlJc w:val="left"/>
    </w:lvl>
  </w:abstractNum>
  <w:abstractNum w:abstractNumId="9">
    <w:nsid w:val="E771DC45"/>
    <w:multiLevelType w:val="singleLevel"/>
    <w:tmpl w:val="E771DC45"/>
    <w:lvl w:ilvl="0" w:tentative="0">
      <w:start w:val="3"/>
      <w:numFmt w:val="decimal"/>
      <w:suff w:val="nothing"/>
      <w:lvlText w:val="%1."/>
      <w:lvlJc w:val="left"/>
    </w:lvl>
  </w:abstractNum>
  <w:abstractNum w:abstractNumId="10">
    <w:nsid w:val="ED5B2489"/>
    <w:multiLevelType w:val="singleLevel"/>
    <w:tmpl w:val="ED5B2489"/>
    <w:lvl w:ilvl="0" w:tentative="0">
      <w:start w:val="1"/>
      <w:numFmt w:val="decimal"/>
      <w:suff w:val="nothing"/>
      <w:lvlText w:val="（%1）"/>
      <w:lvlJc w:val="left"/>
    </w:lvl>
  </w:abstractNum>
  <w:abstractNum w:abstractNumId="11">
    <w:nsid w:val="F70388BC"/>
    <w:multiLevelType w:val="singleLevel"/>
    <w:tmpl w:val="F70388BC"/>
    <w:lvl w:ilvl="0" w:tentative="0">
      <w:start w:val="1"/>
      <w:numFmt w:val="decimal"/>
      <w:suff w:val="nothing"/>
      <w:lvlText w:val="（%1）"/>
      <w:lvlJc w:val="left"/>
    </w:lvl>
  </w:abstractNum>
  <w:abstractNum w:abstractNumId="12">
    <w:nsid w:val="3B50BEA1"/>
    <w:multiLevelType w:val="singleLevel"/>
    <w:tmpl w:val="3B50BEA1"/>
    <w:lvl w:ilvl="0" w:tentative="0">
      <w:start w:val="1"/>
      <w:numFmt w:val="decimal"/>
      <w:suff w:val="nothing"/>
      <w:lvlText w:val="（%1）"/>
      <w:lvlJc w:val="left"/>
    </w:lvl>
  </w:abstractNum>
  <w:abstractNum w:abstractNumId="13">
    <w:nsid w:val="40E1F2E8"/>
    <w:multiLevelType w:val="singleLevel"/>
    <w:tmpl w:val="40E1F2E8"/>
    <w:lvl w:ilvl="0" w:tentative="0">
      <w:start w:val="1"/>
      <w:numFmt w:val="chineseCounting"/>
      <w:suff w:val="nothing"/>
      <w:lvlText w:val="%1、"/>
      <w:lvlJc w:val="left"/>
      <w:rPr>
        <w:rFonts w:hint="eastAsia"/>
      </w:rPr>
    </w:lvl>
  </w:abstractNum>
  <w:num w:numId="1">
    <w:abstractNumId w:val="4"/>
  </w:num>
  <w:num w:numId="2">
    <w:abstractNumId w:val="5"/>
  </w:num>
  <w:num w:numId="3">
    <w:abstractNumId w:val="1"/>
  </w:num>
  <w:num w:numId="4">
    <w:abstractNumId w:val="6"/>
  </w:num>
  <w:num w:numId="5">
    <w:abstractNumId w:val="10"/>
  </w:num>
  <w:num w:numId="6">
    <w:abstractNumId w:val="8"/>
  </w:num>
  <w:num w:numId="7">
    <w:abstractNumId w:val="2"/>
  </w:num>
  <w:num w:numId="8">
    <w:abstractNumId w:val="12"/>
  </w:num>
  <w:num w:numId="9">
    <w:abstractNumId w:val="11"/>
  </w:num>
  <w:num w:numId="10">
    <w:abstractNumId w:val="0"/>
  </w:num>
  <w:num w:numId="11">
    <w:abstractNumId w:val="7"/>
  </w:num>
  <w:num w:numId="12">
    <w:abstractNumId w:val="13"/>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D27D5"/>
    <w:rsid w:val="02CB036C"/>
    <w:rsid w:val="17F16BC0"/>
    <w:rsid w:val="18797770"/>
    <w:rsid w:val="201F7397"/>
    <w:rsid w:val="20A538E9"/>
    <w:rsid w:val="22D65B11"/>
    <w:rsid w:val="23645C20"/>
    <w:rsid w:val="244F5F3D"/>
    <w:rsid w:val="27CB7F20"/>
    <w:rsid w:val="289B4DD5"/>
    <w:rsid w:val="2F737BAC"/>
    <w:rsid w:val="33EE55C1"/>
    <w:rsid w:val="35035260"/>
    <w:rsid w:val="3F704E97"/>
    <w:rsid w:val="44B70F53"/>
    <w:rsid w:val="555B2926"/>
    <w:rsid w:val="58F4465D"/>
    <w:rsid w:val="5AAD0AFC"/>
    <w:rsid w:val="5C990189"/>
    <w:rsid w:val="5D4A7966"/>
    <w:rsid w:val="67E601AA"/>
    <w:rsid w:val="68BA59E1"/>
    <w:rsid w:val="735D27D5"/>
    <w:rsid w:val="75652C8D"/>
    <w:rsid w:val="7FF86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160" w:after="80"/>
      <w:outlineLvl w:val="1"/>
    </w:pPr>
    <w:rPr>
      <w:rFonts w:eastAsia="微软雅黑" w:asciiTheme="majorAscii" w:hAnsiTheme="majorAscii" w:cstheme="majorBidi"/>
      <w:b/>
      <w:bCs/>
      <w:color w:val="1F4D78"/>
      <w:sz w:val="25"/>
      <w:szCs w:val="2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toc 1"/>
    <w:basedOn w:val="1"/>
    <w:next w:val="1"/>
    <w:qFormat/>
    <w:uiPriority w:val="0"/>
  </w:style>
  <w:style w:type="paragraph" w:styleId="5">
    <w:name w:val="toc 2"/>
    <w:basedOn w:val="1"/>
    <w:next w:val="1"/>
    <w:qFormat/>
    <w:uiPriority w:val="0"/>
    <w:pPr>
      <w:ind w:left="420" w:leftChars="200"/>
    </w:p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jpe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6059</Words>
  <Characters>6462</Characters>
  <Lines>0</Lines>
  <Paragraphs>0</Paragraphs>
  <TotalTime>0</TotalTime>
  <ScaleCrop>false</ScaleCrop>
  <LinksUpToDate>false</LinksUpToDate>
  <CharactersWithSpaces>6593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2026-07-09T11:10:00Z</dcterms:created>
  <dc:creator>颖</dc:creator>
  <cp:lastModifiedBy>行</cp:lastModifiedBy>
  <dcterms:modified xsi:type="dcterms:W3CDTF">2026-07-20T01:24:11Z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E373C2F113EF459E90DAB1C3BE01D503_13</vt:lpwstr>
  </property>
  <property fmtid="{D5CDD505-2E9C-101B-9397-08002B2CF9AE}" pid="4" name="KSOTemplateDocerSaveRecord">
    <vt:lpwstr>eyJoZGlkIjoiMjg1ZTFhZTI0N2UzMmIxMTc0YjNhZTU1ZTllNTMzMDUiLCJ1c2VySWQiOiIxMjM2NzI1Mjk2In0=</vt:lpwstr>
  </property>
</Properties>
</file>