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隆化县第三次全国土壤普查成果质控报告</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default"/>
          <w:sz w:val="28"/>
          <w:szCs w:val="36"/>
          <w:lang w:val="en-US" w:eastAsia="zh-CN"/>
        </w:rPr>
        <w:t>隆化县第三次全国土壤普查成果质控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隆化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本次质控共核查隆化县第三次全国土壤普查成果共计六大类，合计项。其中，土壤类型图成果质控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872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7E1A46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51C713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w:t>
      </w:r>
    </w:p>
    <w:p w14:paraId="03DE2A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18AD8E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E9B9589">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（2）辖区面积与2023年国土变更调查的数据一致，要进行平差。</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74DCD2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B683C76">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180C9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single"/>
          <w:lang w:eastAsia="zh-CN"/>
        </w:rPr>
      </w:pPr>
      <w:r>
        <w:rPr>
          <w:rFonts w:hint="eastAsia" w:ascii="宋体" w:hAnsi="宋体" w:eastAsia="宋体" w:cs="宋体"/>
          <w:b w:val="0"/>
          <w:sz w:val="24"/>
          <w:u w:val="none"/>
          <w:lang w:eastAsia="zh-CN"/>
        </w:rPr>
        <w:t>审查结果：</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32BBCAE1">
      <w:pPr>
        <w:numPr>
          <w:ilvl w:val="0"/>
          <w:numId w:val="0"/>
        </w:numPr>
        <w:spacing w:line="360" w:lineRule="auto"/>
        <w:jc w:val="both"/>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40C0D98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3AAD38A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EB9367D">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是</w:t>
      </w:r>
      <w:r>
        <w:rPr>
          <w:rFonts w:hint="eastAsia" w:ascii="Times New Roman" w:hAnsi="Times New Roman" w:eastAsia="宋体" w:cs="Times New Roman"/>
          <w:b w:val="0"/>
          <w:bCs w:val="0"/>
          <w:color w:val="FF0000"/>
          <w:sz w:val="24"/>
          <w:szCs w:val="24"/>
          <w:lang w:val="en-US" w:eastAsia="zh-CN"/>
        </w:rPr>
        <w:t>，但属性表未包含土壤属性字段，请添加。</w:t>
      </w:r>
    </w:p>
    <w:p w14:paraId="795E3C68">
      <w:pPr>
        <w:numPr>
          <w:ilvl w:val="0"/>
          <w:numId w:val="0"/>
        </w:numPr>
        <w:spacing w:line="360" w:lineRule="auto"/>
        <w:ind w:firstLine="420" w:firstLineChars="200"/>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5264150" cy="2437130"/>
            <wp:effectExtent l="0" t="0" r="317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64150" cy="2437130"/>
                    </a:xfrm>
                    <a:prstGeom prst="rect">
                      <a:avLst/>
                    </a:prstGeom>
                    <a:noFill/>
                    <a:ln>
                      <a:noFill/>
                    </a:ln>
                  </pic:spPr>
                </pic:pic>
              </a:graphicData>
            </a:graphic>
          </wp:inline>
        </w:drawing>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6FB1DE6D">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宋体" w:hAnsi="宋体" w:eastAsia="宋体" w:cs="宋体"/>
          <w:b w:val="0"/>
          <w:bCs w:val="0"/>
          <w:color w:val="FF0000"/>
          <w:sz w:val="24"/>
          <w:szCs w:val="24"/>
          <w:lang w:val="en-US" w:eastAsia="zh-CN"/>
        </w:rPr>
        <w:t>未</w:t>
      </w:r>
      <w:r>
        <w:rPr>
          <w:rFonts w:hint="eastAsia" w:ascii="宋体" w:hAnsi="宋体" w:eastAsia="宋体" w:cs="宋体"/>
          <w:b w:val="0"/>
          <w:bCs w:val="0"/>
          <w:color w:val="FF0000"/>
          <w:sz w:val="24"/>
          <w:szCs w:val="24"/>
        </w:rPr>
        <w:t>包含剖面样点，审核该剖面样点土壤属性值是否根据土层厚度进行加权 平均处理（0-20cm），需在报告中</w:t>
      </w:r>
      <w:r>
        <w:rPr>
          <w:rFonts w:hint="eastAsia" w:ascii="宋体" w:hAnsi="宋体" w:eastAsia="宋体" w:cs="宋体"/>
          <w:b w:val="0"/>
          <w:bCs w:val="0"/>
          <w:color w:val="FF0000"/>
          <w:sz w:val="24"/>
          <w:szCs w:val="24"/>
          <w:lang w:val="en-US" w:eastAsia="zh-CN"/>
        </w:rPr>
        <w:t>解释说明。</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3D110376">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3DE448AE">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 xml:space="preserve"> 否，未提交。</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查看数据库中的历史样点数据集，并查看是否存在相应的栅格数据，栅格数据和样点数据是否完整。缺少数据直接指出，数据不完整截图指出。</w:t>
      </w:r>
    </w:p>
    <w:p w14:paraId="08E5452D">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 xml:space="preserve"> 否，未提交。</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1A647491">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 xml:space="preserve"> 否，未提交。</w:t>
      </w:r>
    </w:p>
    <w:p w14:paraId="5FD117C8">
      <w:pPr>
        <w:widowControl w:val="0"/>
        <w:numPr>
          <w:ilvl w:val="0"/>
          <w:numId w:val="4"/>
        </w:numPr>
        <w:spacing w:line="360" w:lineRule="auto"/>
        <w:jc w:val="both"/>
        <w:rPr>
          <w:rFonts w:hint="eastAsia"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val="en-US" w:eastAsia="zh-CN"/>
        </w:rPr>
        <w:t>环境变量（辐射和土壤类型改成英文模式）</w:t>
      </w:r>
    </w:p>
    <w:p w14:paraId="11845273">
      <w:pPr>
        <w:widowControl w:val="0"/>
        <w:numPr>
          <w:ilvl w:val="0"/>
          <w:numId w:val="0"/>
        </w:numPr>
        <w:spacing w:line="360" w:lineRule="auto"/>
        <w:jc w:val="both"/>
        <w:rPr>
          <w:rFonts w:hint="default" w:ascii="Times New Roman" w:hAnsi="Times New Roman" w:eastAsia="宋体" w:cs="Times New Roman"/>
          <w:b/>
          <w:bCs/>
          <w:color w:val="FF0000"/>
          <w:sz w:val="24"/>
          <w:szCs w:val="24"/>
          <w:lang w:val="en-US" w:eastAsia="zh-CN"/>
        </w:rPr>
      </w:pPr>
      <w:r>
        <w:drawing>
          <wp:inline distT="0" distB="0" distL="114300" distR="114300">
            <wp:extent cx="5271770" cy="3576955"/>
            <wp:effectExtent l="0" t="0" r="508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71770" cy="3576955"/>
                    </a:xfrm>
                    <a:prstGeom prst="rect">
                      <a:avLst/>
                    </a:prstGeom>
                    <a:noFill/>
                    <a:ln>
                      <a:noFill/>
                    </a:ln>
                  </pic:spPr>
                </pic:pic>
              </a:graphicData>
            </a:graphic>
          </wp:inline>
        </w:drawing>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67AC9E5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21C39A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17DABF7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0828080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1F8E7CB5">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sz w:val="24"/>
          <w:szCs w:val="24"/>
          <w:lang w:val="en-US" w:eastAsia="zh-CN"/>
        </w:rPr>
        <w:t>是。</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3570F2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将土地利用环境变量与2023年三调数据进行数据属性表对照。是哑变量则一一对应检查</w:t>
      </w:r>
    </w:p>
    <w:p w14:paraId="6122A5BE">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sz w:val="24"/>
          <w:szCs w:val="24"/>
          <w:lang w:val="en-US" w:eastAsia="zh-CN"/>
        </w:rPr>
        <w:t xml:space="preserve">   是。</w:t>
      </w:r>
    </w:p>
    <w:p w14:paraId="42FCAF83">
      <w:pPr>
        <w:numPr>
          <w:ilvl w:val="0"/>
          <w:numId w:val="0"/>
        </w:numPr>
        <w:spacing w:line="360" w:lineRule="auto"/>
        <w:ind w:firstLine="241" w:firstLineChars="100"/>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FD3A1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52A936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否，报告中未发现长时间序列数据。</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否，请修改</w:t>
      </w:r>
    </w:p>
    <w:p w14:paraId="78A72792">
      <w:pPr>
        <w:numPr>
          <w:ilvl w:val="0"/>
          <w:numId w:val="5"/>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环境变量图层数据的空间分布是否准确合理，是否存在明显的条带状或斑点噪声</w:t>
      </w:r>
    </w:p>
    <w:p w14:paraId="6EA47456">
      <w:pPr>
        <w:numPr>
          <w:ilvl w:val="0"/>
          <w:numId w:val="0"/>
        </w:numPr>
        <w:spacing w:line="360" w:lineRule="auto"/>
        <w:ind w:firstLine="480" w:firstLineChars="200"/>
        <w:jc w:val="both"/>
        <w:rPr>
          <w:rFonts w:hint="default"/>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FB46FBA">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否，没有排序表。</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FBABCEC">
      <w:pPr>
        <w:numPr>
          <w:ilvl w:val="0"/>
          <w:numId w:val="0"/>
        </w:numPr>
        <w:spacing w:line="360" w:lineRule="auto"/>
        <w:ind w:left="239" w:leftChars="114" w:firstLine="241"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否，不存在共线性。</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0F56E2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233E749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6D0F71E3">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根据以下参考图修改</w:t>
      </w:r>
    </w:p>
    <w:p w14:paraId="50D3ABBF">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参考下图：</w:t>
      </w:r>
    </w:p>
    <w:p w14:paraId="5C321B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5266690" cy="2056130"/>
            <wp:effectExtent l="0" t="0" r="635" b="1270"/>
            <wp:docPr id="10" name="图片 10" descr="c2fc32bcfc20b44300de710444e3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2fc32bcfc20b44300de710444e3e13b"/>
                    <pic:cNvPicPr>
                      <a:picLocks noChangeAspect="1"/>
                    </pic:cNvPicPr>
                  </pic:nvPicPr>
                  <pic:blipFill>
                    <a:blip r:embed="rId6"/>
                    <a:stretch>
                      <a:fillRect/>
                    </a:stretch>
                  </pic:blipFill>
                  <pic:spPr>
                    <a:xfrm>
                      <a:off x="0" y="0"/>
                      <a:ext cx="5266690" cy="2056130"/>
                    </a:xfrm>
                    <a:prstGeom prst="rect">
                      <a:avLst/>
                    </a:prstGeom>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6202761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否，请根据以下表格修改</w:t>
      </w:r>
      <w:r>
        <w:rPr>
          <w:rFonts w:hint="eastAsia" w:ascii="Times New Roman" w:hAnsi="Times New Roman" w:eastAsia="宋体" w:cs="Times New Roman"/>
          <w:b w:val="0"/>
          <w:bCs w:val="0"/>
          <w:sz w:val="24"/>
          <w:szCs w:val="24"/>
          <w:lang w:val="en-US" w:eastAsia="zh-CN"/>
        </w:rPr>
        <w:t>。</w:t>
      </w:r>
    </w:p>
    <w:p w14:paraId="2BDDE03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415915" cy="6706235"/>
            <wp:effectExtent l="0" t="0" r="3810" b="889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7"/>
                    <a:stretch>
                      <a:fillRect/>
                    </a:stretch>
                  </pic:blipFill>
                  <pic:spPr>
                    <a:xfrm>
                      <a:off x="0" y="0"/>
                      <a:ext cx="5415915" cy="670623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0295C4AD">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否，按照下图修改</w:t>
      </w:r>
    </w:p>
    <w:p w14:paraId="254633A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5272405" cy="3119120"/>
            <wp:effectExtent l="0" t="0" r="4445" b="508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8"/>
                    <a:stretch>
                      <a:fillRect/>
                    </a:stretch>
                  </pic:blipFill>
                  <pic:spPr>
                    <a:xfrm>
                      <a:off x="0" y="0"/>
                      <a:ext cx="5272405" cy="311912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621EA4A5">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否，请根据下图修改。</w:t>
      </w:r>
    </w:p>
    <w:p w14:paraId="317BE940">
      <w:pPr>
        <w:numPr>
          <w:ilvl w:val="0"/>
          <w:numId w:val="0"/>
        </w:numPr>
        <w:spacing w:line="360" w:lineRule="auto"/>
        <w:ind w:firstLine="420" w:firstLineChars="200"/>
        <w:jc w:val="both"/>
      </w:pPr>
      <w:r>
        <w:drawing>
          <wp:inline distT="0" distB="0" distL="114300" distR="114300">
            <wp:extent cx="5269230" cy="5821045"/>
            <wp:effectExtent l="0" t="0" r="7620"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69230" cy="5821045"/>
                    </a:xfrm>
                    <a:prstGeom prst="rect">
                      <a:avLst/>
                    </a:prstGeom>
                    <a:noFill/>
                    <a:ln>
                      <a:noFill/>
                    </a:ln>
                  </pic:spPr>
                </pic:pic>
              </a:graphicData>
            </a:graphic>
          </wp:inline>
        </w:drawing>
      </w:r>
    </w:p>
    <w:p w14:paraId="3A5DD97A">
      <w:pPr>
        <w:numPr>
          <w:ilvl w:val="0"/>
          <w:numId w:val="0"/>
        </w:numPr>
        <w:spacing w:line="360" w:lineRule="auto"/>
        <w:ind w:firstLine="420" w:firstLineChars="200"/>
        <w:jc w:val="both"/>
        <w:rPr>
          <w:rFonts w:hint="default"/>
          <w:lang w:val="en-US" w:eastAsia="zh-CN"/>
        </w:rPr>
      </w:pPr>
      <w:r>
        <w:drawing>
          <wp:inline distT="0" distB="0" distL="114300" distR="114300">
            <wp:extent cx="5269230" cy="4949190"/>
            <wp:effectExtent l="0" t="0" r="7620" b="381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5269230" cy="494919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769C8116">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否，请根据以下表格调整耕层厚度</w:t>
      </w:r>
    </w:p>
    <w:p w14:paraId="326CFE78">
      <w:pPr>
        <w:numPr>
          <w:ilvl w:val="0"/>
          <w:numId w:val="0"/>
        </w:numPr>
        <w:spacing w:line="360" w:lineRule="auto"/>
        <w:jc w:val="both"/>
        <w:rPr>
          <w:rFonts w:hint="eastAsia"/>
          <w:b/>
          <w:bCs/>
          <w:sz w:val="24"/>
          <w:szCs w:val="24"/>
          <w:lang w:val="en-US" w:eastAsia="zh-CN"/>
        </w:rPr>
      </w:pPr>
      <w:r>
        <w:drawing>
          <wp:inline distT="0" distB="0" distL="114300" distR="114300">
            <wp:extent cx="5415915" cy="6706235"/>
            <wp:effectExtent l="0" t="0" r="381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5415915" cy="6706235"/>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缺少面积统计表或面积统计表不完整（在属性图中）；坐标、投影、高程基准、署名等图廓信息是否完整。</w:t>
      </w:r>
    </w:p>
    <w:p w14:paraId="7FDC0D6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5201869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7645F2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DA8F841">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路线图仅标注 R²、RMSE 两个指标，需完善。</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47D94B6">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报告仅给出最终最优模型，文字未说明克里金、多元线性回归、随机森林等多种模型的对比试验方案、评价指标（R²、MAE、RMSE）</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4EF64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376B15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已说明。</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43E55C8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204A7A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2DD7D6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5A6FC27D">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分析深度不足、展示形式单一、缺少定量驱动解析，未形成系统的驱动机制论证，整体分析展示不充分，达不到三普成果深度分析要求</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无分级精度验证，评价指标过于单一。</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缺少图面可视化空间分析</w:t>
      </w:r>
      <w:r>
        <w:rPr>
          <w:rFonts w:hint="eastAsia" w:ascii="Times New Roman" w:hAnsi="Times New Roman" w:eastAsia="宋体" w:cs="Times New Roman"/>
          <w:b w:val="0"/>
          <w:bCs w:val="0"/>
          <w:color w:val="FF0000"/>
          <w:sz w:val="24"/>
          <w:szCs w:val="24"/>
          <w:lang w:val="en-US" w:eastAsia="zh-CN"/>
        </w:rPr>
        <w:t>，局部空间异常区未细化剖析。</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0947249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pH、全磷、全钾：样点统计与制图统计差异不显著，全域土壤本底均匀，采样代表性较好；</w:t>
      </w:r>
    </w:p>
    <w:p w14:paraId="1115ECF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有效土层厚度、有机质、全氮、有效磷、速效钾：差异极显著，核心原因是采样点位集中在河谷耕地，占县域绝大部分面积的山地、林地采样稀疏，模型插值还原了大面积自然土壤的真实低值 / 高值；</w:t>
      </w:r>
    </w:p>
    <w:p w14:paraId="6E35FA1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阳离子交换量、有效钼、有效锌、有效硼：存在轻度至中度显著差异；</w:t>
      </w:r>
    </w:p>
    <w:p w14:paraId="2FADE770">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本质：二者统计对象完全不同（离散采样点 vs 全域栅格面数据），林地、山地占比极高的山区县域，两类数据天然会出现明显分异，制图统计更能代表全县土壤整体真实水平。</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051B5949">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整体数据逻辑自洽，无根本性错误，仅部分数值存在可解释统计差异，所有指标单位均规范无误</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D0C7F4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08B7CD82">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96564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430E18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64DC4F3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依据三普土壤分类国标，将全文所有二普旧亚类、土属名称逐一转换为三普标准名称</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合理。</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完整。</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24D50940">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规范</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需要结合当地土壤问题给出进一步解决方案</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57D8B0A7">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分析完整。</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776A98E8">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完整</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64E18ADF">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6BD75DDF">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定量分析的深度不足，需完善</w:t>
      </w:r>
    </w:p>
    <w:p w14:paraId="3F3AA12D">
      <w:pPr>
        <w:numPr>
          <w:ilvl w:val="0"/>
          <w:numId w:val="6"/>
        </w:numPr>
        <w:spacing w:line="360" w:lineRule="auto"/>
        <w:jc w:val="both"/>
        <w:rPr>
          <w:rFonts w:hint="eastAsia"/>
          <w:b/>
          <w:bCs/>
          <w:sz w:val="24"/>
          <w:szCs w:val="24"/>
          <w:lang w:val="en-US" w:eastAsia="zh-CN"/>
        </w:rPr>
      </w:pPr>
      <w:r>
        <w:rPr>
          <w:rFonts w:hint="eastAsia"/>
          <w:b/>
          <w:bCs/>
          <w:sz w:val="24"/>
          <w:szCs w:val="24"/>
          <w:lang w:val="en-US" w:eastAsia="zh-CN"/>
        </w:rPr>
        <w:t>其他</w:t>
      </w:r>
    </w:p>
    <w:p w14:paraId="709A1FB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3B3F4A18">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77B33BF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数据层面：两套统计口径缺少系统区分与对比解释，统计参数不全，无历史对比数据支撑；</w:t>
      </w:r>
    </w:p>
    <w:p w14:paraId="714C3479">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图表层面：图表简化严重、配套附表缺失，图文解读不足，排版与标注存在疏漏；</w:t>
      </w:r>
    </w:p>
    <w:p w14:paraId="02A1719B">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分析层面：相关性、乡镇、历史变化分析浅层化，缺乏隆化本地产业、山区地貌针对性，障碍土壤未分区；</w:t>
      </w:r>
    </w:p>
    <w:p w14:paraId="675EA56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制图层面：模型精度成因、环境驱动因子分析不足，成果应用落地性差；</w:t>
      </w:r>
    </w:p>
    <w:p w14:paraId="53BDA463">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应用层面：改良措施模板化，无分乡镇、分地块差异化管控方案，无法直接支撑县域农业、生态规划；</w:t>
      </w:r>
    </w:p>
    <w:p w14:paraId="362EB7E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规范层面：报告格式不完整，缺少标准技术报告必备摘要、对比章节、附录材料。</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63474B4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同上</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1B771087">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4C51B231">
      <w:pPr>
        <w:numPr>
          <w:ilvl w:val="0"/>
          <w:numId w:val="6"/>
        </w:numPr>
        <w:spacing w:line="360" w:lineRule="auto"/>
        <w:ind w:left="0" w:leftChars="0" w:firstLine="0" w:firstLineChars="0"/>
        <w:jc w:val="both"/>
        <w:rPr>
          <w:rFonts w:hint="eastAsia"/>
          <w:b/>
          <w:bCs/>
          <w:sz w:val="24"/>
          <w:szCs w:val="24"/>
          <w:lang w:val="en-US" w:eastAsia="zh-CN"/>
        </w:rPr>
      </w:pPr>
      <w:r>
        <w:rPr>
          <w:rFonts w:hint="eastAsia"/>
          <w:b/>
          <w:bCs/>
          <w:sz w:val="24"/>
          <w:szCs w:val="24"/>
          <w:lang w:val="en-US" w:eastAsia="zh-CN"/>
        </w:rPr>
        <w:t>现状分析不深入</w:t>
      </w:r>
    </w:p>
    <w:p w14:paraId="2F1C00E8">
      <w:pPr>
        <w:numPr>
          <w:ilvl w:val="0"/>
          <w:numId w:val="0"/>
        </w:numPr>
        <w:spacing w:line="360" w:lineRule="auto"/>
        <w:ind w:leftChars="0"/>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 xml:space="preserve">    </w:t>
      </w:r>
      <w:r>
        <w:rPr>
          <w:rFonts w:hint="eastAsia" w:ascii="Times New Roman" w:hAnsi="Times New Roman" w:eastAsia="宋体" w:cs="Times New Roman"/>
          <w:b w:val="0"/>
          <w:bCs w:val="0"/>
          <w:sz w:val="24"/>
          <w:szCs w:val="24"/>
          <w:lang w:val="en-US" w:eastAsia="zh-CN"/>
        </w:rPr>
        <w:t xml:space="preserve"> 需完善说明现状分析与其实际应用价值</w:t>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27AE1FF6">
      <w:pPr>
        <w:numPr>
          <w:ilvl w:val="0"/>
          <w:numId w:val="7"/>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剔除样点过多，且无明确的逐个样点剔除说明</w:t>
      </w:r>
    </w:p>
    <w:p w14:paraId="003E3E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（二）</w:t>
      </w:r>
      <w:r>
        <w:rPr>
          <w:rFonts w:hint="eastAsia" w:ascii="Times New Roman" w:hAnsi="Times New Roman" w:eastAsia="宋体" w:cs="Times New Roman"/>
          <w:b w:val="0"/>
          <w:bCs w:val="0"/>
          <w:sz w:val="24"/>
          <w:szCs w:val="24"/>
          <w:lang w:val="en-US" w:eastAsia="zh-CN"/>
        </w:rPr>
        <w:t>环境变量制备仅包括部分成土要素，未针对指标特征筛选环境变量，造成入模环境变量不合理</w:t>
      </w:r>
    </w:p>
    <w:p w14:paraId="4F5FF7F2">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（三）</w:t>
      </w:r>
      <w:r>
        <w:rPr>
          <w:rFonts w:hint="eastAsia" w:ascii="Times New Roman" w:hAnsi="Times New Roman" w:eastAsia="宋体" w:cs="Times New Roman"/>
          <w:b w:val="0"/>
          <w:bCs w:val="0"/>
          <w:sz w:val="24"/>
          <w:szCs w:val="24"/>
          <w:lang w:val="en-US" w:eastAsia="zh-CN"/>
        </w:rPr>
        <w:t>山地丘陵区采用普通克里格或IDW模型</w:t>
      </w:r>
    </w:p>
    <w:p w14:paraId="48EED10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（四）</w:t>
      </w:r>
      <w:r>
        <w:rPr>
          <w:rFonts w:hint="eastAsia" w:ascii="Times New Roman" w:hAnsi="Times New Roman" w:eastAsia="宋体" w:cs="Times New Roman"/>
          <w:b w:val="0"/>
          <w:bCs w:val="0"/>
          <w:sz w:val="24"/>
          <w:szCs w:val="24"/>
          <w:lang w:val="en-US" w:eastAsia="zh-CN"/>
        </w:rPr>
        <w:t>制图结果空间分布明显与实际不符（如DEM高，PH低的规律）</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7C8FBAB4">
      <w:pPr>
        <w:keepNext w:val="0"/>
        <w:keepLines w:val="0"/>
        <w:pageBreakBefore w:val="0"/>
        <w:widowControl w:val="0"/>
        <w:kinsoku/>
        <w:wordWrap/>
        <w:overflowPunct/>
        <w:topLinePunct w:val="0"/>
        <w:autoSpaceDE/>
        <w:autoSpaceDN/>
        <w:bidi w:val="0"/>
        <w:adjustRightInd/>
        <w:snapToGrid/>
        <w:jc w:val="both"/>
        <w:textAlignment w:val="auto"/>
        <w:rPr>
          <w:rFonts w:hint="eastAsia"/>
          <w:sz w:val="32"/>
          <w:szCs w:val="32"/>
          <w:lang w:val="en-US" w:eastAsia="zh-CN"/>
        </w:rPr>
      </w:pPr>
      <w:bookmarkStart w:id="12" w:name="_GoBack"/>
      <w:bookmarkEnd w:id="12"/>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976DCCE4"/>
    <w:multiLevelType w:val="singleLevel"/>
    <w:tmpl w:val="976DCCE4"/>
    <w:lvl w:ilvl="0" w:tentative="0">
      <w:start w:val="1"/>
      <w:numFmt w:val="chineseCounting"/>
      <w:suff w:val="nothing"/>
      <w:lvlText w:val="（%1）"/>
      <w:lvlJc w:val="left"/>
      <w:rPr>
        <w:rFonts w:hint="eastAsia"/>
      </w:rPr>
    </w:lvl>
  </w:abstractNum>
  <w:abstractNum w:abstractNumId="2">
    <w:nsid w:val="BFC5C279"/>
    <w:multiLevelType w:val="singleLevel"/>
    <w:tmpl w:val="BFC5C279"/>
    <w:lvl w:ilvl="0" w:tentative="0">
      <w:start w:val="1"/>
      <w:numFmt w:val="chineseCounting"/>
      <w:suff w:val="nothing"/>
      <w:lvlText w:val="（%1）"/>
      <w:lvlJc w:val="left"/>
      <w:rPr>
        <w:rFonts w:hint="eastAsia"/>
      </w:rPr>
    </w:lvl>
  </w:abstractNum>
  <w:abstractNum w:abstractNumId="3">
    <w:nsid w:val="CFAB4ED3"/>
    <w:multiLevelType w:val="singleLevel"/>
    <w:tmpl w:val="CFAB4ED3"/>
    <w:lvl w:ilvl="0" w:tentative="0">
      <w:start w:val="4"/>
      <w:numFmt w:val="decimal"/>
      <w:lvlText w:val="%1."/>
      <w:lvlJc w:val="left"/>
      <w:pPr>
        <w:tabs>
          <w:tab w:val="left" w:pos="312"/>
        </w:tabs>
      </w:pPr>
    </w:lvl>
  </w:abstractNum>
  <w:abstractNum w:abstractNumId="4">
    <w:nsid w:val="D9A31F25"/>
    <w:multiLevelType w:val="singleLevel"/>
    <w:tmpl w:val="D9A31F25"/>
    <w:lvl w:ilvl="0" w:tentative="0">
      <w:start w:val="3"/>
      <w:numFmt w:val="chineseCounting"/>
      <w:suff w:val="nothing"/>
      <w:lvlText w:val="（%1）"/>
      <w:lvlJc w:val="left"/>
      <w:rPr>
        <w:rFonts w:hint="eastAsia"/>
      </w:rPr>
    </w:lvl>
  </w:abstractNum>
  <w:abstractNum w:abstractNumId="5">
    <w:nsid w:val="40E1F2E8"/>
    <w:multiLevelType w:val="singleLevel"/>
    <w:tmpl w:val="40E1F2E8"/>
    <w:lvl w:ilvl="0" w:tentative="0">
      <w:start w:val="1"/>
      <w:numFmt w:val="chineseCounting"/>
      <w:suff w:val="nothing"/>
      <w:lvlText w:val="%1、"/>
      <w:lvlJc w:val="left"/>
      <w:rPr>
        <w:rFonts w:hint="eastAsia"/>
      </w:rPr>
    </w:lvl>
  </w:abstractNum>
  <w:abstractNum w:abstractNumId="6">
    <w:nsid w:val="4794ADAA"/>
    <w:multiLevelType w:val="singleLevel"/>
    <w:tmpl w:val="4794ADAA"/>
    <w:lvl w:ilvl="0" w:tentative="0">
      <w:start w:val="4"/>
      <w:numFmt w:val="chineseCounting"/>
      <w:suff w:val="nothing"/>
      <w:lvlText w:val="（%1）"/>
      <w:lvlJc w:val="left"/>
      <w:rPr>
        <w:rFonts w:hint="eastAsia"/>
      </w:rPr>
    </w:lvl>
  </w:abstractNum>
  <w:num w:numId="1">
    <w:abstractNumId w:val="0"/>
  </w:num>
  <w:num w:numId="2">
    <w:abstractNumId w:val="2"/>
  </w:num>
  <w:num w:numId="3">
    <w:abstractNumId w:val="5"/>
  </w:num>
  <w:num w:numId="4">
    <w:abstractNumId w:val="4"/>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7F16BC0"/>
    <w:rsid w:val="18797770"/>
    <w:rsid w:val="20A538E9"/>
    <w:rsid w:val="22D65B11"/>
    <w:rsid w:val="23645C20"/>
    <w:rsid w:val="27CB7F20"/>
    <w:rsid w:val="289B4DD5"/>
    <w:rsid w:val="3F704E97"/>
    <w:rsid w:val="5C990189"/>
    <w:rsid w:val="5D4A7966"/>
    <w:rsid w:val="611D2A77"/>
    <w:rsid w:val="67E601AA"/>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4903</Words>
  <Characters>5223</Characters>
  <Lines>0</Lines>
  <Paragraphs>0</Paragraphs>
  <TotalTime>0</TotalTime>
  <ScaleCrop>false</ScaleCrop>
  <LinksUpToDate>false</LinksUpToDate>
  <CharactersWithSpaces>5343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落寞</cp:lastModifiedBy>
  <dcterms:modified xsi:type="dcterms:W3CDTF">2026-07-19T12:52:29Z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567DF703F89E4534A094A243B6E4BC39_13</vt:lpwstr>
  </property>
  <property fmtid="{D5CDD505-2E9C-101B-9397-08002B2CF9AE}" pid="4" name="KSOTemplateDocerSaveRecord">
    <vt:lpwstr>eyJoZGlkIjoiMTQ4ZWQ0NDI3NzZiMGJmZTBjZjRkMmUxOWE3Y2Y2NWQiLCJ1c2VySWQiOiI2MTUwODE3MDUifQ==</vt:lpwstr>
  </property>
</Properties>
</file>