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4005C">
      <w:pPr>
        <w:jc w:val="center"/>
        <w:rPr>
          <w:rFonts w:hint="eastAsia"/>
          <w:sz w:val="28"/>
          <w:szCs w:val="36"/>
          <w:lang w:val="en-US" w:eastAsia="zh-CN"/>
        </w:rPr>
      </w:pPr>
    </w:p>
    <w:p w14:paraId="300155C3">
      <w:pPr>
        <w:jc w:val="center"/>
        <w:rPr>
          <w:rFonts w:hint="eastAsia"/>
          <w:sz w:val="28"/>
          <w:szCs w:val="36"/>
          <w:lang w:val="en-US" w:eastAsia="zh-CN"/>
        </w:rPr>
      </w:pPr>
    </w:p>
    <w:p w14:paraId="75494991">
      <w:pPr>
        <w:jc w:val="center"/>
        <w:rPr>
          <w:rFonts w:hint="eastAsia"/>
          <w:sz w:val="28"/>
          <w:szCs w:val="36"/>
          <w:lang w:val="en-US" w:eastAsia="zh-CN"/>
        </w:rPr>
      </w:pPr>
    </w:p>
    <w:p w14:paraId="533D2CBD">
      <w:pPr>
        <w:jc w:val="center"/>
        <w:rPr>
          <w:rFonts w:hint="eastAsia"/>
          <w:sz w:val="28"/>
          <w:szCs w:val="36"/>
          <w:lang w:val="en-US" w:eastAsia="zh-CN"/>
        </w:rPr>
      </w:pPr>
    </w:p>
    <w:p w14:paraId="16C207F3">
      <w:pPr>
        <w:jc w:val="center"/>
        <w:rPr>
          <w:rFonts w:hint="eastAsia"/>
          <w:sz w:val="36"/>
          <w:szCs w:val="44"/>
          <w:lang w:val="en-US" w:eastAsia="zh-CN"/>
        </w:rPr>
      </w:pPr>
      <w:r>
        <w:rPr>
          <w:rFonts w:hint="eastAsia"/>
          <w:sz w:val="36"/>
          <w:szCs w:val="44"/>
          <w:lang w:val="en-US" w:eastAsia="zh-CN"/>
        </w:rPr>
        <w:t>雄县、安新县第三次全国土壤普查成果质控报告</w:t>
      </w:r>
    </w:p>
    <w:p w14:paraId="00D0BA81">
      <w:pPr>
        <w:jc w:val="center"/>
        <w:rPr>
          <w:rFonts w:hint="default"/>
          <w:sz w:val="36"/>
          <w:szCs w:val="44"/>
          <w:lang w:val="en-US" w:eastAsia="zh-CN"/>
        </w:rPr>
      </w:pPr>
      <w:r>
        <w:rPr>
          <w:rFonts w:hint="eastAsia"/>
          <w:sz w:val="36"/>
          <w:szCs w:val="44"/>
          <w:lang w:val="en-US" w:eastAsia="zh-CN"/>
        </w:rPr>
        <w:t xml:space="preserve">                             </w:t>
      </w:r>
      <w:bookmarkStart w:id="12" w:name="_GoBack"/>
      <w:bookmarkEnd w:id="12"/>
      <w:r>
        <w:rPr>
          <w:rFonts w:hint="eastAsia"/>
          <w:sz w:val="36"/>
          <w:szCs w:val="44"/>
          <w:lang w:val="en-US" w:eastAsia="zh-CN"/>
        </w:rPr>
        <w:t>——以雄县为例</w:t>
      </w:r>
    </w:p>
    <w:p w14:paraId="68B28691">
      <w:pPr>
        <w:jc w:val="center"/>
        <w:rPr>
          <w:rFonts w:hint="eastAsia"/>
          <w:sz w:val="36"/>
          <w:szCs w:val="44"/>
          <w:lang w:val="en-US" w:eastAsia="zh-CN"/>
        </w:rPr>
      </w:pPr>
      <w:r>
        <w:rPr>
          <w:rFonts w:hint="eastAsia"/>
          <w:sz w:val="36"/>
          <w:szCs w:val="44"/>
          <w:lang w:val="en-US" w:eastAsia="zh-CN"/>
        </w:rPr>
        <w:t>（第一轮）</w:t>
      </w:r>
    </w:p>
    <w:p w14:paraId="59CB007E">
      <w:pPr>
        <w:jc w:val="center"/>
        <w:rPr>
          <w:rFonts w:hint="eastAsia"/>
          <w:sz w:val="28"/>
          <w:szCs w:val="36"/>
          <w:lang w:val="en-US" w:eastAsia="zh-CN"/>
        </w:rPr>
      </w:pPr>
    </w:p>
    <w:p w14:paraId="63E619A4">
      <w:pPr>
        <w:jc w:val="center"/>
        <w:rPr>
          <w:rFonts w:hint="eastAsia"/>
          <w:sz w:val="28"/>
          <w:szCs w:val="36"/>
          <w:lang w:val="en-US" w:eastAsia="zh-CN"/>
        </w:rPr>
      </w:pPr>
    </w:p>
    <w:p w14:paraId="71F9684B">
      <w:pPr>
        <w:jc w:val="center"/>
        <w:rPr>
          <w:rFonts w:hint="eastAsia"/>
          <w:sz w:val="28"/>
          <w:szCs w:val="36"/>
          <w:lang w:val="en-US" w:eastAsia="zh-CN"/>
        </w:rPr>
      </w:pPr>
    </w:p>
    <w:p w14:paraId="30D3F2D2">
      <w:pPr>
        <w:jc w:val="center"/>
        <w:rPr>
          <w:rFonts w:hint="eastAsia"/>
          <w:sz w:val="28"/>
          <w:szCs w:val="36"/>
          <w:lang w:val="en-US" w:eastAsia="zh-CN"/>
        </w:rPr>
      </w:pPr>
    </w:p>
    <w:p w14:paraId="19FA743D">
      <w:pPr>
        <w:jc w:val="center"/>
        <w:rPr>
          <w:rFonts w:hint="eastAsia"/>
          <w:sz w:val="28"/>
          <w:szCs w:val="36"/>
          <w:lang w:val="en-US" w:eastAsia="zh-CN"/>
        </w:rPr>
      </w:pPr>
    </w:p>
    <w:p w14:paraId="69837041">
      <w:pPr>
        <w:jc w:val="center"/>
        <w:rPr>
          <w:rFonts w:hint="eastAsia"/>
          <w:sz w:val="28"/>
          <w:szCs w:val="36"/>
          <w:lang w:val="en-US" w:eastAsia="zh-CN"/>
        </w:rPr>
      </w:pPr>
    </w:p>
    <w:p w14:paraId="76CF88F3">
      <w:pPr>
        <w:jc w:val="center"/>
        <w:rPr>
          <w:rFonts w:hint="eastAsia"/>
          <w:sz w:val="28"/>
          <w:szCs w:val="36"/>
          <w:lang w:val="en-US" w:eastAsia="zh-CN"/>
        </w:rPr>
      </w:pPr>
    </w:p>
    <w:p w14:paraId="17A5C5E0">
      <w:pPr>
        <w:jc w:val="center"/>
        <w:rPr>
          <w:rFonts w:hint="eastAsia"/>
          <w:sz w:val="28"/>
          <w:szCs w:val="36"/>
          <w:lang w:val="en-US" w:eastAsia="zh-CN"/>
        </w:rPr>
      </w:pPr>
    </w:p>
    <w:p w14:paraId="1E82C99D">
      <w:pPr>
        <w:jc w:val="center"/>
        <w:rPr>
          <w:rFonts w:hint="eastAsia"/>
          <w:sz w:val="28"/>
          <w:szCs w:val="36"/>
          <w:lang w:val="en-US" w:eastAsia="zh-CN"/>
        </w:rPr>
      </w:pPr>
    </w:p>
    <w:p w14:paraId="032C8339">
      <w:pPr>
        <w:jc w:val="center"/>
        <w:rPr>
          <w:rFonts w:hint="eastAsia"/>
          <w:sz w:val="28"/>
          <w:szCs w:val="36"/>
          <w:lang w:val="en-US" w:eastAsia="zh-CN"/>
        </w:rPr>
      </w:pPr>
    </w:p>
    <w:p w14:paraId="7B6D09E1">
      <w:pPr>
        <w:jc w:val="center"/>
        <w:rPr>
          <w:rFonts w:hint="eastAsia"/>
          <w:sz w:val="28"/>
          <w:szCs w:val="36"/>
          <w:lang w:val="en-US" w:eastAsia="zh-CN"/>
        </w:rPr>
      </w:pPr>
    </w:p>
    <w:p w14:paraId="729F39C0">
      <w:pPr>
        <w:jc w:val="center"/>
        <w:rPr>
          <w:rFonts w:hint="eastAsia"/>
          <w:sz w:val="28"/>
          <w:szCs w:val="36"/>
          <w:lang w:val="en-US" w:eastAsia="zh-CN"/>
        </w:rPr>
      </w:pPr>
    </w:p>
    <w:p w14:paraId="1CBFFBA1">
      <w:pPr>
        <w:jc w:val="center"/>
        <w:rPr>
          <w:rFonts w:hint="eastAsia"/>
          <w:sz w:val="28"/>
          <w:szCs w:val="36"/>
          <w:lang w:val="en-US" w:eastAsia="zh-CN"/>
        </w:rPr>
      </w:pPr>
    </w:p>
    <w:p w14:paraId="45B1599E">
      <w:pPr>
        <w:jc w:val="center"/>
        <w:rPr>
          <w:rFonts w:hint="default"/>
          <w:sz w:val="28"/>
          <w:szCs w:val="36"/>
          <w:lang w:val="en-US" w:eastAsia="zh-CN"/>
        </w:rPr>
        <w:sectPr>
          <w:pgSz w:w="11906" w:h="16838"/>
          <w:pgMar w:top="1440" w:right="1800" w:bottom="1440" w:left="1800" w:header="851" w:footer="992" w:gutter="0"/>
          <w:cols w:space="425" w:num="1"/>
          <w:docGrid w:type="lines" w:linePitch="312" w:charSpace="0"/>
        </w:sectPr>
      </w:pPr>
      <w:r>
        <w:rPr>
          <w:rFonts w:hint="eastAsia"/>
          <w:sz w:val="28"/>
          <w:szCs w:val="36"/>
          <w:lang w:val="en-US" w:eastAsia="zh-CN"/>
        </w:rPr>
        <w:t>2026年7月15日</w:t>
      </w:r>
    </w:p>
    <w:sdt>
      <w:sdtPr>
        <w:rPr>
          <w:rFonts w:ascii="宋体" w:hAnsi="宋体" w:eastAsia="宋体" w:cstheme="minorBidi"/>
          <w:kern w:val="2"/>
          <w:sz w:val="21"/>
          <w:szCs w:val="24"/>
          <w:lang w:val="en-US" w:eastAsia="zh-CN" w:bidi="ar-SA"/>
        </w:rPr>
        <w:id w:val="147459549"/>
        <w15:color w:val="DBDBDB"/>
        <w:docPartObj>
          <w:docPartGallery w:val="Table of Contents"/>
          <w:docPartUnique/>
        </w:docPartObj>
      </w:sdtPr>
      <w:sdtEndPr>
        <w:rPr>
          <w:rFonts w:hint="default" w:asciiTheme="minorHAnsi" w:hAnsiTheme="minorHAnsi" w:eastAsiaTheme="minorEastAsia" w:cstheme="minorBidi"/>
          <w:kern w:val="2"/>
          <w:sz w:val="21"/>
          <w:szCs w:val="36"/>
          <w:lang w:val="en-US" w:eastAsia="zh-CN" w:bidi="ar-SA"/>
        </w:rPr>
      </w:sdtEndPr>
      <w:sdtContent>
        <w:p w14:paraId="1FEF4A56">
          <w:pPr>
            <w:spacing w:before="0" w:beforeLines="0" w:after="0" w:afterLines="0" w:line="240" w:lineRule="auto"/>
            <w:ind w:left="0" w:leftChars="0" w:right="0" w:rightChars="0" w:firstLine="0" w:firstLineChars="0"/>
            <w:jc w:val="center"/>
          </w:pPr>
          <w:r>
            <w:rPr>
              <w:rFonts w:ascii="宋体" w:hAnsi="宋体" w:eastAsia="宋体"/>
              <w:sz w:val="32"/>
              <w:szCs w:val="40"/>
            </w:rPr>
            <w:t>目录</w:t>
          </w:r>
        </w:p>
        <w:p w14:paraId="1E552959">
          <w:pPr>
            <w:pStyle w:val="3"/>
            <w:tabs>
              <w:tab w:val="right" w:leader="dot" w:pos="8306"/>
            </w:tabs>
          </w:pPr>
          <w:r>
            <w:rPr>
              <w:rFonts w:hint="default" w:asciiTheme="minorHAnsi" w:hAnsiTheme="minorHAnsi" w:eastAsiaTheme="minorEastAsia" w:cstheme="minorBidi"/>
              <w:kern w:val="2"/>
              <w:sz w:val="21"/>
              <w:szCs w:val="36"/>
              <w:lang w:val="en-US" w:eastAsia="zh-CN" w:bidi="ar-SA"/>
            </w:rPr>
            <w:fldChar w:fldCharType="begin"/>
          </w:r>
          <w:r>
            <w:rPr>
              <w:rFonts w:hint="default" w:asciiTheme="minorHAnsi" w:hAnsiTheme="minorHAnsi" w:eastAsiaTheme="minorEastAsia" w:cstheme="minorBidi"/>
              <w:kern w:val="2"/>
              <w:sz w:val="21"/>
              <w:szCs w:val="36"/>
              <w:lang w:val="en-US" w:eastAsia="zh-CN" w:bidi="ar-SA"/>
            </w:rPr>
            <w:instrText xml:space="preserve">TOC \o "1-2" \h \u </w:instrText>
          </w:r>
          <w:r>
            <w:rPr>
              <w:rFonts w:hint="default" w:asciiTheme="minorHAnsi" w:hAnsiTheme="minorHAnsi" w:eastAsiaTheme="minorEastAsia" w:cstheme="minorBidi"/>
              <w:kern w:val="2"/>
              <w:sz w:val="21"/>
              <w:szCs w:val="36"/>
              <w:lang w:val="en-US" w:eastAsia="zh-CN" w:bidi="ar-SA"/>
            </w:rPr>
            <w:fldChar w:fldCharType="separate"/>
          </w: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_Toc5483 </w:instrText>
          </w:r>
          <w:r>
            <w:rPr>
              <w:rFonts w:hint="default" w:asciiTheme="minorHAnsi" w:hAnsiTheme="minorHAnsi" w:eastAsiaTheme="minorEastAsia" w:cstheme="minorBidi"/>
              <w:kern w:val="2"/>
              <w:szCs w:val="36"/>
              <w:lang w:val="en-US" w:eastAsia="zh-CN" w:bidi="ar-SA"/>
            </w:rPr>
            <w:fldChar w:fldCharType="separate"/>
          </w:r>
          <w:r>
            <w:rPr>
              <w:rFonts w:hint="eastAsia"/>
              <w:szCs w:val="32"/>
              <w:lang w:val="en-US" w:eastAsia="zh-CN"/>
            </w:rPr>
            <w:t>第一部分：土壤类型图成果质控意见</w:t>
          </w:r>
          <w:r>
            <w:tab/>
          </w:r>
          <w:r>
            <w:fldChar w:fldCharType="begin"/>
          </w:r>
          <w:r>
            <w:instrText xml:space="preserve"> PAGEREF _Toc5483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4208FB1">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_Toc17825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szCs w:val="30"/>
              <w:lang w:eastAsia="zh-CN"/>
            </w:rPr>
            <w:t>一、 数据成果</w:t>
          </w:r>
          <w:r>
            <w:tab/>
          </w:r>
          <w:r>
            <w:fldChar w:fldCharType="begin"/>
          </w:r>
          <w:r>
            <w:instrText xml:space="preserve"> PAGEREF _Toc17825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56F8F7C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_Toc7394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szCs w:val="28"/>
              <w:lang w:eastAsia="zh-CN"/>
            </w:rPr>
            <w:t>（一）数据组织与完整性</w:t>
          </w:r>
          <w:r>
            <w:tab/>
          </w:r>
          <w:r>
            <w:fldChar w:fldCharType="begin"/>
          </w:r>
          <w:r>
            <w:instrText xml:space="preserve"> PAGEREF _Toc7394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A48790B">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_Toc18472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（二）核心数据成果核查</w:t>
          </w:r>
          <w:r>
            <w:tab/>
          </w:r>
          <w:r>
            <w:fldChar w:fldCharType="begin"/>
          </w:r>
          <w:r>
            <w:instrText xml:space="preserve"> PAGEREF _Toc18472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043AB9D8">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_Toc14635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二、图件成果</w:t>
          </w:r>
          <w:r>
            <w:tab/>
          </w:r>
          <w:r>
            <w:fldChar w:fldCharType="begin"/>
          </w:r>
          <w:r>
            <w:instrText xml:space="preserve"> PAGEREF _Toc14635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621F23DE">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_Toc15312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（一）图件规范性审查</w:t>
          </w:r>
          <w:r>
            <w:tab/>
          </w:r>
          <w:r>
            <w:fldChar w:fldCharType="begin"/>
          </w:r>
          <w:r>
            <w:instrText xml:space="preserve"> PAGEREF _Toc15312 \h </w:instrText>
          </w:r>
          <w:r>
            <w:fldChar w:fldCharType="separate"/>
          </w:r>
          <w:r>
            <w:t>10</w:t>
          </w:r>
          <w:r>
            <w:fldChar w:fldCharType="end"/>
          </w:r>
          <w:r>
            <w:rPr>
              <w:rFonts w:hint="default" w:asciiTheme="minorHAnsi" w:hAnsiTheme="minorHAnsi" w:eastAsiaTheme="minorEastAsia" w:cstheme="minorBidi"/>
              <w:kern w:val="2"/>
              <w:szCs w:val="36"/>
              <w:lang w:val="en-US" w:eastAsia="zh-CN" w:bidi="ar-SA"/>
            </w:rPr>
            <w:fldChar w:fldCharType="end"/>
          </w:r>
        </w:p>
        <w:p w14:paraId="6AAD0E88">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_Toc26692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（二）基础地理要素核查</w:t>
          </w:r>
          <w:r>
            <w:tab/>
          </w:r>
          <w:r>
            <w:fldChar w:fldCharType="begin"/>
          </w:r>
          <w:r>
            <w:instrText xml:space="preserve"> PAGEREF _Toc26692 \h </w:instrText>
          </w:r>
          <w:r>
            <w:fldChar w:fldCharType="separate"/>
          </w:r>
          <w:r>
            <w:t>10</w:t>
          </w:r>
          <w:r>
            <w:fldChar w:fldCharType="end"/>
          </w:r>
          <w:r>
            <w:rPr>
              <w:rFonts w:hint="default" w:asciiTheme="minorHAnsi" w:hAnsiTheme="minorHAnsi" w:eastAsiaTheme="minorEastAsia" w:cstheme="minorBidi"/>
              <w:kern w:val="2"/>
              <w:szCs w:val="36"/>
              <w:lang w:val="en-US" w:eastAsia="zh-CN" w:bidi="ar-SA"/>
            </w:rPr>
            <w:fldChar w:fldCharType="end"/>
          </w:r>
        </w:p>
        <w:p w14:paraId="3C0640E4">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_Toc25965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（三）注记核查</w:t>
          </w:r>
          <w:r>
            <w:tab/>
          </w:r>
          <w:r>
            <w:fldChar w:fldCharType="begin"/>
          </w:r>
          <w:r>
            <w:instrText xml:space="preserve"> PAGEREF _Toc25965 \h </w:instrText>
          </w:r>
          <w:r>
            <w:fldChar w:fldCharType="separate"/>
          </w:r>
          <w:r>
            <w:t>12</w:t>
          </w:r>
          <w:r>
            <w:fldChar w:fldCharType="end"/>
          </w:r>
          <w:r>
            <w:rPr>
              <w:rFonts w:hint="default" w:asciiTheme="minorHAnsi" w:hAnsiTheme="minorHAnsi" w:eastAsiaTheme="minorEastAsia" w:cstheme="minorBidi"/>
              <w:kern w:val="2"/>
              <w:szCs w:val="36"/>
              <w:lang w:val="en-US" w:eastAsia="zh-CN" w:bidi="ar-SA"/>
            </w:rPr>
            <w:fldChar w:fldCharType="end"/>
          </w:r>
        </w:p>
        <w:p w14:paraId="5D6DE3B5">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_Toc18263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（四）图面配置与整饰</w:t>
          </w:r>
          <w:r>
            <w:tab/>
          </w:r>
          <w:r>
            <w:fldChar w:fldCharType="begin"/>
          </w:r>
          <w:r>
            <w:instrText xml:space="preserve"> PAGEREF _Toc18263 \h </w:instrText>
          </w:r>
          <w:r>
            <w:fldChar w:fldCharType="separate"/>
          </w:r>
          <w:r>
            <w:t>12</w:t>
          </w:r>
          <w:r>
            <w:fldChar w:fldCharType="end"/>
          </w:r>
          <w:r>
            <w:rPr>
              <w:rFonts w:hint="default" w:asciiTheme="minorHAnsi" w:hAnsiTheme="minorHAnsi" w:eastAsiaTheme="minorEastAsia" w:cstheme="minorBidi"/>
              <w:kern w:val="2"/>
              <w:szCs w:val="36"/>
              <w:lang w:val="en-US" w:eastAsia="zh-CN" w:bidi="ar-SA"/>
            </w:rPr>
            <w:fldChar w:fldCharType="end"/>
          </w:r>
        </w:p>
        <w:p w14:paraId="4CE59950">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_Toc12952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三、文本成果</w:t>
          </w:r>
          <w:r>
            <w:tab/>
          </w:r>
          <w:r>
            <w:fldChar w:fldCharType="begin"/>
          </w:r>
          <w:r>
            <w:instrText xml:space="preserve"> PAGEREF _Toc12952 \h </w:instrText>
          </w:r>
          <w:r>
            <w:fldChar w:fldCharType="separate"/>
          </w:r>
          <w:r>
            <w:t>14</w:t>
          </w:r>
          <w:r>
            <w:fldChar w:fldCharType="end"/>
          </w:r>
          <w:r>
            <w:rPr>
              <w:rFonts w:hint="default" w:asciiTheme="minorHAnsi" w:hAnsiTheme="minorHAnsi" w:eastAsiaTheme="minorEastAsia" w:cstheme="minorBidi"/>
              <w:kern w:val="2"/>
              <w:szCs w:val="36"/>
              <w:lang w:val="en-US" w:eastAsia="zh-CN" w:bidi="ar-SA"/>
            </w:rPr>
            <w:fldChar w:fldCharType="end"/>
          </w:r>
        </w:p>
        <w:p w14:paraId="71B6A17C">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_Toc9799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（一）土壤类型制图技术报告</w:t>
          </w:r>
          <w:r>
            <w:tab/>
          </w:r>
          <w:r>
            <w:fldChar w:fldCharType="begin"/>
          </w:r>
          <w:r>
            <w:instrText xml:space="preserve"> PAGEREF _Toc9799 \h </w:instrText>
          </w:r>
          <w:r>
            <w:fldChar w:fldCharType="separate"/>
          </w:r>
          <w:r>
            <w:t>14</w:t>
          </w:r>
          <w:r>
            <w:fldChar w:fldCharType="end"/>
          </w:r>
          <w:r>
            <w:rPr>
              <w:rFonts w:hint="default" w:asciiTheme="minorHAnsi" w:hAnsiTheme="minorHAnsi" w:eastAsiaTheme="minorEastAsia" w:cstheme="minorBidi"/>
              <w:kern w:val="2"/>
              <w:szCs w:val="36"/>
              <w:lang w:val="en-US" w:eastAsia="zh-CN" w:bidi="ar-SA"/>
            </w:rPr>
            <w:fldChar w:fldCharType="end"/>
          </w:r>
        </w:p>
        <w:p w14:paraId="23184AAD">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（二）土壤类型制图工作报告</w:t>
          </w:r>
          <w:r>
            <w:tab/>
          </w:r>
          <w:r>
            <w:fldChar w:fldCharType="begin"/>
          </w:r>
          <w:r>
            <w:instrText xml:space="preserve"> PAGEREF _Toc12692 \h </w:instrText>
          </w:r>
          <w:r>
            <w:fldChar w:fldCharType="separate"/>
          </w:r>
          <w:r>
            <w:t>17</w:t>
          </w:r>
          <w:r>
            <w:fldChar w:fldCharType="end"/>
          </w:r>
          <w:r>
            <w:rPr>
              <w:rFonts w:hint="default" w:asciiTheme="minorHAnsi" w:hAnsiTheme="minorHAnsi" w:eastAsiaTheme="minorEastAsia" w:cstheme="minorBidi"/>
              <w:kern w:val="2"/>
              <w:szCs w:val="36"/>
              <w:lang w:val="en-US" w:eastAsia="zh-CN" w:bidi="ar-SA"/>
            </w:rPr>
            <w:fldChar w:fldCharType="end"/>
          </w:r>
        </w:p>
        <w:p w14:paraId="269C7C27">
          <w:pPr>
            <w:jc w:val="left"/>
            <w:rPr>
              <w:rFonts w:hint="default" w:asciiTheme="minorHAnsi" w:hAnsiTheme="minorHAnsi" w:eastAsiaTheme="minorEastAsia" w:cstheme="minorBidi"/>
              <w:kern w:val="2"/>
              <w:sz w:val="21"/>
              <w:szCs w:val="36"/>
              <w:lang w:val="en-US" w:eastAsia="zh-CN" w:bidi="ar-SA"/>
            </w:rPr>
          </w:pPr>
          <w:r>
            <w:rPr>
              <w:rFonts w:hint="default" w:asciiTheme="minorHAnsi" w:hAnsiTheme="minorHAnsi" w:eastAsiaTheme="minorEastAsia" w:cstheme="minorBidi"/>
              <w:kern w:val="2"/>
              <w:szCs w:val="36"/>
              <w:lang w:val="en-US" w:eastAsia="zh-CN" w:bidi="ar-SA"/>
            </w:rPr>
            <w:fldChar w:fldCharType="end"/>
          </w:r>
        </w:p>
      </w:sdtContent>
    </w:sdt>
    <w:p w14:paraId="02260427">
      <w:pPr>
        <w:jc w:val="left"/>
        <w:rPr>
          <w:rFonts w:hint="default" w:asciiTheme="minorHAnsi" w:hAnsiTheme="minorHAnsi" w:eastAsiaTheme="minorEastAsia" w:cstheme="minorBidi"/>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7394A701">
      <w:pPr>
        <w:jc w:val="center"/>
        <w:rPr>
          <w:rFonts w:hint="default"/>
          <w:sz w:val="28"/>
          <w:szCs w:val="36"/>
          <w:lang w:val="en-US" w:eastAsia="zh-CN"/>
        </w:rPr>
      </w:pPr>
      <w:r>
        <w:rPr>
          <w:rFonts w:hint="eastAsia"/>
          <w:color w:val="auto"/>
          <w:sz w:val="28"/>
          <w:szCs w:val="36"/>
          <w:lang w:val="en-US" w:eastAsia="zh-CN"/>
        </w:rPr>
        <w:t>雄县</w:t>
      </w:r>
      <w:r>
        <w:rPr>
          <w:rFonts w:hint="default"/>
          <w:sz w:val="28"/>
          <w:szCs w:val="36"/>
          <w:lang w:val="en-US" w:eastAsia="zh-CN"/>
        </w:rPr>
        <w:t>第三次全国土壤普查成果质控</w:t>
      </w:r>
      <w:r>
        <w:rPr>
          <w:rFonts w:hint="eastAsia"/>
          <w:sz w:val="28"/>
          <w:szCs w:val="36"/>
          <w:lang w:val="en-US" w:eastAsia="zh-CN"/>
        </w:rPr>
        <w:t>情况</w:t>
      </w:r>
      <w:r>
        <w:rPr>
          <w:rFonts w:hint="default"/>
          <w:sz w:val="28"/>
          <w:szCs w:val="36"/>
          <w:lang w:val="en-US" w:eastAsia="zh-CN"/>
        </w:rPr>
        <w:t>（第一轮）</w:t>
      </w:r>
    </w:p>
    <w:p w14:paraId="7D769DB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本次质控按照《第三次全国土壤普查县级成果编制导引》及相关技术规范要求，采用内业核查方式，对</w:t>
      </w:r>
      <w:r>
        <w:rPr>
          <w:rFonts w:hint="eastAsia"/>
          <w:color w:val="auto"/>
          <w:sz w:val="24"/>
          <w:szCs w:val="24"/>
          <w:lang w:val="en-US" w:eastAsia="zh-CN"/>
        </w:rPr>
        <w:t>雄县</w:t>
      </w:r>
      <w:r>
        <w:rPr>
          <w:rFonts w:hint="eastAsia"/>
          <w:sz w:val="24"/>
          <w:szCs w:val="24"/>
          <w:lang w:val="en-US" w:eastAsia="zh-CN"/>
        </w:rPr>
        <w:t>提交的第三次全国土壤普查全部成果进行齐全性、规范性、合理性和一致性的全面质控审查。审查成果范围涵盖：土壤类型图成果、土壤属性图成果、土壤退化与障碍分析成果、土壤农业利用适宜性评价成果、耕地质量等级评价成果、土特产品土壤适宜性评价成果以及相关文字报告成果等。审查内容重点包括：数据成果的组织结构完整性、数据库规范性、基础数据与过程数据齐全性；图件成果的图面要素完整性、制图规范性、基础地理要素准确性、注记与图例合理性；文本成果的报告格式规范性、章节完整性、成因分析深度及结论建议实用性等。各成果具体质控意见如下。</w:t>
      </w:r>
    </w:p>
    <w:p w14:paraId="247CA9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本次质控共核查</w:t>
      </w:r>
      <w:r>
        <w:rPr>
          <w:rFonts w:hint="eastAsia"/>
          <w:color w:val="auto"/>
          <w:sz w:val="24"/>
          <w:szCs w:val="24"/>
          <w:lang w:val="en-US" w:eastAsia="zh-CN"/>
        </w:rPr>
        <w:t>雄县</w:t>
      </w:r>
      <w:r>
        <w:rPr>
          <w:rFonts w:hint="eastAsia"/>
          <w:sz w:val="24"/>
          <w:szCs w:val="24"/>
          <w:lang w:val="en-US" w:eastAsia="zh-CN"/>
        </w:rPr>
        <w:t>第三次全国土壤普查成果共计六大类，合计项。其中，土壤类型图成果质控</w:t>
      </w:r>
      <w:r>
        <w:rPr>
          <w:rFonts w:hint="eastAsia"/>
          <w:color w:val="000000" w:themeColor="text1"/>
          <w:sz w:val="24"/>
          <w:szCs w:val="24"/>
          <w:lang w:val="en-US" w:eastAsia="zh-CN"/>
          <w14:textFill>
            <w14:solidFill>
              <w14:schemeClr w14:val="tx1"/>
            </w14:solidFill>
          </w14:textFill>
        </w:rPr>
        <w:t>18</w:t>
      </w:r>
      <w:r>
        <w:rPr>
          <w:rFonts w:hint="eastAsia"/>
          <w:sz w:val="24"/>
          <w:szCs w:val="24"/>
          <w:lang w:val="en-US" w:eastAsia="zh-CN"/>
        </w:rPr>
        <w:t>项，存在问题</w:t>
      </w:r>
      <w:r>
        <w:rPr>
          <w:rFonts w:hint="eastAsia"/>
          <w:color w:val="auto"/>
          <w:sz w:val="24"/>
          <w:szCs w:val="24"/>
          <w:lang w:val="en-US" w:eastAsia="zh-CN"/>
        </w:rPr>
        <w:t>18</w:t>
      </w:r>
      <w:r>
        <w:rPr>
          <w:rFonts w:hint="eastAsia"/>
          <w:sz w:val="24"/>
          <w:szCs w:val="24"/>
          <w:lang w:val="en-US" w:eastAsia="zh-CN"/>
        </w:rPr>
        <w:t>项；土壤属性图成果质控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项，；土壤退化与障碍分析成果质控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项；土壤农业利用适宜性评价成果质控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项；耕地质量等级评价成果质控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项；土特产品土壤适宜性评价成果质控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项。整体来看，成果_____________（如：提交基本齐全/存在部分缺失），_____________（如：数据规范性有待加强/图件质量整体较好/报告深度尚可但部分章节需完善）。</w:t>
      </w:r>
    </w:p>
    <w:p w14:paraId="6481DB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33D910F4">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sz w:val="32"/>
          <w:szCs w:val="32"/>
          <w:lang w:val="en-US" w:eastAsia="zh-CN"/>
        </w:rPr>
      </w:pPr>
      <w:bookmarkStart w:id="0" w:name="_Toc5483"/>
      <w:r>
        <w:rPr>
          <w:rFonts w:hint="eastAsia"/>
          <w:sz w:val="32"/>
          <w:szCs w:val="32"/>
          <w:lang w:val="en-US" w:eastAsia="zh-CN"/>
        </w:rPr>
        <w:t>第一部分：土壤类型图成果质控意见</w:t>
      </w:r>
      <w:bookmarkEnd w:id="0"/>
    </w:p>
    <w:p w14:paraId="3DB5FB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b/>
          <w:sz w:val="30"/>
          <w:szCs w:val="30"/>
          <w:u w:val="none"/>
          <w:lang w:eastAsia="zh-CN"/>
        </w:rPr>
      </w:pPr>
    </w:p>
    <w:p w14:paraId="2BBAF41B">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szCs w:val="30"/>
          <w:u w:val="none"/>
          <w:lang w:eastAsia="zh-CN"/>
        </w:rPr>
      </w:pPr>
      <w:bookmarkStart w:id="1" w:name="_Toc17825"/>
      <w:r>
        <w:rPr>
          <w:rFonts w:hint="eastAsia" w:ascii="黑体" w:hAnsi="黑体" w:eastAsia="黑体" w:cs="黑体"/>
          <w:b/>
          <w:sz w:val="30"/>
          <w:szCs w:val="30"/>
          <w:u w:val="none"/>
          <w:lang w:eastAsia="zh-CN"/>
        </w:rPr>
        <w:t>数据成果</w:t>
      </w:r>
      <w:bookmarkEnd w:id="1"/>
    </w:p>
    <w:p w14:paraId="758E9C06">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szCs w:val="28"/>
          <w:u w:val="none"/>
          <w:lang w:eastAsia="zh-CN"/>
        </w:rPr>
      </w:pPr>
      <w:bookmarkStart w:id="2" w:name="_Toc7394"/>
      <w:r>
        <w:rPr>
          <w:rFonts w:hint="eastAsia" w:ascii="宋体" w:hAnsi="宋体" w:eastAsia="宋体" w:cs="宋体"/>
          <w:b/>
          <w:sz w:val="28"/>
          <w:szCs w:val="28"/>
          <w:u w:val="none"/>
          <w:lang w:eastAsia="zh-CN"/>
        </w:rPr>
        <w:t>数据组织与完整性</w:t>
      </w:r>
      <w:bookmarkEnd w:id="2"/>
    </w:p>
    <w:p w14:paraId="2E72145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jc w:val="left"/>
        <w:textAlignment w:val="auto"/>
        <w:outlineLvl w:val="2"/>
        <w:rPr>
          <w:rFonts w:hint="eastAsia" w:ascii="宋体" w:hAnsi="宋体" w:eastAsia="宋体" w:cs="宋体"/>
          <w:b/>
          <w:sz w:val="24"/>
          <w:szCs w:val="24"/>
          <w:u w:val="none"/>
          <w:lang w:eastAsia="zh-CN"/>
        </w:rPr>
      </w:pPr>
      <w:r>
        <w:rPr>
          <w:rFonts w:hint="eastAsia" w:ascii="宋体" w:hAnsi="宋体" w:eastAsia="宋体" w:cs="宋体"/>
          <w:b/>
          <w:sz w:val="24"/>
          <w:szCs w:val="24"/>
          <w:u w:val="none"/>
          <w:lang w:eastAsia="zh-CN"/>
        </w:rPr>
        <w:t>总体结构与命名规范</w:t>
      </w:r>
    </w:p>
    <w:p w14:paraId="44C6B6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审查标准：</w:t>
      </w:r>
    </w:p>
    <w:p w14:paraId="258A23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根目录命名格式：6位行政区划代码+县级行政区名称，示例：110108北京市海淀区。</w:t>
      </w:r>
    </w:p>
    <w:p w14:paraId="22C14B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第二层级目录必须包含以下七项：第三次全国土壤普查成果库.gdb、基础数据（文件夹）、过程数据（文件夹）、成果数据（文件夹）、地图文档/图层Layout包、汇报PPT（文件夹）、自查表扫描件（.pdf）。</w:t>
      </w:r>
    </w:p>
    <w:p w14:paraId="406F08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成果提交格式：是否以压缩文件rar或zip格式提交；压缩文件命名方式是否为：xx省+xx市+xx县+“土壤三普土壤类型成果”。</w:t>
      </w:r>
    </w:p>
    <w:p w14:paraId="4E859A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审查结果：</w:t>
      </w:r>
    </w:p>
    <w:p w14:paraId="4850BD0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第二层级目录</w:t>
      </w:r>
      <w:r>
        <w:rPr>
          <w:rFonts w:hint="eastAsia" w:ascii="宋体" w:hAnsi="宋体" w:eastAsia="宋体" w:cs="宋体"/>
          <w:b w:val="0"/>
          <w:sz w:val="24"/>
          <w:u w:val="none"/>
          <w:lang w:val="en-US" w:eastAsia="zh-CN"/>
        </w:rPr>
        <w:t>不符合</w:t>
      </w:r>
      <w:r>
        <w:rPr>
          <w:rFonts w:hint="eastAsia" w:ascii="宋体" w:hAnsi="宋体" w:eastAsia="宋体" w:cs="宋体"/>
          <w:b w:val="0"/>
          <w:sz w:val="24"/>
          <w:u w:val="none"/>
          <w:lang w:eastAsia="zh-CN"/>
        </w:rPr>
        <w:t>七项：</w:t>
      </w:r>
      <w:r>
        <w:rPr>
          <w:rFonts w:hint="eastAsia" w:ascii="宋体" w:hAnsi="宋体" w:eastAsia="宋体" w:cs="宋体"/>
          <w:b w:val="0"/>
          <w:sz w:val="24"/>
          <w:u w:val="none"/>
          <w:lang w:val="en-US" w:eastAsia="zh-CN"/>
        </w:rPr>
        <w:t>缺少地图文档/图层Layout包、汇报PPT（文件夹）、自查表扫描件（.pdf），多余土壤类型图野外验证材料。</w:t>
      </w:r>
    </w:p>
    <w:p w14:paraId="4ACF0E2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eastAsia="zh-CN"/>
        </w:rPr>
      </w:pPr>
      <w:r>
        <w:drawing>
          <wp:inline distT="0" distB="0" distL="114300" distR="114300">
            <wp:extent cx="2114550" cy="15906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114550" cy="1590675"/>
                    </a:xfrm>
                    <a:prstGeom prst="rect">
                      <a:avLst/>
                    </a:prstGeom>
                    <a:noFill/>
                    <a:ln>
                      <a:noFill/>
                    </a:ln>
                  </pic:spPr>
                </pic:pic>
              </a:graphicData>
            </a:graphic>
          </wp:inline>
        </w:drawing>
      </w:r>
    </w:p>
    <w:p w14:paraId="1DBF576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第三次全国土壤普查成果库.gdb 规范性</w:t>
      </w:r>
    </w:p>
    <w:p w14:paraId="3309754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98D4D7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（1）数据库结构：包含5个以英文命名的数据集，分别为BASE（基础地理数据）、HISTORY（历史土壤调查数据）、LANDUSE（土地利用数据）、PROCESS（过程数据）、RESULT（成果数据）。</w:t>
      </w:r>
    </w:p>
    <w:p w14:paraId="4B02D6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（2）BASE数据集内容：必须包含行政区、居民点、道路、水系等矢量要素。</w:t>
      </w:r>
    </w:p>
    <w:p w14:paraId="7F5733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（3）HISTORY数据集内容：必须包含土壤二普县级土种志剖面样点矢量数据、原土壤二普县级土壤图矢量数据、分类校准更新后的土壤二普县级土壤图矢量数据、二普土壤样点数据。</w:t>
      </w:r>
    </w:p>
    <w:p w14:paraId="7ECEED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（4）LANDUSE数据集内容：包含土地利用相关矢量要素，如DLTB（地类图斑）等。</w:t>
      </w:r>
    </w:p>
    <w:p w14:paraId="198C6AD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PROCESS数据集内容：必须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22543E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RESULT数据集内容：必须包含土壤三普土壤类型成果图（矢量）。土壤类型图字段要求：图斑ID、县名(XM)、乡镇名(XZM)、面积(MJ)；分类校准后原土壤二普：土类(YTL)、亚类(YYL)、土属(YTS)、土种(YTZ)；土壤三普：土类(TL)、亚类(YL)、土属(TS)、土种(TZ)。</w:t>
      </w:r>
    </w:p>
    <w:p w14:paraId="51DD58F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pPr>
      <w:r>
        <w:rPr>
          <w:rFonts w:hint="eastAsia" w:ascii="宋体" w:hAnsi="宋体" w:eastAsia="宋体" w:cs="宋体"/>
          <w:b w:val="0"/>
          <w:sz w:val="24"/>
          <w:u w:val="none"/>
          <w:lang w:eastAsia="zh-CN"/>
        </w:rPr>
        <w:t>审查结果：</w:t>
      </w:r>
    </w:p>
    <w:p w14:paraId="5A2C971B">
      <w:pPr>
        <w:keepNext/>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jc w:val="left"/>
        <w:textAlignment w:val="auto"/>
      </w:pPr>
      <w:r>
        <w:rPr>
          <w:rFonts w:hint="eastAsia" w:ascii="宋体" w:hAnsi="宋体" w:eastAsia="宋体" w:cs="宋体"/>
          <w:b w:val="0"/>
          <w:sz w:val="24"/>
          <w:u w:val="none"/>
          <w:lang w:val="en-US" w:eastAsia="zh-CN"/>
        </w:rPr>
        <w:t>要素中文命名。</w:t>
      </w:r>
      <w:r>
        <w:rPr>
          <w:rFonts w:hint="eastAsia" w:ascii="宋体" w:hAnsi="宋体" w:eastAsia="宋体" w:cs="宋体"/>
          <w:b w:val="0"/>
          <w:sz w:val="24"/>
          <w:u w:val="none"/>
          <w:lang w:eastAsia="zh-CN"/>
        </w:rPr>
        <w:t>数据</w:t>
      </w:r>
      <w:r>
        <w:rPr>
          <w:rFonts w:hint="eastAsia" w:ascii="宋体" w:hAnsi="宋体" w:eastAsia="宋体" w:cs="宋体"/>
          <w:b w:val="0"/>
          <w:sz w:val="24"/>
          <w:u w:val="none"/>
          <w:lang w:val="en-US" w:eastAsia="zh-CN"/>
        </w:rPr>
        <w:t>命名不规范，无法分辨是否有各类数据？</w:t>
      </w:r>
    </w:p>
    <w:p w14:paraId="6B69FF19">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eastAsiaTheme="minorEastAsia"/>
          <w:lang w:val="en-US" w:eastAsia="zh-CN"/>
        </w:rPr>
      </w:pPr>
      <w:r>
        <w:drawing>
          <wp:inline distT="0" distB="0" distL="114300" distR="114300">
            <wp:extent cx="1138555" cy="2592070"/>
            <wp:effectExtent l="0" t="0" r="4445" b="177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1138555" cy="2592070"/>
                    </a:xfrm>
                    <a:prstGeom prst="rect">
                      <a:avLst/>
                    </a:prstGeom>
                    <a:noFill/>
                    <a:ln>
                      <a:noFill/>
                    </a:ln>
                  </pic:spPr>
                </pic:pic>
              </a:graphicData>
            </a:graphic>
          </wp:inline>
        </w:drawing>
      </w:r>
    </w:p>
    <w:p w14:paraId="3061AD24">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基础数据文件夹规范性</w:t>
      </w:r>
    </w:p>
    <w:p w14:paraId="072AB4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8740C3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0BD299C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（2）土壤样点数据：包含三普土壤表层样点、剖面样点相关数据。</w:t>
      </w:r>
    </w:p>
    <w:p w14:paraId="22E1EB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（3）成土环境数据：包含母岩母质栅格数据、地形地貌数据（DEM及派生指数）、土地利用/土地整理/植被/水文状况数据、多源遥感影像数据。</w:t>
      </w:r>
    </w:p>
    <w:p w14:paraId="5C7B72D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（4）历史土壤调查数据：包含土壤二普纸质图及相关历史资料如土壤志。</w:t>
      </w:r>
    </w:p>
    <w:p w14:paraId="02CDCD3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4A4492F">
      <w:pPr>
        <w:keepNext/>
        <w:keepLines w:val="0"/>
        <w:pageBreakBefore w:val="0"/>
        <w:widowControl w:val="0"/>
        <w:numPr>
          <w:ilvl w:val="0"/>
          <w:numId w:val="6"/>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文件夹结构</w:t>
      </w:r>
      <w:r>
        <w:rPr>
          <w:rFonts w:hint="eastAsia" w:ascii="宋体" w:hAnsi="宋体" w:eastAsia="宋体" w:cs="宋体"/>
          <w:b w:val="0"/>
          <w:sz w:val="24"/>
          <w:u w:val="none"/>
          <w:lang w:val="en-US" w:eastAsia="zh-CN"/>
        </w:rPr>
        <w:t>不规范：未</w:t>
      </w:r>
      <w:r>
        <w:rPr>
          <w:rFonts w:hint="eastAsia" w:ascii="宋体" w:hAnsi="宋体" w:eastAsia="宋体" w:cs="宋体"/>
          <w:b w:val="0"/>
          <w:sz w:val="24"/>
          <w:u w:val="none"/>
          <w:lang w:eastAsia="zh-CN"/>
        </w:rPr>
        <w:t>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4ADEA6C1">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1543050" cy="138112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1543050" cy="1381125"/>
                    </a:xfrm>
                    <a:prstGeom prst="rect">
                      <a:avLst/>
                    </a:prstGeom>
                    <a:noFill/>
                    <a:ln>
                      <a:noFill/>
                    </a:ln>
                  </pic:spPr>
                </pic:pic>
              </a:graphicData>
            </a:graphic>
          </wp:inline>
        </w:drawing>
      </w:r>
    </w:p>
    <w:p w14:paraId="3F009359">
      <w:pPr>
        <w:keepNext/>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土壤样点数据。</w:t>
      </w:r>
    </w:p>
    <w:p w14:paraId="32FB7DC5">
      <w:pPr>
        <w:keepNext/>
        <w:keepLines w:val="0"/>
        <w:pageBreakBefore w:val="0"/>
        <w:widowControl w:val="0"/>
        <w:numPr>
          <w:ilvl w:val="0"/>
          <w:numId w:val="6"/>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成土环境数据：</w:t>
      </w:r>
      <w:r>
        <w:rPr>
          <w:rFonts w:hint="eastAsia" w:ascii="宋体" w:hAnsi="宋体" w:eastAsia="宋体" w:cs="宋体"/>
          <w:b w:val="0"/>
          <w:sz w:val="24"/>
          <w:u w:val="none"/>
          <w:lang w:val="en-US" w:eastAsia="zh-CN"/>
        </w:rPr>
        <w:t>母质数据有其他多余县区</w:t>
      </w:r>
    </w:p>
    <w:p w14:paraId="10295689">
      <w:pPr>
        <w:keepNext/>
        <w:keepLines w:val="0"/>
        <w:pageBreakBefore w:val="0"/>
        <w:widowControl w:val="0"/>
        <w:numPr>
          <w:ilvl w:val="0"/>
          <w:numId w:val="0"/>
        </w:numPr>
        <w:kinsoku/>
        <w:wordWrap/>
        <w:overflowPunct/>
        <w:topLinePunct w:val="0"/>
        <w:autoSpaceDE/>
        <w:autoSpaceDN/>
        <w:bidi w:val="0"/>
        <w:adjustRightInd/>
        <w:snapToGrid/>
        <w:spacing w:line="360" w:lineRule="auto"/>
        <w:ind w:leftChars="200"/>
        <w:jc w:val="center"/>
        <w:textAlignment w:val="auto"/>
        <w:rPr>
          <w:rFonts w:hint="eastAsia"/>
          <w:lang w:val="en-US" w:eastAsia="zh-CN"/>
        </w:rPr>
      </w:pPr>
      <w:r>
        <w:drawing>
          <wp:inline distT="0" distB="0" distL="114300" distR="114300">
            <wp:extent cx="1524000" cy="50482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1524000" cy="504825"/>
                    </a:xfrm>
                    <a:prstGeom prst="rect">
                      <a:avLst/>
                    </a:prstGeom>
                    <a:noFill/>
                    <a:ln>
                      <a:noFill/>
                    </a:ln>
                  </pic:spPr>
                </pic:pic>
              </a:graphicData>
            </a:graphic>
          </wp:inline>
        </w:drawing>
      </w:r>
    </w:p>
    <w:p w14:paraId="2F4A7CF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4. 过程数据文件夹规范性</w:t>
      </w:r>
    </w:p>
    <w:p w14:paraId="6F48157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6AEED0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（1）文件夹结构：包含照片、</w:t>
      </w:r>
      <w:r>
        <w:rPr>
          <w:rFonts w:hint="eastAsia" w:ascii="宋体" w:hAnsi="宋体" w:eastAsia="宋体" w:cs="宋体"/>
          <w:b w:val="0"/>
          <w:sz w:val="24"/>
          <w:u w:val="none"/>
          <w:lang w:val="en-US" w:eastAsia="zh-CN"/>
        </w:rPr>
        <w:t>视频、</w:t>
      </w:r>
      <w:r>
        <w:rPr>
          <w:rFonts w:hint="eastAsia" w:ascii="宋体" w:hAnsi="宋体" w:eastAsia="宋体" w:cs="宋体"/>
          <w:b w:val="0"/>
          <w:sz w:val="24"/>
          <w:u w:val="none"/>
          <w:lang w:eastAsia="zh-CN"/>
        </w:rPr>
        <w:t>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7B6F218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（2）照片文件夹：包含野外路线校核工作照片。</w:t>
      </w:r>
    </w:p>
    <w:p w14:paraId="7063EAB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（3）土壤推测制图tif数据：包含推测的土壤三普图.tif、不确定性分布图.tif。</w:t>
      </w:r>
    </w:p>
    <w:p w14:paraId="61EC3E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（4）野外校核证明材料：包含土壤图野外校核路线图.jpg、野外校核记录表等。</w:t>
      </w:r>
    </w:p>
    <w:p w14:paraId="205DB8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（5）土壤类型图野外验证材料：包含野外验证调查路线图.jpg、野外验证调查表、野外验证点位现场照片。</w:t>
      </w:r>
    </w:p>
    <w:p w14:paraId="70F7E58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（6）其他非矢量过程数据：包含二普-三普命名对应记录表、土壤类型改变区土壤类型转换规则、土壤类型支撑剖面梳理表等。</w:t>
      </w:r>
    </w:p>
    <w:p w14:paraId="40C820E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F74075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w:t>
      </w:r>
      <w:r>
        <w:rPr>
          <w:rFonts w:hint="eastAsia" w:ascii="宋体" w:hAnsi="宋体" w:eastAsia="宋体" w:cs="宋体"/>
          <w:b w:val="0"/>
          <w:sz w:val="24"/>
          <w:u w:val="none"/>
          <w:lang w:eastAsia="zh-CN"/>
        </w:rPr>
        <w:t>文件夹结构</w:t>
      </w:r>
      <w:r>
        <w:rPr>
          <w:rFonts w:hint="eastAsia" w:ascii="宋体" w:hAnsi="宋体" w:eastAsia="宋体" w:cs="宋体"/>
          <w:b w:val="0"/>
          <w:sz w:val="24"/>
          <w:u w:val="none"/>
          <w:lang w:val="en-US" w:eastAsia="zh-CN"/>
        </w:rPr>
        <w:t>不规范，缺少</w:t>
      </w:r>
      <w:r>
        <w:rPr>
          <w:rFonts w:hint="eastAsia" w:ascii="宋体" w:hAnsi="宋体" w:eastAsia="宋体" w:cs="宋体"/>
          <w:b w:val="0"/>
          <w:sz w:val="24"/>
          <w:u w:val="none"/>
          <w:lang w:eastAsia="zh-CN"/>
        </w:rPr>
        <w:t>照片、</w:t>
      </w:r>
      <w:r>
        <w:rPr>
          <w:rFonts w:hint="eastAsia" w:ascii="宋体" w:hAnsi="宋体" w:eastAsia="宋体" w:cs="宋体"/>
          <w:b w:val="0"/>
          <w:sz w:val="24"/>
          <w:u w:val="none"/>
          <w:lang w:val="en-US" w:eastAsia="zh-CN"/>
        </w:rPr>
        <w:t>视频、</w:t>
      </w:r>
      <w:r>
        <w:rPr>
          <w:rFonts w:hint="eastAsia" w:ascii="宋体" w:hAnsi="宋体" w:eastAsia="宋体" w:cs="宋体"/>
          <w:b w:val="0"/>
          <w:sz w:val="24"/>
          <w:u w:val="none"/>
          <w:lang w:eastAsia="zh-CN"/>
        </w:rPr>
        <w:t>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3FB0A658">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sz w:val="24"/>
          <w:u w:val="none"/>
          <w:lang w:val="en-US" w:eastAsia="zh-CN"/>
        </w:rPr>
      </w:pPr>
      <w:r>
        <w:drawing>
          <wp:inline distT="0" distB="0" distL="114300" distR="114300">
            <wp:extent cx="1814830" cy="1440180"/>
            <wp:effectExtent l="0" t="0" r="1397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1814830" cy="1440180"/>
                    </a:xfrm>
                    <a:prstGeom prst="rect">
                      <a:avLst/>
                    </a:prstGeom>
                    <a:noFill/>
                    <a:ln>
                      <a:noFill/>
                    </a:ln>
                  </pic:spPr>
                </pic:pic>
              </a:graphicData>
            </a:graphic>
          </wp:inline>
        </w:drawing>
      </w:r>
    </w:p>
    <w:p w14:paraId="44D0D7DC">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（2）缺少土壤类型图野外验证材料：包含野外验证调查路线图.jpg、野外验证调查表、野外验证点位现场照片。</w:t>
      </w:r>
    </w:p>
    <w:p w14:paraId="5B79AE64">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（3）缺少</w:t>
      </w:r>
      <w:r>
        <w:rPr>
          <w:rFonts w:hint="eastAsia" w:ascii="宋体" w:hAnsi="宋体" w:eastAsia="宋体" w:cs="宋体"/>
          <w:b w:val="0"/>
          <w:sz w:val="24"/>
          <w:u w:val="none"/>
          <w:lang w:eastAsia="zh-CN"/>
        </w:rPr>
        <w:t>土壤类型改变区土壤类型转换规则、土壤类型支撑剖面梳理表。</w:t>
      </w:r>
    </w:p>
    <w:p w14:paraId="7E6CB25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5. 成果数据文件夹规范性</w:t>
      </w:r>
    </w:p>
    <w:p w14:paraId="7D8BEE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C7D88F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文件夹。</w:t>
      </w:r>
    </w:p>
    <w:p w14:paraId="293560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（2）数字化图件成果：包含土壤类型图.jpg（主成果，DPI</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300）。</w:t>
      </w:r>
    </w:p>
    <w:p w14:paraId="14F172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（3）文字成果：包含土壤类型图编制工作报告/技术报告（.doc和.pdf）。</w:t>
      </w:r>
    </w:p>
    <w:p w14:paraId="1F2D844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文件夹结构命名错误。</w:t>
      </w:r>
    </w:p>
    <w:p w14:paraId="4BA4C564">
      <w:pPr>
        <w:keepNext/>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1028700" cy="514350"/>
            <wp:effectExtent l="0" t="0" r="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9"/>
                    <a:stretch>
                      <a:fillRect/>
                    </a:stretch>
                  </pic:blipFill>
                  <pic:spPr>
                    <a:xfrm>
                      <a:off x="0" y="0"/>
                      <a:ext cx="1028700" cy="514350"/>
                    </a:xfrm>
                    <a:prstGeom prst="rect">
                      <a:avLst/>
                    </a:prstGeom>
                    <a:noFill/>
                    <a:ln>
                      <a:noFill/>
                    </a:ln>
                  </pic:spPr>
                </pic:pic>
              </a:graphicData>
            </a:graphic>
          </wp:inline>
        </w:drawing>
      </w:r>
    </w:p>
    <w:p w14:paraId="62FA2C5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3" w:name="_Toc18472"/>
      <w:r>
        <w:rPr>
          <w:rFonts w:hint="eastAsia" w:ascii="宋体" w:hAnsi="宋体" w:eastAsia="宋体" w:cs="宋体"/>
          <w:b/>
          <w:sz w:val="28"/>
          <w:u w:val="none"/>
          <w:lang w:eastAsia="zh-CN"/>
        </w:rPr>
        <w:t>（二）核心数据成果核查</w:t>
      </w:r>
      <w:bookmarkEnd w:id="3"/>
    </w:p>
    <w:p w14:paraId="00DDC3F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基础地理与历史数据</w:t>
      </w:r>
    </w:p>
    <w:p w14:paraId="43B03A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6FD8D5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（1）基础地理数据：是否包含行政区、居民点、道路、水系等矢量要素。</w:t>
      </w:r>
    </w:p>
    <w:p w14:paraId="217794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（2）土壤三普数据：是否包含土壤剖面调查数据、土壤表层调查数据。</w:t>
      </w:r>
    </w:p>
    <w:p w14:paraId="468851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（3）历史土壤数据：是否包含土壤二普县级土种志剖面矢量数据、土壤二普县级土壤图矢量数据、分类校准更新后的土壤二普县级土壤图矢量数据；是否包含土壤二普县级土种志、土壤志或普查报告等。</w:t>
      </w:r>
    </w:p>
    <w:p w14:paraId="01F07987">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pPr>
      <w:r>
        <w:rPr>
          <w:rFonts w:hint="eastAsia" w:ascii="宋体" w:hAnsi="宋体" w:eastAsia="宋体" w:cs="宋体"/>
          <w:b w:val="0"/>
          <w:sz w:val="24"/>
          <w:u w:val="none"/>
          <w:lang w:eastAsia="zh-CN"/>
        </w:rPr>
        <w:t>审查结果：数据</w:t>
      </w:r>
      <w:r>
        <w:rPr>
          <w:rFonts w:hint="eastAsia" w:ascii="宋体" w:hAnsi="宋体" w:eastAsia="宋体" w:cs="宋体"/>
          <w:b w:val="0"/>
          <w:sz w:val="24"/>
          <w:u w:val="none"/>
          <w:lang w:val="en-US" w:eastAsia="zh-CN"/>
        </w:rPr>
        <w:t>命名不规范，字母混乱，无法分辨是否有各类数据？</w:t>
      </w:r>
    </w:p>
    <w:p w14:paraId="1626EA7D">
      <w:pPr>
        <w:keepNext/>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宋体" w:hAnsi="宋体" w:eastAsia="宋体" w:cs="宋体"/>
          <w:b/>
          <w:bCs/>
          <w:sz w:val="24"/>
          <w:u w:val="none"/>
          <w:lang w:val="en-US" w:eastAsia="zh-CN"/>
        </w:rPr>
      </w:pPr>
      <w:r>
        <w:drawing>
          <wp:inline distT="0" distB="0" distL="114300" distR="114300">
            <wp:extent cx="1371600" cy="2457450"/>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0"/>
                    <a:stretch>
                      <a:fillRect/>
                    </a:stretch>
                  </pic:blipFill>
                  <pic:spPr>
                    <a:xfrm>
                      <a:off x="0" y="0"/>
                      <a:ext cx="1371600" cy="2457450"/>
                    </a:xfrm>
                    <a:prstGeom prst="rect">
                      <a:avLst/>
                    </a:prstGeom>
                    <a:noFill/>
                    <a:ln>
                      <a:noFill/>
                    </a:ln>
                  </pic:spPr>
                </pic:pic>
              </a:graphicData>
            </a:graphic>
          </wp:inline>
        </w:drawing>
      </w:r>
    </w:p>
    <w:p w14:paraId="22531CF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成土环境与过程数据</w:t>
      </w:r>
    </w:p>
    <w:p w14:paraId="7B2D48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8F37B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（1）成土环境数据：是否提供母岩母质栅格数据、</w:t>
      </w:r>
      <w:r>
        <w:rPr>
          <w:rFonts w:hint="eastAsia" w:ascii="宋体" w:hAnsi="宋体" w:eastAsia="宋体" w:cs="宋体"/>
          <w:b w:val="0"/>
          <w:sz w:val="24"/>
          <w:highlight w:val="none"/>
          <w:u w:val="none"/>
          <w:lang w:eastAsia="zh-CN"/>
        </w:rPr>
        <w:t>DEM栅格数据、DEM派生指数数据（30m分辨率）、</w:t>
      </w:r>
      <w:r>
        <w:rPr>
          <w:rFonts w:hint="eastAsia" w:ascii="宋体" w:hAnsi="宋体" w:eastAsia="宋体" w:cs="宋体"/>
          <w:b w:val="0"/>
          <w:sz w:val="24"/>
          <w:u w:val="none"/>
          <w:lang w:eastAsia="zh-CN"/>
        </w:rPr>
        <w:t>土地利用类型数据、土地整理数据、植被数据、水文状况数据、多源遥感影像数据。</w:t>
      </w:r>
    </w:p>
    <w:p w14:paraId="0B9DA58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（2）二普土壤图室内校核：是否提供室内校核后的二普土壤图。</w:t>
      </w:r>
    </w:p>
    <w:p w14:paraId="722D14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（3）土壤类型改变区提取：是否提供可能改变区图层。</w:t>
      </w:r>
    </w:p>
    <w:p w14:paraId="5C6466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（4）土壤类型推测制图：是否提供典型虚拟点、三普剖面样点、野外校核点；是否提供栅格土种预测结果、栅格不确定性分布结果、土种预测结果矢量化图层；是</w:t>
      </w:r>
      <w:r>
        <w:rPr>
          <w:rFonts w:hint="eastAsia" w:ascii="宋体" w:hAnsi="宋体" w:eastAsia="宋体" w:cs="宋体"/>
          <w:b w:val="0"/>
          <w:color w:val="auto"/>
          <w:sz w:val="24"/>
          <w:highlight w:val="none"/>
          <w:u w:val="none"/>
          <w:lang w:eastAsia="zh-CN"/>
        </w:rPr>
        <w:t>否有环境数据重要性排序、Kappa系数等验证模型精度。</w:t>
      </w:r>
    </w:p>
    <w:p w14:paraId="235325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1DF5E4A">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w:t>
      </w:r>
      <w:r>
        <w:rPr>
          <w:rFonts w:hint="eastAsia" w:ascii="宋体" w:hAnsi="宋体" w:eastAsia="宋体" w:cs="宋体"/>
          <w:b w:val="0"/>
          <w:sz w:val="24"/>
          <w:u w:val="none"/>
          <w:lang w:eastAsia="zh-CN"/>
        </w:rPr>
        <w:t>成土环境数据：</w:t>
      </w:r>
      <w:r>
        <w:rPr>
          <w:rFonts w:hint="eastAsia" w:ascii="宋体" w:hAnsi="宋体" w:eastAsia="宋体" w:cs="宋体"/>
          <w:b w:val="0"/>
          <w:sz w:val="24"/>
          <w:u w:val="none"/>
          <w:lang w:val="en-US" w:eastAsia="zh-CN"/>
        </w:rPr>
        <w:t>母质数据有其他多余县区</w:t>
      </w:r>
    </w:p>
    <w:p w14:paraId="23865E4F">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1524000" cy="50482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a:stretch>
                      <a:fillRect/>
                    </a:stretch>
                  </pic:blipFill>
                  <pic:spPr>
                    <a:xfrm>
                      <a:off x="0" y="0"/>
                      <a:ext cx="1524000" cy="504825"/>
                    </a:xfrm>
                    <a:prstGeom prst="rect">
                      <a:avLst/>
                    </a:prstGeom>
                    <a:noFill/>
                    <a:ln>
                      <a:noFill/>
                    </a:ln>
                  </pic:spPr>
                </pic:pic>
              </a:graphicData>
            </a:graphic>
          </wp:inline>
        </w:drawing>
      </w:r>
    </w:p>
    <w:p w14:paraId="4CC52EF7">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数据</w:t>
      </w:r>
      <w:r>
        <w:rPr>
          <w:rFonts w:hint="eastAsia" w:ascii="宋体" w:hAnsi="宋体" w:eastAsia="宋体" w:cs="宋体"/>
          <w:b w:val="0"/>
          <w:sz w:val="24"/>
          <w:u w:val="none"/>
          <w:lang w:val="en-US" w:eastAsia="zh-CN"/>
        </w:rPr>
        <w:t>命名不规范，无法分辨是否有土壤类型改变区？是否提供典型虚拟点、三普剖面样点、野外校核点、栅格土种预测结果、栅格不确定性分布结果、土种预测结果矢量化图层？</w:t>
      </w:r>
    </w:p>
    <w:p w14:paraId="35D5BE9D">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pPr>
    </w:p>
    <w:p w14:paraId="46B62B44">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1009650" cy="1476375"/>
            <wp:effectExtent l="0" t="0" r="0" b="952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1"/>
                    <a:stretch>
                      <a:fillRect/>
                    </a:stretch>
                  </pic:blipFill>
                  <pic:spPr>
                    <a:xfrm>
                      <a:off x="0" y="0"/>
                      <a:ext cx="1009650" cy="1476375"/>
                    </a:xfrm>
                    <a:prstGeom prst="rect">
                      <a:avLst/>
                    </a:prstGeom>
                    <a:noFill/>
                    <a:ln>
                      <a:noFill/>
                    </a:ln>
                  </pic:spPr>
                </pic:pic>
              </a:graphicData>
            </a:graphic>
          </wp:inline>
        </w:drawing>
      </w:r>
    </w:p>
    <w:p w14:paraId="3F53D8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野外校核与验证成果</w:t>
      </w:r>
    </w:p>
    <w:p w14:paraId="2243B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C79E5F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（1）野外校核路线：是否至少有三条路线；路线是否覆盖土壤类型可能改变区域；路线是否穿过各类可能改变区的代表性图斑中心；路线是否穿过室内校核有疑问的图斑。</w:t>
      </w:r>
    </w:p>
    <w:p w14:paraId="544C42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（2）土壤类型转换规则：是否制定土壤类型转换规则表。</w:t>
      </w:r>
    </w:p>
    <w:p w14:paraId="4389870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（3）有疑图斑校核：可能变化区与疑问图斑是否按野外校核结果进行修订。</w:t>
      </w:r>
    </w:p>
    <w:p w14:paraId="4C49CA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（4）野外路线校核工作照片：校核点位数量与上交的图片资料数量是否一致。</w:t>
      </w:r>
    </w:p>
    <w:p w14:paraId="5C39D15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（5）野外验证结果：每条路线穿过的土壤图斑中是否随机选取10个图斑（3条路线共30个图斑）进行验证。</w:t>
      </w:r>
    </w:p>
    <w:p w14:paraId="0E9B95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CC4B2DB">
      <w:pPr>
        <w:keepNext/>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野外校核路线</w:t>
      </w:r>
      <w:r>
        <w:rPr>
          <w:rFonts w:hint="eastAsia" w:ascii="宋体" w:hAnsi="宋体" w:eastAsia="宋体" w:cs="宋体"/>
          <w:b w:val="0"/>
          <w:sz w:val="24"/>
          <w:u w:val="none"/>
          <w:lang w:val="en-US" w:eastAsia="zh-CN"/>
        </w:rPr>
        <w:t>图不美观，超出研究区的是？</w:t>
      </w:r>
    </w:p>
    <w:p w14:paraId="52DA4460">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eastAsia="zh-CN"/>
        </w:rPr>
      </w:pPr>
      <w:r>
        <w:drawing>
          <wp:inline distT="0" distB="0" distL="114300" distR="114300">
            <wp:extent cx="1990725" cy="942975"/>
            <wp:effectExtent l="0" t="0" r="9525" b="952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2"/>
                    <a:stretch>
                      <a:fillRect/>
                    </a:stretch>
                  </pic:blipFill>
                  <pic:spPr>
                    <a:xfrm>
                      <a:off x="0" y="0"/>
                      <a:ext cx="1990725" cy="942975"/>
                    </a:xfrm>
                    <a:prstGeom prst="rect">
                      <a:avLst/>
                    </a:prstGeom>
                    <a:noFill/>
                    <a:ln>
                      <a:noFill/>
                    </a:ln>
                  </pic:spPr>
                </pic:pic>
              </a:graphicData>
            </a:graphic>
          </wp:inline>
        </w:drawing>
      </w:r>
    </w:p>
    <w:p w14:paraId="2DBCFA00">
      <w:pPr>
        <w:keepNext/>
        <w:keepLines w:val="0"/>
        <w:pageBreakBefore w:val="0"/>
        <w:widowControl w:val="0"/>
        <w:numPr>
          <w:ilvl w:val="0"/>
          <w:numId w:val="7"/>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土壤类型转换规则表。</w:t>
      </w:r>
    </w:p>
    <w:p w14:paraId="45115C31">
      <w:pPr>
        <w:keepNext/>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报告中未体现可能变化区与疑问图斑是否按野外校核结果进行修订。</w:t>
      </w:r>
    </w:p>
    <w:p w14:paraId="0C74B49B">
      <w:pPr>
        <w:keepNext/>
        <w:keepLines w:val="0"/>
        <w:pageBreakBefore w:val="0"/>
        <w:widowControl w:val="0"/>
        <w:numPr>
          <w:ilvl w:val="0"/>
          <w:numId w:val="8"/>
        </w:numPr>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土壤分类</w:t>
      </w:r>
      <w:r>
        <w:rPr>
          <w:rFonts w:hint="eastAsia" w:ascii="宋体" w:hAnsi="宋体" w:eastAsia="宋体" w:cs="宋体"/>
          <w:b/>
          <w:sz w:val="24"/>
          <w:u w:val="none"/>
          <w:lang w:val="en-US" w:eastAsia="zh-CN"/>
        </w:rPr>
        <w:t>与制图</w:t>
      </w:r>
      <w:r>
        <w:rPr>
          <w:rFonts w:hint="eastAsia" w:ascii="宋体" w:hAnsi="宋体" w:eastAsia="宋体" w:cs="宋体"/>
          <w:b/>
          <w:sz w:val="24"/>
          <w:u w:val="none"/>
          <w:lang w:eastAsia="zh-CN"/>
        </w:rPr>
        <w:t>成果</w:t>
      </w:r>
    </w:p>
    <w:p w14:paraId="06AD78B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6B1DD69">
      <w:pPr>
        <w:keepNext/>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三普土种有4个不在河北省三普土种类型清单中，请核实整改：黏体壤石灰性潮土、壤夹砂底黏石灰性潮土、砂壤底壤石灰性潮土、黏质浅位石灰性草甸沼泽土。</w:t>
      </w:r>
    </w:p>
    <w:p w14:paraId="3099A374">
      <w:pPr>
        <w:keepNext/>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制图成果关键字段有空值。</w:t>
      </w:r>
    </w:p>
    <w:p w14:paraId="3BAF3279">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3015615" cy="1619885"/>
            <wp:effectExtent l="0" t="0" r="13335" b="18415"/>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13"/>
                    <a:stretch>
                      <a:fillRect/>
                    </a:stretch>
                  </pic:blipFill>
                  <pic:spPr>
                    <a:xfrm>
                      <a:off x="0" y="0"/>
                      <a:ext cx="3015615" cy="1619885"/>
                    </a:xfrm>
                    <a:prstGeom prst="rect">
                      <a:avLst/>
                    </a:prstGeom>
                    <a:noFill/>
                    <a:ln>
                      <a:noFill/>
                    </a:ln>
                  </pic:spPr>
                </pic:pic>
              </a:graphicData>
            </a:graphic>
          </wp:inline>
        </w:drawing>
      </w:r>
    </w:p>
    <w:p w14:paraId="5D80B45E">
      <w:pPr>
        <w:keepNext/>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jc w:val="left"/>
        <w:textAlignment w:val="auto"/>
      </w:pPr>
      <w:r>
        <w:rPr>
          <w:rFonts w:hint="eastAsia" w:ascii="宋体" w:hAnsi="宋体" w:eastAsia="宋体" w:cs="宋体"/>
          <w:i w:val="0"/>
          <w:iCs w:val="0"/>
          <w:color w:val="000000"/>
          <w:kern w:val="0"/>
          <w:sz w:val="24"/>
          <w:szCs w:val="24"/>
          <w:u w:val="none"/>
          <w:lang w:val="en-US" w:eastAsia="zh-CN" w:bidi="ar"/>
        </w:rPr>
        <w:t>制图成果有拓扑问题，请进行修正。</w:t>
      </w:r>
    </w:p>
    <w:p w14:paraId="67714D13">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2840355" cy="1440180"/>
            <wp:effectExtent l="0" t="0" r="17145" b="7620"/>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pic:cNvPicPr>
                  </pic:nvPicPr>
                  <pic:blipFill>
                    <a:blip r:embed="rId14"/>
                    <a:stretch>
                      <a:fillRect/>
                    </a:stretch>
                  </pic:blipFill>
                  <pic:spPr>
                    <a:xfrm>
                      <a:off x="0" y="0"/>
                      <a:ext cx="2840355" cy="1440180"/>
                    </a:xfrm>
                    <a:prstGeom prst="rect">
                      <a:avLst/>
                    </a:prstGeom>
                    <a:noFill/>
                    <a:ln>
                      <a:noFill/>
                    </a:ln>
                  </pic:spPr>
                </pic:pic>
              </a:graphicData>
            </a:graphic>
          </wp:inline>
        </w:drawing>
      </w:r>
    </w:p>
    <w:p w14:paraId="3FD879CA">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32"/>
          <w:lang w:eastAsia="zh-CN"/>
        </w:rPr>
      </w:pPr>
      <w:r>
        <w:rPr>
          <w:rFonts w:hint="eastAsia" w:ascii="宋体" w:hAnsi="宋体" w:eastAsia="宋体" w:cs="宋体"/>
          <w:sz w:val="24"/>
          <w:szCs w:val="32"/>
          <w:lang w:eastAsia="zh-CN"/>
        </w:rPr>
        <w:t>（</w:t>
      </w:r>
      <w:r>
        <w:rPr>
          <w:rFonts w:hint="eastAsia" w:ascii="宋体" w:hAnsi="宋体" w:eastAsia="宋体" w:cs="宋体"/>
          <w:sz w:val="24"/>
          <w:szCs w:val="32"/>
          <w:lang w:val="en-US" w:eastAsia="zh-CN"/>
        </w:rPr>
        <w:t>4）</w:t>
      </w:r>
      <w:r>
        <w:rPr>
          <w:rFonts w:hint="eastAsia" w:ascii="宋体" w:hAnsi="宋体" w:eastAsia="宋体" w:cs="宋体"/>
          <w:sz w:val="24"/>
          <w:szCs w:val="32"/>
        </w:rPr>
        <w:t>土壤类型组合与分类清单存在</w:t>
      </w:r>
      <w:r>
        <w:rPr>
          <w:rFonts w:hint="eastAsia" w:ascii="宋体" w:hAnsi="宋体" w:eastAsia="宋体" w:cs="宋体"/>
          <w:sz w:val="24"/>
          <w:szCs w:val="32"/>
          <w:lang w:val="en-US" w:eastAsia="zh-CN"/>
        </w:rPr>
        <w:t>4</w:t>
      </w:r>
      <w:r>
        <w:rPr>
          <w:rFonts w:hint="eastAsia" w:ascii="宋体" w:hAnsi="宋体" w:eastAsia="宋体" w:cs="宋体"/>
          <w:sz w:val="24"/>
          <w:szCs w:val="32"/>
        </w:rPr>
        <w:t>处不对应</w:t>
      </w:r>
      <w:r>
        <w:rPr>
          <w:rFonts w:hint="eastAsia" w:ascii="宋体" w:hAnsi="宋体" w:eastAsia="宋体" w:cs="宋体"/>
          <w:sz w:val="24"/>
          <w:szCs w:val="32"/>
          <w:lang w:eastAsia="zh-CN"/>
        </w:rPr>
        <w:t>。</w:t>
      </w:r>
    </w:p>
    <w:p w14:paraId="4E780967">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lang w:val="en-US" w:eastAsia="zh-CN"/>
        </w:rPr>
      </w:pPr>
      <w:r>
        <w:drawing>
          <wp:inline distT="0" distB="0" distL="114300" distR="114300">
            <wp:extent cx="2193925" cy="1583690"/>
            <wp:effectExtent l="0" t="0" r="15875" b="16510"/>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15"/>
                    <a:stretch>
                      <a:fillRect/>
                    </a:stretch>
                  </pic:blipFill>
                  <pic:spPr>
                    <a:xfrm>
                      <a:off x="0" y="0"/>
                      <a:ext cx="2193925" cy="1583690"/>
                    </a:xfrm>
                    <a:prstGeom prst="rect">
                      <a:avLst/>
                    </a:prstGeom>
                    <a:noFill/>
                    <a:ln>
                      <a:noFill/>
                    </a:ln>
                  </pic:spPr>
                </pic:pic>
              </a:graphicData>
            </a:graphic>
          </wp:inline>
        </w:drawing>
      </w:r>
    </w:p>
    <w:p w14:paraId="221F457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4" w:name="_Toc14635"/>
      <w:r>
        <w:rPr>
          <w:rFonts w:hint="eastAsia" w:ascii="黑体" w:hAnsi="黑体" w:eastAsia="黑体" w:cs="黑体"/>
          <w:b/>
          <w:sz w:val="30"/>
          <w:u w:val="none"/>
          <w:lang w:eastAsia="zh-CN"/>
        </w:rPr>
        <w:t>二、图件成果</w:t>
      </w:r>
      <w:bookmarkEnd w:id="4"/>
    </w:p>
    <w:p w14:paraId="2A622DD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5" w:name="_Toc15312"/>
      <w:r>
        <w:rPr>
          <w:rFonts w:hint="eastAsia" w:ascii="宋体" w:hAnsi="宋体" w:eastAsia="宋体" w:cs="宋体"/>
          <w:b/>
          <w:sz w:val="28"/>
          <w:u w:val="none"/>
          <w:lang w:eastAsia="zh-CN"/>
        </w:rPr>
        <w:t>（一）图件规范性审查</w:t>
      </w:r>
      <w:bookmarkEnd w:id="5"/>
    </w:p>
    <w:p w14:paraId="22D7114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图件格式与图面要素</w:t>
      </w:r>
    </w:p>
    <w:p w14:paraId="340679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20F384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（1）图件格式为JPG，DPI大于300。</w:t>
      </w:r>
    </w:p>
    <w:p w14:paraId="24E4C3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（2）图名、图例、注记、比例尺、指北针、地理要素、土壤类型分布断面图、土壤类型与土地利用类型面积统计表、位置示意图、制图人员信息等要素齐全。</w:t>
      </w:r>
    </w:p>
    <w:p w14:paraId="4921BB4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（3）参照《第三次全国国土调查技术规程》（TD/T 1055-2019）进行背景要素符号样式设计和绘制。</w:t>
      </w:r>
    </w:p>
    <w:p w14:paraId="2EB80BD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（4）基础地理要素包括地形、水系、居民点、交通线和境界线等齐全。</w:t>
      </w:r>
    </w:p>
    <w:p w14:paraId="6A39C1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（5）成图比例尺为1：5万；最好以线段比例尺表示。</w:t>
      </w:r>
    </w:p>
    <w:p w14:paraId="7DF1931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（6）县级、地市级土壤制图上图单元到土种。</w:t>
      </w:r>
    </w:p>
    <w:p w14:paraId="3F38544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p>
    <w:p w14:paraId="6DF5271E">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（1）建议以线段比例尺表示。</w:t>
      </w:r>
    </w:p>
    <w:p w14:paraId="6131F8B7">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val="en-US" w:eastAsia="zh-CN"/>
        </w:rPr>
      </w:pPr>
      <w:r>
        <w:drawing>
          <wp:inline distT="0" distB="0" distL="114300" distR="114300">
            <wp:extent cx="1094105" cy="360045"/>
            <wp:effectExtent l="0" t="0" r="10795" b="190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6"/>
                    <a:stretch>
                      <a:fillRect/>
                    </a:stretch>
                  </pic:blipFill>
                  <pic:spPr>
                    <a:xfrm>
                      <a:off x="0" y="0"/>
                      <a:ext cx="1094105" cy="360045"/>
                    </a:xfrm>
                    <a:prstGeom prst="rect">
                      <a:avLst/>
                    </a:prstGeom>
                    <a:noFill/>
                    <a:ln>
                      <a:noFill/>
                    </a:ln>
                  </pic:spPr>
                </pic:pic>
              </a:graphicData>
            </a:graphic>
          </wp:inline>
        </w:drawing>
      </w:r>
    </w:p>
    <w:p w14:paraId="5039CE0F">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（2）缺少等高线。</w:t>
      </w:r>
    </w:p>
    <w:p w14:paraId="6638DB62">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（3）</w:t>
      </w:r>
      <w:r>
        <w:rPr>
          <w:rFonts w:hint="eastAsia" w:ascii="宋体" w:hAnsi="宋体" w:eastAsia="宋体" w:cs="宋体"/>
          <w:b w:val="0"/>
          <w:sz w:val="24"/>
          <w:u w:val="none"/>
          <w:lang w:eastAsia="zh-CN"/>
        </w:rPr>
        <w:t>位置示意图</w:t>
      </w:r>
      <w:r>
        <w:rPr>
          <w:rFonts w:hint="eastAsia" w:ascii="宋体" w:hAnsi="宋体" w:eastAsia="宋体" w:cs="宋体"/>
          <w:b w:val="0"/>
          <w:sz w:val="24"/>
          <w:u w:val="none"/>
          <w:lang w:val="en-US" w:eastAsia="zh-CN"/>
        </w:rPr>
        <w:t>缺少其他市县的标识。</w:t>
      </w:r>
    </w:p>
    <w:p w14:paraId="2698F6BE">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sz w:val="24"/>
          <w:u w:val="none"/>
          <w:lang w:val="en-US" w:eastAsia="zh-CN"/>
        </w:rPr>
      </w:pPr>
      <w:r>
        <w:drawing>
          <wp:inline distT="0" distB="0" distL="114300" distR="114300">
            <wp:extent cx="2796540" cy="2160270"/>
            <wp:effectExtent l="0" t="0" r="3810" b="1143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7"/>
                    <a:stretch>
                      <a:fillRect/>
                    </a:stretch>
                  </pic:blipFill>
                  <pic:spPr>
                    <a:xfrm>
                      <a:off x="0" y="0"/>
                      <a:ext cx="2796540" cy="2160270"/>
                    </a:xfrm>
                    <a:prstGeom prst="rect">
                      <a:avLst/>
                    </a:prstGeom>
                    <a:noFill/>
                    <a:ln>
                      <a:noFill/>
                    </a:ln>
                  </pic:spPr>
                </pic:pic>
              </a:graphicData>
            </a:graphic>
          </wp:inline>
        </w:drawing>
      </w:r>
    </w:p>
    <w:p w14:paraId="69BA8B8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6" w:name="_Toc26692"/>
      <w:r>
        <w:rPr>
          <w:rFonts w:hint="eastAsia" w:ascii="宋体" w:hAnsi="宋体" w:eastAsia="宋体" w:cs="宋体"/>
          <w:b/>
          <w:sz w:val="28"/>
          <w:u w:val="none"/>
          <w:lang w:eastAsia="zh-CN"/>
        </w:rPr>
        <w:t>（二）基础地理要素核查</w:t>
      </w:r>
      <w:bookmarkEnd w:id="6"/>
    </w:p>
    <w:p w14:paraId="19290D1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基础地理要素</w:t>
      </w:r>
    </w:p>
    <w:p w14:paraId="177C02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66236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（1）地形：等高距一般平原20~50m；丘陵50~100m；山区100~200m。</w:t>
      </w:r>
    </w:p>
    <w:p w14:paraId="378515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（2）水系：河流、湖泊、水库、水渠是否标识。</w:t>
      </w:r>
    </w:p>
    <w:p w14:paraId="580182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（3）居民点：建成区以完整面状图斑表示；较小的乡镇、村级可以用点状符号表示。</w:t>
      </w:r>
    </w:p>
    <w:p w14:paraId="71BCC9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（4）境界线：参照自然资源部地图技术审查中心的标准地图，正确表示县界、市界、省界。</w:t>
      </w:r>
    </w:p>
    <w:p w14:paraId="1CBF7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（5）符号化：非土壤制图单元的制图符号按国家基本比例尺地图图示国家标准进行符号化（GB/T 20257.3—2017）。</w:t>
      </w:r>
    </w:p>
    <w:p w14:paraId="136197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（6）色标：按照《土壤制图 1：25000 1：50000 1：100000 中国土壤图用色和图例规范》。</w:t>
      </w:r>
    </w:p>
    <w:p w14:paraId="524CA1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3839407">
      <w:pPr>
        <w:keepNext/>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政府驻地应有专有符号，</w:t>
      </w:r>
      <w:r>
        <w:rPr>
          <w:rFonts w:hint="eastAsia" w:ascii="宋体" w:hAnsi="宋体" w:eastAsia="宋体" w:cs="宋体"/>
          <w:b w:val="0"/>
          <w:sz w:val="24"/>
          <w:u w:val="none"/>
          <w:lang w:eastAsia="zh-CN"/>
        </w:rPr>
        <w:t>水系</w:t>
      </w:r>
      <w:r>
        <w:rPr>
          <w:rFonts w:hint="eastAsia" w:ascii="宋体" w:hAnsi="宋体" w:eastAsia="宋体" w:cs="宋体"/>
          <w:b w:val="0"/>
          <w:sz w:val="24"/>
          <w:u w:val="none"/>
          <w:lang w:val="en-US" w:eastAsia="zh-CN"/>
        </w:rPr>
        <w:t>等缺少标识。</w:t>
      </w:r>
    </w:p>
    <w:p w14:paraId="71D115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图例使用错误，请按照第三次全国国土调查技术规范使用。</w:t>
      </w:r>
    </w:p>
    <w:p w14:paraId="529E660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3）</w:t>
      </w:r>
      <w:r>
        <w:rPr>
          <w:rFonts w:hint="eastAsia" w:ascii="宋体" w:hAnsi="宋体" w:eastAsia="宋体" w:cs="宋体"/>
          <w:b w:val="0"/>
          <w:sz w:val="24"/>
          <w:u w:val="none"/>
          <w:lang w:eastAsia="zh-CN"/>
        </w:rPr>
        <w:t>行政区边界显示了晕线，但并未在图例中展现。</w:t>
      </w:r>
    </w:p>
    <w:p w14:paraId="6BF444C1">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1576705" cy="2160270"/>
            <wp:effectExtent l="0" t="0" r="4445" b="1143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8"/>
                    <a:srcRect t="15236"/>
                    <a:stretch>
                      <a:fillRect/>
                    </a:stretch>
                  </pic:blipFill>
                  <pic:spPr>
                    <a:xfrm>
                      <a:off x="0" y="0"/>
                      <a:ext cx="1576705" cy="216027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602740" cy="1224280"/>
            <wp:effectExtent l="0" t="0" r="16510" b="1397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9"/>
                    <a:stretch>
                      <a:fillRect/>
                    </a:stretch>
                  </pic:blipFill>
                  <pic:spPr>
                    <a:xfrm>
                      <a:off x="0" y="0"/>
                      <a:ext cx="1602740" cy="1224280"/>
                    </a:xfrm>
                    <a:prstGeom prst="rect">
                      <a:avLst/>
                    </a:prstGeom>
                    <a:noFill/>
                    <a:ln>
                      <a:noFill/>
                    </a:ln>
                  </pic:spPr>
                </pic:pic>
              </a:graphicData>
            </a:graphic>
          </wp:inline>
        </w:drawing>
      </w:r>
    </w:p>
    <w:p w14:paraId="332CB2F8">
      <w:pPr>
        <w:keepNext/>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4"/>
          <w:szCs w:val="32"/>
          <w:lang w:val="en-US" w:eastAsia="zh-CN"/>
        </w:rPr>
      </w:pPr>
      <w:r>
        <w:rPr>
          <w:rFonts w:hint="eastAsia"/>
          <w:sz w:val="24"/>
          <w:szCs w:val="32"/>
          <w:lang w:val="en-US" w:eastAsia="zh-CN"/>
        </w:rPr>
        <w:t>参考：</w:t>
      </w:r>
    </w:p>
    <w:p w14:paraId="608D42EF">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lang w:val="en-US" w:eastAsia="zh-CN"/>
        </w:rPr>
      </w:pPr>
      <w:r>
        <w:drawing>
          <wp:inline distT="0" distB="0" distL="114300" distR="114300">
            <wp:extent cx="3454400" cy="2879725"/>
            <wp:effectExtent l="0" t="0" r="12700" b="158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0"/>
                    <a:stretch>
                      <a:fillRect/>
                    </a:stretch>
                  </pic:blipFill>
                  <pic:spPr>
                    <a:xfrm>
                      <a:off x="0" y="0"/>
                      <a:ext cx="3454400" cy="2879725"/>
                    </a:xfrm>
                    <a:prstGeom prst="rect">
                      <a:avLst/>
                    </a:prstGeom>
                    <a:noFill/>
                    <a:ln>
                      <a:noFill/>
                    </a:ln>
                  </pic:spPr>
                </pic:pic>
              </a:graphicData>
            </a:graphic>
          </wp:inline>
        </w:drawing>
      </w:r>
    </w:p>
    <w:p w14:paraId="176738E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7" w:name="_Toc25965"/>
      <w:r>
        <w:rPr>
          <w:rFonts w:hint="eastAsia" w:ascii="宋体" w:hAnsi="宋体" w:eastAsia="宋体" w:cs="宋体"/>
          <w:b/>
          <w:sz w:val="28"/>
          <w:u w:val="none"/>
          <w:lang w:eastAsia="zh-CN"/>
        </w:rPr>
        <w:t>（三）注记核查</w:t>
      </w:r>
      <w:bookmarkEnd w:id="7"/>
    </w:p>
    <w:p w14:paraId="0ED1817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注记要素</w:t>
      </w:r>
    </w:p>
    <w:p w14:paraId="019771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B3D1FA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（1）土壤类型按照分类层次进行标记，不宜跨越4个及以上分类层级。</w:t>
      </w:r>
    </w:p>
    <w:p w14:paraId="7AFAED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（2）顺序号可采用罗马数字、阿拉伯数字和小写字母分别标记，并在图例中对顺序号进行说明。</w:t>
      </w:r>
    </w:p>
    <w:p w14:paraId="7A161D1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（3）对于图斑较小的情况，采用引线标记；面积分布范围过大的制图单元，可以进行多次标记。</w:t>
      </w:r>
    </w:p>
    <w:p w14:paraId="2A3149E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（4）政府驻地、铁路站场、民用机场、公路与铁路、河流、湖泊、水库、干渠、国家公园、自然保护区、自然公园等重要地物名称是否注记。</w:t>
      </w:r>
    </w:p>
    <w:p w14:paraId="55ECEC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（5）注记文字种类不超过4种，汉字优先采用宋体，可选用黑体、楷体、仿宋、隶书；英文和数字优先采用Times New Roman，可选用Arial Black。注记方向一般为正向，字头朝北。注记排列方式按照实际情况从水平字列、垂直字列、雁行字列和屈曲字列中选择。</w:t>
      </w:r>
    </w:p>
    <w:p w14:paraId="6091F47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铁路站场、民用机场、河流、湖泊、水库、干渠、国家公园、自然保护区、自然公园等重要地物名称未注记。</w:t>
      </w:r>
    </w:p>
    <w:p w14:paraId="1E88445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8" w:name="_Toc18263"/>
      <w:r>
        <w:rPr>
          <w:rFonts w:hint="eastAsia" w:ascii="宋体" w:hAnsi="宋体" w:eastAsia="宋体" w:cs="宋体"/>
          <w:b/>
          <w:sz w:val="28"/>
          <w:u w:val="none"/>
          <w:lang w:eastAsia="zh-CN"/>
        </w:rPr>
        <w:t>（四）图面配置与整饰</w:t>
      </w:r>
      <w:bookmarkEnd w:id="8"/>
    </w:p>
    <w:p w14:paraId="58C954D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土壤类型与土地利用类型面积统计表</w:t>
      </w:r>
    </w:p>
    <w:p w14:paraId="57FA11F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70AB2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（1）面积统计表对各土种不同农用地土地利用现状类型进行了面积和占比统计。</w:t>
      </w:r>
    </w:p>
    <w:p w14:paraId="4C3F2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（2）辖区面积与2023年国土变更调查的数据一致，</w:t>
      </w:r>
      <w:r>
        <w:rPr>
          <w:rFonts w:hint="eastAsia" w:ascii="宋体" w:hAnsi="宋体" w:eastAsia="宋体" w:cs="宋体"/>
          <w:b w:val="0"/>
          <w:color w:val="auto"/>
          <w:sz w:val="24"/>
          <w:highlight w:val="yellow"/>
          <w:u w:val="none"/>
          <w:lang w:eastAsia="zh-CN"/>
        </w:rPr>
        <w:t>要进行平差</w:t>
      </w:r>
      <w:r>
        <w:rPr>
          <w:rFonts w:hint="eastAsia" w:ascii="宋体" w:hAnsi="宋体" w:eastAsia="宋体" w:cs="宋体"/>
          <w:b w:val="0"/>
          <w:sz w:val="24"/>
          <w:u w:val="none"/>
          <w:lang w:eastAsia="zh-CN"/>
        </w:rPr>
        <w:t>。</w:t>
      </w:r>
    </w:p>
    <w:p w14:paraId="2C5AAEB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D79E6E8">
      <w:pPr>
        <w:keepNext/>
        <w:keepLines w:val="0"/>
        <w:pageBreakBefore w:val="0"/>
        <w:widowControl w:val="0"/>
        <w:numPr>
          <w:ilvl w:val="0"/>
          <w:numId w:val="11"/>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缺少表名。</w:t>
      </w:r>
    </w:p>
    <w:p w14:paraId="52864346">
      <w:pPr>
        <w:keepNext/>
        <w:keepLines w:val="0"/>
        <w:pageBreakBefore w:val="0"/>
        <w:widowControl w:val="0"/>
        <w:numPr>
          <w:ilvl w:val="0"/>
          <w:numId w:val="11"/>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面积统计表缺少总计，同时注意各个数据的县域面积要和三调一致。</w:t>
      </w:r>
    </w:p>
    <w:p w14:paraId="4ECB71B3">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sz w:val="24"/>
          <w:u w:val="none"/>
          <w:lang w:val="en-US" w:eastAsia="zh-CN"/>
        </w:rPr>
      </w:pPr>
      <w:r>
        <w:drawing>
          <wp:inline distT="0" distB="0" distL="114300" distR="114300">
            <wp:extent cx="5269865" cy="1351915"/>
            <wp:effectExtent l="0" t="0" r="6985" b="63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1"/>
                    <a:stretch>
                      <a:fillRect/>
                    </a:stretch>
                  </pic:blipFill>
                  <pic:spPr>
                    <a:xfrm>
                      <a:off x="0" y="0"/>
                      <a:ext cx="5269865" cy="1351915"/>
                    </a:xfrm>
                    <a:prstGeom prst="rect">
                      <a:avLst/>
                    </a:prstGeom>
                    <a:noFill/>
                    <a:ln>
                      <a:noFill/>
                    </a:ln>
                  </pic:spPr>
                </pic:pic>
              </a:graphicData>
            </a:graphic>
          </wp:inline>
        </w:drawing>
      </w:r>
    </w:p>
    <w:p w14:paraId="43C771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土壤类型分布断面图</w:t>
      </w:r>
    </w:p>
    <w:p w14:paraId="087188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087788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（1）断面图断面选择合理，贯穿全域。</w:t>
      </w:r>
    </w:p>
    <w:p w14:paraId="17902D7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（2）断面图标注了关键地点名称、断面方向、土种名称，并且对应了地形地貌和成土母质。</w:t>
      </w:r>
    </w:p>
    <w:p w14:paraId="76C76B5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229B37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断面图</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关键地点名称、土种名称。</w:t>
      </w:r>
    </w:p>
    <w:p w14:paraId="16FB70C0">
      <w:pPr>
        <w:keepNext/>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eastAsia="zh-CN"/>
        </w:rPr>
      </w:pPr>
      <w:r>
        <w:drawing>
          <wp:inline distT="0" distB="0" distL="114300" distR="114300">
            <wp:extent cx="5267960" cy="2001520"/>
            <wp:effectExtent l="0" t="0" r="8890" b="1778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2"/>
                    <a:stretch>
                      <a:fillRect/>
                    </a:stretch>
                  </pic:blipFill>
                  <pic:spPr>
                    <a:xfrm>
                      <a:off x="0" y="0"/>
                      <a:ext cx="5267960" cy="2001520"/>
                    </a:xfrm>
                    <a:prstGeom prst="rect">
                      <a:avLst/>
                    </a:prstGeom>
                    <a:noFill/>
                    <a:ln>
                      <a:noFill/>
                    </a:ln>
                  </pic:spPr>
                </pic:pic>
              </a:graphicData>
            </a:graphic>
          </wp:inline>
        </w:drawing>
      </w:r>
    </w:p>
    <w:p w14:paraId="540BFB6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图例制作与图面配置</w:t>
      </w:r>
    </w:p>
    <w:p w14:paraId="5FE8A8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DF51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（1）图例用土壤类型代码、分类名称、颜色和几何图形表示制图单元；包括地形、农业利用等内容，能够反应与土壤形成分布有关的自然因素和农业利用状况。</w:t>
      </w:r>
    </w:p>
    <w:p w14:paraId="33323A3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（2）图名按要求命名；制图时间、单位等文字说明位于图幅右下方/外轮廓右下方；图廓直线表示，外粗内细，有清晰可见的经纬度坐标注记。</w:t>
      </w:r>
    </w:p>
    <w:p w14:paraId="4B683C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审查结果：图廓直线表示，外粗内细，</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清晰可见的经纬度坐标注记</w:t>
      </w:r>
      <w:r>
        <w:rPr>
          <w:rFonts w:hint="eastAsia" w:ascii="宋体" w:hAnsi="宋体" w:eastAsia="宋体" w:cs="宋体"/>
          <w:b w:val="0"/>
          <w:sz w:val="24"/>
          <w:u w:val="none"/>
          <w:lang w:val="en-US" w:eastAsia="zh-CN"/>
        </w:rPr>
        <w:t>。</w:t>
      </w:r>
    </w:p>
    <w:p w14:paraId="79FBEEF6">
      <w:pPr>
        <w:keepNext/>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val="en-US" w:eastAsia="zh-CN"/>
        </w:rPr>
      </w:pPr>
      <w:r>
        <w:drawing>
          <wp:inline distT="0" distB="0" distL="114300" distR="114300">
            <wp:extent cx="4848225" cy="933450"/>
            <wp:effectExtent l="0" t="0" r="9525" b="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3"/>
                    <a:stretch>
                      <a:fillRect/>
                    </a:stretch>
                  </pic:blipFill>
                  <pic:spPr>
                    <a:xfrm>
                      <a:off x="0" y="0"/>
                      <a:ext cx="4848225" cy="933450"/>
                    </a:xfrm>
                    <a:prstGeom prst="rect">
                      <a:avLst/>
                    </a:prstGeom>
                    <a:noFill/>
                    <a:ln>
                      <a:noFill/>
                    </a:ln>
                  </pic:spPr>
                </pic:pic>
              </a:graphicData>
            </a:graphic>
          </wp:inline>
        </w:drawing>
      </w:r>
    </w:p>
    <w:p w14:paraId="17A4B73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9" w:name="_Toc12952"/>
      <w:r>
        <w:rPr>
          <w:rFonts w:hint="eastAsia" w:ascii="黑体" w:hAnsi="黑体" w:eastAsia="黑体" w:cs="黑体"/>
          <w:b/>
          <w:sz w:val="30"/>
          <w:u w:val="none"/>
          <w:lang w:eastAsia="zh-CN"/>
        </w:rPr>
        <w:t>三、文本成果</w:t>
      </w:r>
      <w:bookmarkEnd w:id="9"/>
    </w:p>
    <w:p w14:paraId="1C0405B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0" w:name="_Toc9799"/>
      <w:r>
        <w:rPr>
          <w:rFonts w:hint="eastAsia" w:ascii="宋体" w:hAnsi="宋体" w:eastAsia="宋体" w:cs="宋体"/>
          <w:b/>
          <w:sz w:val="28"/>
          <w:u w:val="none"/>
          <w:lang w:eastAsia="zh-CN"/>
        </w:rPr>
        <w:t>（一）土壤类型制图技术报告</w:t>
      </w:r>
      <w:bookmarkEnd w:id="10"/>
    </w:p>
    <w:p w14:paraId="545941F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1F3984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5E0F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（1）目录规范：是否设有图、表目录。</w:t>
      </w:r>
    </w:p>
    <w:p w14:paraId="7A8602A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规范：计量单位是否全文统一；土壤分层单位是否全文统一为cm；土地面积单位为亩的数值是否保留到整数，单位为万亩时是否保留两位小数；土壤属性指标值是否保留1位小数（砂、粉、黏等质地类型指标值可保留到整数）。</w:t>
      </w:r>
    </w:p>
    <w:p w14:paraId="73751E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规范：目录字体是否统一；标题级别设置是否正确；章节标题为小二号宋体加粗居中；一级标题为三号黑体；二级标题为四号宋体加粗；三级标题为小四号黑体；四级标题为小四号宋体加粗；标题段前段后各0.5倍行距。</w:t>
      </w:r>
    </w:p>
    <w:p w14:paraId="7AB25A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（4）制图规范：图名是否准确；图件的设计制作是否主题突出，清晰易读且美观大方。</w:t>
      </w:r>
    </w:p>
    <w:p w14:paraId="7D65CE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（5）制表规范：是否存在重复表格；表名是否准确。</w:t>
      </w:r>
    </w:p>
    <w:p w14:paraId="6C9344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（6）正文规范：正文是否为小四号宋体，图名、表名五号黑体；正文是否为单倍行距；全文涉及的数字及英文字母是否一律用Times New Roman字体。</w:t>
      </w:r>
    </w:p>
    <w:p w14:paraId="2DAD6F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（7）质地规范：土种命名时，是否采用质地5级；土体质地构型与命名是否准确。</w:t>
      </w:r>
    </w:p>
    <w:p w14:paraId="59DA36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37D78A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w:t>
      </w:r>
      <w:r>
        <w:rPr>
          <w:rFonts w:hint="eastAsia" w:ascii="宋体" w:hAnsi="宋体" w:eastAsia="宋体" w:cs="宋体"/>
          <w:b w:val="0"/>
          <w:sz w:val="24"/>
          <w:u w:val="none"/>
          <w:lang w:val="en-US" w:eastAsia="zh-CN"/>
        </w:rPr>
        <w:t>页码错误</w:t>
      </w:r>
      <w:r>
        <w:rPr>
          <w:rFonts w:hint="eastAsia" w:ascii="宋体" w:hAnsi="宋体" w:eastAsia="宋体" w:cs="宋体"/>
          <w:b w:val="0"/>
          <w:sz w:val="24"/>
          <w:u w:val="none"/>
          <w:lang w:eastAsia="zh-CN"/>
        </w:rPr>
        <w:t>。</w:t>
      </w:r>
    </w:p>
    <w:p w14:paraId="5EA35EF4">
      <w:pPr>
        <w:keepNext/>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ascii="宋体" w:hAnsi="宋体" w:eastAsia="宋体" w:cs="宋体"/>
          <w:b w:val="0"/>
          <w:sz w:val="24"/>
          <w:u w:val="none"/>
          <w:lang w:eastAsia="zh-CN"/>
        </w:rPr>
      </w:pPr>
      <w:r>
        <w:drawing>
          <wp:inline distT="0" distB="0" distL="114300" distR="114300">
            <wp:extent cx="4748530" cy="1080135"/>
            <wp:effectExtent l="0" t="0" r="13970" b="5715"/>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24"/>
                    <a:stretch>
                      <a:fillRect/>
                    </a:stretch>
                  </pic:blipFill>
                  <pic:spPr>
                    <a:xfrm>
                      <a:off x="0" y="0"/>
                      <a:ext cx="4748530" cy="1080135"/>
                    </a:xfrm>
                    <a:prstGeom prst="rect">
                      <a:avLst/>
                    </a:prstGeom>
                    <a:noFill/>
                    <a:ln>
                      <a:noFill/>
                    </a:ln>
                  </pic:spPr>
                </pic:pic>
              </a:graphicData>
            </a:graphic>
          </wp:inline>
        </w:drawing>
      </w:r>
    </w:p>
    <w:p w14:paraId="79CCF58E">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单位</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规范：计量单位全文</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统一，</w:t>
      </w:r>
      <w:r>
        <w:rPr>
          <w:rFonts w:hint="eastAsia" w:ascii="宋体" w:hAnsi="宋体" w:eastAsia="宋体" w:cs="宋体"/>
          <w:b w:val="0"/>
          <w:sz w:val="24"/>
          <w:u w:val="none"/>
          <w:lang w:val="en-US" w:eastAsia="zh-CN"/>
        </w:rPr>
        <w:t>cm、厘米</w:t>
      </w:r>
      <w:r>
        <w:rPr>
          <w:rFonts w:hint="eastAsia" w:ascii="宋体" w:hAnsi="宋体" w:eastAsia="宋体" w:cs="宋体"/>
          <w:b w:val="0"/>
          <w:sz w:val="24"/>
          <w:u w:val="none"/>
          <w:lang w:eastAsia="zh-CN"/>
        </w:rPr>
        <w:t>混用。</w:t>
      </w:r>
    </w:p>
    <w:p w14:paraId="02445A72">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eastAsia="zh-CN"/>
        </w:rPr>
      </w:pPr>
      <w:r>
        <w:drawing>
          <wp:inline distT="0" distB="0" distL="114300" distR="114300">
            <wp:extent cx="5267960" cy="831215"/>
            <wp:effectExtent l="0" t="0" r="8890" b="698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5"/>
                    <a:stretch>
                      <a:fillRect/>
                    </a:stretch>
                  </pic:blipFill>
                  <pic:spPr>
                    <a:xfrm>
                      <a:off x="0" y="0"/>
                      <a:ext cx="5267960" cy="831215"/>
                    </a:xfrm>
                    <a:prstGeom prst="rect">
                      <a:avLst/>
                    </a:prstGeom>
                    <a:noFill/>
                    <a:ln>
                      <a:noFill/>
                    </a:ln>
                  </pic:spPr>
                </pic:pic>
              </a:graphicData>
            </a:graphic>
          </wp:inline>
        </w:drawing>
      </w:r>
    </w:p>
    <w:p w14:paraId="054A3280">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pPr>
      <w:r>
        <w:drawing>
          <wp:inline distT="0" distB="0" distL="114300" distR="114300">
            <wp:extent cx="5269865" cy="535305"/>
            <wp:effectExtent l="0" t="0" r="6985" b="17145"/>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26"/>
                    <a:stretch>
                      <a:fillRect/>
                    </a:stretch>
                  </pic:blipFill>
                  <pic:spPr>
                    <a:xfrm>
                      <a:off x="0" y="0"/>
                      <a:ext cx="5269865" cy="535305"/>
                    </a:xfrm>
                    <a:prstGeom prst="rect">
                      <a:avLst/>
                    </a:prstGeom>
                    <a:noFill/>
                    <a:ln>
                      <a:noFill/>
                    </a:ln>
                  </pic:spPr>
                </pic:pic>
              </a:graphicData>
            </a:graphic>
          </wp:inline>
        </w:drawing>
      </w:r>
    </w:p>
    <w:p w14:paraId="319FA202">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lang w:val="en-US"/>
        </w:rPr>
      </w:pPr>
      <w:r>
        <w:rPr>
          <w:rFonts w:hint="eastAsia" w:ascii="宋体" w:hAnsi="宋体" w:eastAsia="宋体" w:cs="宋体"/>
          <w:b w:val="0"/>
          <w:sz w:val="24"/>
          <w:u w:val="none"/>
          <w:lang w:eastAsia="zh-CN"/>
        </w:rPr>
        <w:t>（3）标题</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规范：字体、</w:t>
      </w:r>
      <w:r>
        <w:rPr>
          <w:rFonts w:hint="eastAsia" w:ascii="宋体" w:hAnsi="宋体" w:eastAsia="宋体" w:cs="宋体"/>
          <w:b w:val="0"/>
          <w:sz w:val="24"/>
          <w:u w:val="none"/>
          <w:lang w:val="en-US" w:eastAsia="zh-CN"/>
        </w:rPr>
        <w:t>行距与标准不符。</w:t>
      </w:r>
    </w:p>
    <w:p w14:paraId="0D64580F">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2305050" cy="972185"/>
            <wp:effectExtent l="0" t="0" r="0" b="18415"/>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27"/>
                    <a:stretch>
                      <a:fillRect/>
                    </a:stretch>
                  </pic:blipFill>
                  <pic:spPr>
                    <a:xfrm>
                      <a:off x="0" y="0"/>
                      <a:ext cx="2305050" cy="972185"/>
                    </a:xfrm>
                    <a:prstGeom prst="rect">
                      <a:avLst/>
                    </a:prstGeom>
                    <a:noFill/>
                    <a:ln>
                      <a:noFill/>
                    </a:ln>
                  </pic:spPr>
                </pic:pic>
              </a:graphicData>
            </a:graphic>
          </wp:inline>
        </w:drawing>
      </w:r>
    </w:p>
    <w:p w14:paraId="47D1E67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pPr>
      <w:r>
        <w:rPr>
          <w:rFonts w:hint="eastAsia" w:ascii="宋体" w:hAnsi="宋体" w:eastAsia="宋体" w:cs="宋体"/>
          <w:b w:val="0"/>
          <w:sz w:val="24"/>
          <w:u w:val="none"/>
          <w:lang w:eastAsia="zh-CN"/>
        </w:rPr>
        <w:t>（5）制表</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规范：表格</w:t>
      </w:r>
      <w:r>
        <w:rPr>
          <w:rFonts w:hint="eastAsia" w:ascii="宋体" w:hAnsi="宋体" w:eastAsia="宋体" w:cs="宋体"/>
          <w:b w:val="0"/>
          <w:sz w:val="24"/>
          <w:u w:val="none"/>
          <w:lang w:val="en-US" w:eastAsia="zh-CN"/>
        </w:rPr>
        <w:t>格式、外框有缺失。</w:t>
      </w:r>
    </w:p>
    <w:p w14:paraId="700DE767">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5271770" cy="575945"/>
            <wp:effectExtent l="0" t="0" r="5080" b="14605"/>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28"/>
                    <a:stretch>
                      <a:fillRect/>
                    </a:stretch>
                  </pic:blipFill>
                  <pic:spPr>
                    <a:xfrm>
                      <a:off x="0" y="0"/>
                      <a:ext cx="5271770" cy="575945"/>
                    </a:xfrm>
                    <a:prstGeom prst="rect">
                      <a:avLst/>
                    </a:prstGeom>
                    <a:noFill/>
                    <a:ln>
                      <a:noFill/>
                    </a:ln>
                  </pic:spPr>
                </pic:pic>
              </a:graphicData>
            </a:graphic>
          </wp:inline>
        </w:drawing>
      </w:r>
    </w:p>
    <w:p w14:paraId="1CBE957A">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pPr>
      <w:r>
        <w:rPr>
          <w:rFonts w:hint="eastAsia" w:ascii="宋体" w:hAnsi="宋体" w:eastAsia="宋体" w:cs="宋体"/>
          <w:b w:val="0"/>
          <w:sz w:val="24"/>
          <w:u w:val="none"/>
          <w:lang w:eastAsia="zh-CN"/>
        </w:rPr>
        <w:t>（6）正文规范：</w:t>
      </w:r>
      <w:r>
        <w:rPr>
          <w:rFonts w:hint="eastAsia" w:ascii="宋体" w:hAnsi="宋体" w:eastAsia="宋体" w:cs="宋体"/>
          <w:b w:val="0"/>
          <w:sz w:val="24"/>
          <w:u w:val="none"/>
          <w:lang w:val="en-US" w:eastAsia="zh-CN"/>
        </w:rPr>
        <w:t>标点、</w:t>
      </w:r>
      <w:r>
        <w:rPr>
          <w:rFonts w:hint="eastAsia" w:ascii="宋体" w:hAnsi="宋体" w:eastAsia="宋体" w:cs="宋体"/>
          <w:b w:val="0"/>
          <w:sz w:val="24"/>
          <w:u w:val="none"/>
          <w:lang w:eastAsia="zh-CN"/>
        </w:rPr>
        <w:t>正文、图名、表名、行距、全文涉及的数字及英文字母</w:t>
      </w:r>
      <w:r>
        <w:rPr>
          <w:rFonts w:hint="eastAsia" w:ascii="宋体" w:hAnsi="宋体" w:eastAsia="宋体" w:cs="宋体"/>
          <w:b w:val="0"/>
          <w:sz w:val="24"/>
          <w:u w:val="none"/>
          <w:lang w:val="en-US" w:eastAsia="zh-CN"/>
        </w:rPr>
        <w:t>须按要求进行统一标准、避免低级错误。</w:t>
      </w:r>
    </w:p>
    <w:p w14:paraId="53EB5544">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5272405" cy="1200785"/>
            <wp:effectExtent l="0" t="0" r="4445" b="18415"/>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29"/>
                    <a:stretch>
                      <a:fillRect/>
                    </a:stretch>
                  </pic:blipFill>
                  <pic:spPr>
                    <a:xfrm>
                      <a:off x="0" y="0"/>
                      <a:ext cx="5272405" cy="1200785"/>
                    </a:xfrm>
                    <a:prstGeom prst="rect">
                      <a:avLst/>
                    </a:prstGeom>
                    <a:noFill/>
                    <a:ln>
                      <a:noFill/>
                    </a:ln>
                  </pic:spPr>
                </pic:pic>
              </a:graphicData>
            </a:graphic>
          </wp:inline>
        </w:drawing>
      </w:r>
    </w:p>
    <w:p w14:paraId="2C4DAC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6C31FE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678F4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（1）第一章 土壤分类：是否在土种级别进行了针对本县区的三普土壤分类和二普土壤分类（规则）对照；是否进行了本县区土壤系统分类与发生学分类的对照。</w:t>
      </w:r>
    </w:p>
    <w:p w14:paraId="194207D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（2）第二章 土壤类型与变化：是否对本县区的主要土壤类型、数量和分布进行了规律性总结；是否对土壤类型的变化进行了分门别类的详细阐述。</w:t>
      </w:r>
    </w:p>
    <w:p w14:paraId="27877E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（3）第三章 土壤类型图编制：</w:t>
      </w:r>
    </w:p>
    <w:p w14:paraId="2CBFC2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a. 是否以不同校核内容为分项，对室内校核结果进行量化和效用阐述；</w:t>
      </w:r>
    </w:p>
    <w:p w14:paraId="31196D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b. 是否在野外校核路线和校核点设计描述中回应了室内校核结果；</w:t>
      </w:r>
    </w:p>
    <w:p w14:paraId="3A04A2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c. 是否在推测制图部分给出虚点的选择原则和虚点对土壤类型代表性的证明示例；</w:t>
      </w:r>
    </w:p>
    <w:p w14:paraId="01EACFC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d. 是否在推测制图部分给出环境变量的重要性排序及合理性评述；</w:t>
      </w:r>
    </w:p>
    <w:p w14:paraId="430CBD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u w:val="none"/>
          <w:lang w:eastAsia="zh-CN"/>
        </w:rPr>
        <w:t xml:space="preserve">    e. 推测制图的土种空间分布图和不确定性分布图是否展示并选用了</w:t>
      </w:r>
      <w:r>
        <w:rPr>
          <w:rFonts w:hint="eastAsia" w:ascii="宋体" w:hAnsi="宋体" w:eastAsia="宋体" w:cs="宋体"/>
          <w:b w:val="0"/>
          <w:sz w:val="24"/>
          <w:highlight w:val="none"/>
          <w:u w:val="none"/>
          <w:lang w:eastAsia="zh-CN"/>
        </w:rPr>
        <w:t>正确的图例；</w:t>
      </w:r>
    </w:p>
    <w:p w14:paraId="2E7D8D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f. 是否对推测制图的效果进行评述，且突出最优和最劣情况；</w:t>
      </w:r>
    </w:p>
    <w:p w14:paraId="33A30ED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g. 是否详述了土壤推测制图结果在土壤类型制图中的具体应用情况；</w:t>
      </w:r>
    </w:p>
    <w:p w14:paraId="59AFCA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h. 是否结合室内校核、野外校核和推测制图结果，明确给出土壤类型改变区提取和类型预判的依据；</w:t>
      </w:r>
    </w:p>
    <w:p w14:paraId="438D7F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i. 是否明确说明野外验证路线设计的思路和验证的量化结果；</w:t>
      </w:r>
    </w:p>
    <w:p w14:paraId="345BC9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j. 是否对本县区二普和三普土壤分布格局进行了定性、定量比较和变化原因分析。</w:t>
      </w:r>
    </w:p>
    <w:p w14:paraId="7675F56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EBD2E4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1）缺少</w:t>
      </w:r>
      <w:r>
        <w:rPr>
          <w:rFonts w:hint="eastAsia" w:ascii="宋体" w:hAnsi="宋体" w:eastAsia="宋体" w:cs="宋体"/>
          <w:b w:val="0"/>
          <w:sz w:val="24"/>
          <w:u w:val="none"/>
          <w:lang w:eastAsia="zh-CN"/>
        </w:rPr>
        <w:t>本县区土壤系统分类与发生学分类的对照。</w:t>
      </w:r>
    </w:p>
    <w:p w14:paraId="0F9ED817">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（2）缺少</w:t>
      </w:r>
      <w:r>
        <w:rPr>
          <w:rFonts w:hint="eastAsia" w:ascii="宋体" w:hAnsi="宋体" w:eastAsia="宋体" w:cs="宋体"/>
          <w:b w:val="0"/>
          <w:sz w:val="24"/>
          <w:u w:val="none"/>
          <w:lang w:eastAsia="zh-CN"/>
        </w:rPr>
        <w:t>在推测制图部分给出虚点的选择原则和虚点对土壤类型代表性的证明示例。</w:t>
      </w:r>
    </w:p>
    <w:p w14:paraId="448CC8EC">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3）</w:t>
      </w:r>
      <w:r>
        <w:rPr>
          <w:rFonts w:hint="eastAsia" w:ascii="宋体" w:hAnsi="宋体" w:eastAsia="宋体" w:cs="宋体"/>
          <w:b w:val="0"/>
          <w:sz w:val="24"/>
          <w:u w:val="none"/>
          <w:lang w:eastAsia="zh-CN"/>
        </w:rPr>
        <w:t>推测制图的土种空间分布图和不确定性分布图</w:t>
      </w:r>
      <w:r>
        <w:rPr>
          <w:rFonts w:hint="eastAsia" w:ascii="宋体" w:hAnsi="宋体" w:eastAsia="宋体" w:cs="宋体"/>
          <w:b w:val="0"/>
          <w:sz w:val="24"/>
          <w:highlight w:val="none"/>
          <w:u w:val="none"/>
          <w:lang w:eastAsia="zh-CN"/>
        </w:rPr>
        <w:t>的图例</w:t>
      </w:r>
      <w:r>
        <w:rPr>
          <w:rFonts w:hint="eastAsia" w:ascii="宋体" w:hAnsi="宋体" w:eastAsia="宋体" w:cs="宋体"/>
          <w:b w:val="0"/>
          <w:sz w:val="24"/>
          <w:highlight w:val="none"/>
          <w:u w:val="none"/>
          <w:lang w:val="en-US" w:eastAsia="zh-CN"/>
        </w:rPr>
        <w:t>不清晰、模糊</w:t>
      </w:r>
      <w:r>
        <w:rPr>
          <w:rFonts w:hint="eastAsia" w:ascii="宋体" w:hAnsi="宋体" w:eastAsia="宋体" w:cs="宋体"/>
          <w:b w:val="0"/>
          <w:sz w:val="24"/>
          <w:highlight w:val="none"/>
          <w:u w:val="none"/>
          <w:lang w:eastAsia="zh-CN"/>
        </w:rPr>
        <w:t>。</w:t>
      </w:r>
    </w:p>
    <w:p w14:paraId="1FFB5B6C">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b w:val="0"/>
          <w:sz w:val="24"/>
          <w:highlight w:val="none"/>
          <w:u w:val="none"/>
          <w:lang w:eastAsia="zh-CN"/>
        </w:rPr>
      </w:pPr>
      <w:r>
        <w:drawing>
          <wp:inline distT="0" distB="0" distL="114300" distR="114300">
            <wp:extent cx="1930400" cy="1080135"/>
            <wp:effectExtent l="0" t="0" r="12700" b="5715"/>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30"/>
                    <a:stretch>
                      <a:fillRect/>
                    </a:stretch>
                  </pic:blipFill>
                  <pic:spPr>
                    <a:xfrm>
                      <a:off x="0" y="0"/>
                      <a:ext cx="1930400" cy="1080135"/>
                    </a:xfrm>
                    <a:prstGeom prst="rect">
                      <a:avLst/>
                    </a:prstGeom>
                    <a:noFill/>
                    <a:ln>
                      <a:noFill/>
                    </a:ln>
                  </pic:spPr>
                </pic:pic>
              </a:graphicData>
            </a:graphic>
          </wp:inline>
        </w:drawing>
      </w:r>
    </w:p>
    <w:p w14:paraId="07F67EC6">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eastAsia="zh-CN"/>
        </w:rPr>
      </w:pPr>
      <w:r>
        <w:drawing>
          <wp:inline distT="0" distB="0" distL="114300" distR="114300">
            <wp:extent cx="2401570" cy="1080135"/>
            <wp:effectExtent l="0" t="0" r="17780" b="5715"/>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31"/>
                    <a:stretch>
                      <a:fillRect/>
                    </a:stretch>
                  </pic:blipFill>
                  <pic:spPr>
                    <a:xfrm>
                      <a:off x="0" y="0"/>
                      <a:ext cx="2401570" cy="1080135"/>
                    </a:xfrm>
                    <a:prstGeom prst="rect">
                      <a:avLst/>
                    </a:prstGeom>
                    <a:noFill/>
                    <a:ln>
                      <a:noFill/>
                    </a:ln>
                  </pic:spPr>
                </pic:pic>
              </a:graphicData>
            </a:graphic>
          </wp:inline>
        </w:drawing>
      </w:r>
    </w:p>
    <w:p w14:paraId="532B4A28">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（4）缺少</w:t>
      </w:r>
      <w:r>
        <w:rPr>
          <w:rFonts w:hint="eastAsia" w:ascii="宋体" w:hAnsi="宋体" w:eastAsia="宋体" w:cs="宋体"/>
          <w:b w:val="0"/>
          <w:sz w:val="24"/>
          <w:u w:val="none"/>
          <w:lang w:eastAsia="zh-CN"/>
        </w:rPr>
        <w:t>对推测制图的效果进行评述，且突出最优和最劣情况。</w:t>
      </w:r>
    </w:p>
    <w:p w14:paraId="1E7C0B7A">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（5）缺少</w:t>
      </w:r>
      <w:r>
        <w:rPr>
          <w:rFonts w:hint="eastAsia" w:ascii="宋体" w:hAnsi="宋体" w:eastAsia="宋体" w:cs="宋体"/>
          <w:b w:val="0"/>
          <w:sz w:val="24"/>
          <w:u w:val="none"/>
          <w:lang w:eastAsia="zh-CN"/>
        </w:rPr>
        <w:t>结合室内校核、野外校核和推测制图结果，明确给出土壤类型改变区提取和类型预判的依据。</w:t>
      </w:r>
    </w:p>
    <w:p w14:paraId="0BF0E70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1" w:name="_Toc12692"/>
      <w:r>
        <w:rPr>
          <w:rFonts w:hint="eastAsia" w:ascii="宋体" w:hAnsi="宋体" w:eastAsia="宋体" w:cs="宋体"/>
          <w:b/>
          <w:sz w:val="28"/>
          <w:u w:val="none"/>
          <w:lang w:eastAsia="zh-CN"/>
        </w:rPr>
        <w:t>（二）土壤类型制图工作报告</w:t>
      </w:r>
      <w:bookmarkEnd w:id="11"/>
    </w:p>
    <w:p w14:paraId="7479768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487821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54A4E6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参照技术报告全文规范中的（1）至（7）条，检查工作报告是否符合相应格式要求。</w:t>
      </w:r>
    </w:p>
    <w:p w14:paraId="7282926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254C5A8">
      <w:pPr>
        <w:keepNext/>
        <w:keepLines w:val="0"/>
        <w:pageBreakBefore w:val="0"/>
        <w:widowControl w:val="0"/>
        <w:numPr>
          <w:ilvl w:val="0"/>
          <w:numId w:val="12"/>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目录</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图、表目录。</w:t>
      </w:r>
    </w:p>
    <w:p w14:paraId="4CCE3C4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）标题</w:t>
      </w:r>
      <w:r>
        <w:rPr>
          <w:rFonts w:hint="eastAsia" w:ascii="宋体" w:hAnsi="宋体" w:eastAsia="宋体" w:cs="宋体"/>
          <w:b w:val="0"/>
          <w:sz w:val="24"/>
          <w:u w:val="none"/>
          <w:lang w:val="en-US" w:eastAsia="zh-CN"/>
        </w:rPr>
        <w:t>字体、行距不</w:t>
      </w:r>
      <w:r>
        <w:rPr>
          <w:rFonts w:hint="eastAsia" w:ascii="宋体" w:hAnsi="宋体" w:eastAsia="宋体" w:cs="宋体"/>
          <w:b w:val="0"/>
          <w:sz w:val="24"/>
          <w:u w:val="none"/>
          <w:lang w:eastAsia="zh-CN"/>
        </w:rPr>
        <w:t>规范。</w:t>
      </w:r>
    </w:p>
    <w:p w14:paraId="3340A043">
      <w:pPr>
        <w:keepNext/>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3067050" cy="762000"/>
            <wp:effectExtent l="0" t="0" r="0" b="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32"/>
                    <a:stretch>
                      <a:fillRect/>
                    </a:stretch>
                  </pic:blipFill>
                  <pic:spPr>
                    <a:xfrm>
                      <a:off x="0" y="0"/>
                      <a:ext cx="3067050" cy="762000"/>
                    </a:xfrm>
                    <a:prstGeom prst="rect">
                      <a:avLst/>
                    </a:prstGeom>
                    <a:noFill/>
                    <a:ln>
                      <a:noFill/>
                    </a:ln>
                  </pic:spPr>
                </pic:pic>
              </a:graphicData>
            </a:graphic>
          </wp:inline>
        </w:drawing>
      </w:r>
    </w:p>
    <w:p w14:paraId="59A2F661">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3）</w:t>
      </w:r>
      <w:r>
        <w:rPr>
          <w:rFonts w:hint="eastAsia" w:ascii="宋体" w:hAnsi="宋体" w:eastAsia="宋体" w:cs="宋体"/>
          <w:b w:val="0"/>
          <w:sz w:val="24"/>
          <w:u w:val="none"/>
          <w:lang w:eastAsia="zh-CN"/>
        </w:rPr>
        <w:t>正文规范：正文、</w:t>
      </w:r>
      <w:r>
        <w:rPr>
          <w:rFonts w:hint="eastAsia" w:ascii="宋体" w:hAnsi="宋体" w:eastAsia="宋体" w:cs="宋体"/>
          <w:b w:val="0"/>
          <w:sz w:val="24"/>
          <w:u w:val="none"/>
          <w:lang w:val="en-US" w:eastAsia="zh-CN"/>
        </w:rPr>
        <w:t>标点、</w:t>
      </w:r>
      <w:r>
        <w:rPr>
          <w:rFonts w:hint="eastAsia" w:ascii="宋体" w:hAnsi="宋体" w:eastAsia="宋体" w:cs="宋体"/>
          <w:b w:val="0"/>
          <w:sz w:val="24"/>
          <w:u w:val="none"/>
          <w:lang w:eastAsia="zh-CN"/>
        </w:rPr>
        <w:t>图名、表名、行距、全文涉及的数字及英文字母</w:t>
      </w:r>
      <w:r>
        <w:rPr>
          <w:rFonts w:hint="eastAsia" w:ascii="宋体" w:hAnsi="宋体" w:eastAsia="宋体" w:cs="宋体"/>
          <w:b w:val="0"/>
          <w:sz w:val="24"/>
          <w:u w:val="none"/>
          <w:lang w:val="en-US" w:eastAsia="zh-CN"/>
        </w:rPr>
        <w:t>须按要求进行统一标准、避免低级错误。</w:t>
      </w:r>
    </w:p>
    <w:p w14:paraId="345C206E">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lang w:val="en-US" w:eastAsia="zh-CN"/>
        </w:rPr>
      </w:pPr>
      <w:r>
        <w:drawing>
          <wp:inline distT="0" distB="0" distL="114300" distR="114300">
            <wp:extent cx="5269230" cy="671195"/>
            <wp:effectExtent l="0" t="0" r="7620" b="14605"/>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pic:cNvPicPr>
                  </pic:nvPicPr>
                  <pic:blipFill>
                    <a:blip r:embed="rId33"/>
                    <a:stretch>
                      <a:fillRect/>
                    </a:stretch>
                  </pic:blipFill>
                  <pic:spPr>
                    <a:xfrm>
                      <a:off x="0" y="0"/>
                      <a:ext cx="5269230" cy="671195"/>
                    </a:xfrm>
                    <a:prstGeom prst="rect">
                      <a:avLst/>
                    </a:prstGeom>
                    <a:noFill/>
                    <a:ln>
                      <a:noFill/>
                    </a:ln>
                  </pic:spPr>
                </pic:pic>
              </a:graphicData>
            </a:graphic>
          </wp:inline>
        </w:drawing>
      </w:r>
    </w:p>
    <w:p w14:paraId="645F772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5FFC1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56F59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（1）质量控制章节：</w:t>
      </w:r>
    </w:p>
    <w:p w14:paraId="3D1A30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（2）结论与建议：</w:t>
      </w:r>
    </w:p>
    <w:p w14:paraId="2E38FBE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40EF713">
      <w:pPr>
        <w:keepNext/>
        <w:keepLines w:val="0"/>
        <w:pageBreakBefore w:val="0"/>
        <w:widowControl w:val="0"/>
        <w:numPr>
          <w:ilvl w:val="0"/>
          <w:numId w:val="13"/>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结论与建议部分内容较单薄。</w:t>
      </w:r>
    </w:p>
    <w:p w14:paraId="22A86AD8">
      <w:pPr>
        <w:keepNext/>
        <w:keepLines w:val="0"/>
        <w:pageBreakBefore w:val="0"/>
        <w:widowControl w:val="0"/>
        <w:numPr>
          <w:ilvl w:val="0"/>
          <w:numId w:val="13"/>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default" w:ascii="宋体" w:hAnsi="宋体" w:eastAsia="宋体" w:cs="宋体"/>
          <w:b w:val="0"/>
          <w:sz w:val="24"/>
          <w:u w:val="none"/>
          <w:lang w:val="en-US" w:eastAsia="zh-CN"/>
        </w:rPr>
        <w:t>“建议”</w:t>
      </w:r>
      <w:r>
        <w:rPr>
          <w:rFonts w:hint="eastAsia" w:ascii="宋体" w:hAnsi="宋体" w:eastAsia="宋体" w:cs="宋体"/>
          <w:b w:val="0"/>
          <w:sz w:val="24"/>
          <w:u w:val="none"/>
          <w:lang w:val="en-US" w:eastAsia="zh-CN"/>
        </w:rPr>
        <w:t>缺少</w:t>
      </w:r>
      <w:r>
        <w:rPr>
          <w:rFonts w:hint="default" w:ascii="宋体" w:hAnsi="宋体" w:eastAsia="宋体" w:cs="宋体"/>
          <w:b w:val="0"/>
          <w:sz w:val="24"/>
          <w:u w:val="none"/>
          <w:lang w:val="en-US" w:eastAsia="zh-CN"/>
        </w:rPr>
        <w:t>完整给出土壤改良的针对性技术建议及利用对策</w:t>
      </w:r>
      <w:r>
        <w:rPr>
          <w:rFonts w:hint="eastAsia" w:ascii="宋体" w:hAnsi="宋体" w:eastAsia="宋体" w:cs="宋体"/>
          <w:b w:val="0"/>
          <w:sz w:val="24"/>
          <w:u w:val="none"/>
          <w:lang w:val="en-US" w:eastAsia="zh-CN"/>
        </w:rPr>
        <w:t>。</w:t>
      </w:r>
    </w:p>
    <w:p w14:paraId="4CA1A17A">
      <w:pPr>
        <w:rPr>
          <w:rFonts w:hint="default"/>
          <w:sz w:val="24"/>
          <w:szCs w:val="24"/>
          <w:lang w:val="en-US" w:eastAsia="zh-CN"/>
        </w:rPr>
      </w:pPr>
    </w:p>
    <w:p w14:paraId="3E74B82B">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第二部分：土壤属性图成果质控意见</w:t>
      </w:r>
    </w:p>
    <w:p w14:paraId="56F632EA">
      <w:pPr>
        <w:ind w:firstLine="1400" w:firstLineChars="500"/>
        <w:jc w:val="both"/>
        <w:rPr>
          <w:rFonts w:hint="default"/>
          <w:sz w:val="28"/>
          <w:szCs w:val="28"/>
          <w:lang w:val="en-US" w:eastAsia="zh-CN"/>
        </w:rPr>
      </w:pPr>
      <w:r>
        <w:rPr>
          <w:rFonts w:hint="eastAsia"/>
          <w:sz w:val="28"/>
          <w:szCs w:val="28"/>
          <w:lang w:val="en-US" w:eastAsia="zh-CN"/>
        </w:rPr>
        <w:t>土壤属性图质控问题反馈——雄安新区雄县</w:t>
      </w:r>
    </w:p>
    <w:p w14:paraId="3298E80A">
      <w:pPr>
        <w:numPr>
          <w:ilvl w:val="0"/>
          <w:numId w:val="14"/>
        </w:numPr>
        <w:spacing w:line="360" w:lineRule="auto"/>
        <w:jc w:val="both"/>
        <w:rPr>
          <w:rFonts w:hint="eastAsia"/>
          <w:b/>
          <w:bCs/>
          <w:sz w:val="24"/>
          <w:szCs w:val="24"/>
          <w:lang w:val="en-US" w:eastAsia="zh-CN"/>
        </w:rPr>
      </w:pPr>
      <w:r>
        <w:rPr>
          <w:rFonts w:hint="eastAsia"/>
          <w:b/>
          <w:bCs/>
          <w:sz w:val="24"/>
          <w:szCs w:val="24"/>
          <w:lang w:val="en-US" w:eastAsia="zh-CN"/>
        </w:rPr>
        <w:t>数据库成果</w:t>
      </w:r>
    </w:p>
    <w:p w14:paraId="3D29F99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(一)数据库结构：</w:t>
      </w:r>
    </w:p>
    <w:p w14:paraId="13AFDEDE">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按目录结构整理数据库，数据库内容是否完整。</w:t>
      </w:r>
    </w:p>
    <w:p w14:paraId="7F4C52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缺少历史样点数据</w:t>
      </w:r>
    </w:p>
    <w:p w14:paraId="3F00CAF3">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(二)</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提交成果的名称是否规范</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w:t>
      </w:r>
    </w:p>
    <w:p w14:paraId="28EAD75D">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2.提交的成果与目录结构中的文件名称要求是否一致。</w:t>
      </w:r>
    </w:p>
    <w:p w14:paraId="51E591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文字报告未按规范要求命名，标准如下：</w:t>
      </w:r>
    </w:p>
    <w:p w14:paraId="43E29B33">
      <w:pPr>
        <w:widowControl w:val="0"/>
        <w:numPr>
          <w:ilvl w:val="0"/>
          <w:numId w:val="0"/>
        </w:numPr>
        <w:spacing w:line="360" w:lineRule="auto"/>
        <w:ind w:left="0" w:leftChars="0" w:firstLine="0" w:firstLineChars="0"/>
        <w:jc w:val="both"/>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70500" cy="734695"/>
            <wp:effectExtent l="0" t="0" r="0" b="1905"/>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34"/>
                    <a:stretch>
                      <a:fillRect/>
                    </a:stretch>
                  </pic:blipFill>
                  <pic:spPr>
                    <a:xfrm>
                      <a:off x="0" y="0"/>
                      <a:ext cx="5270500" cy="734695"/>
                    </a:xfrm>
                    <a:prstGeom prst="rect">
                      <a:avLst/>
                    </a:prstGeom>
                    <a:noFill/>
                    <a:ln>
                      <a:noFill/>
                    </a:ln>
                  </pic:spPr>
                </pic:pic>
              </a:graphicData>
            </a:graphic>
          </wp:inline>
        </w:drawing>
      </w:r>
    </w:p>
    <w:p w14:paraId="7DDBC2B1">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元数据缺少内容。请逐一核实</w:t>
      </w:r>
    </w:p>
    <w:p w14:paraId="0EFAD459">
      <w:pPr>
        <w:widowControl w:val="0"/>
        <w:numPr>
          <w:ilvl w:val="0"/>
          <w:numId w:val="0"/>
        </w:numPr>
        <w:spacing w:line="360" w:lineRule="auto"/>
        <w:ind w:left="0" w:leftChars="0" w:firstLine="0" w:firstLineChars="0"/>
        <w:jc w:val="both"/>
        <w:rPr>
          <w:color w:val="000000" w:themeColor="text1"/>
          <w14:textFill>
            <w14:solidFill>
              <w14:schemeClr w14:val="tx1"/>
            </w14:solidFill>
          </w14:textFill>
        </w:rPr>
      </w:pPr>
      <w:r>
        <w:rPr>
          <w:color w:val="000000" w:themeColor="text1"/>
          <w:sz w:val="24"/>
          <w:szCs w:val="24"/>
          <w14:textFill>
            <w14:solidFill>
              <w14:schemeClr w14:val="tx1"/>
            </w14:solidFill>
          </w14:textFill>
        </w:rPr>
        <w:drawing>
          <wp:inline distT="0" distB="0" distL="114300" distR="114300">
            <wp:extent cx="5308600" cy="756285"/>
            <wp:effectExtent l="0" t="0" r="0" b="5715"/>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35"/>
                    <a:stretch>
                      <a:fillRect/>
                    </a:stretch>
                  </pic:blipFill>
                  <pic:spPr>
                    <a:xfrm>
                      <a:off x="0" y="0"/>
                      <a:ext cx="5308600" cy="756285"/>
                    </a:xfrm>
                    <a:prstGeom prst="rect">
                      <a:avLst/>
                    </a:prstGeom>
                    <a:noFill/>
                    <a:ln>
                      <a:noFill/>
                    </a:ln>
                  </pic:spPr>
                </pic:pic>
              </a:graphicData>
            </a:graphic>
          </wp:inline>
        </w:drawing>
      </w:r>
    </w:p>
    <w:p w14:paraId="235DE30B">
      <w:pPr>
        <w:widowControl w:val="0"/>
        <w:numPr>
          <w:ilvl w:val="0"/>
          <w:numId w:val="0"/>
        </w:numPr>
        <w:spacing w:line="360" w:lineRule="auto"/>
        <w:ind w:left="0" w:leftChars="0" w:firstLine="0" w:firstLineChars="0"/>
        <w:jc w:val="both"/>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71770" cy="1161415"/>
            <wp:effectExtent l="0" t="0" r="11430" b="6985"/>
            <wp:docPr id="3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6"/>
                    <pic:cNvPicPr>
                      <a:picLocks noChangeAspect="1"/>
                    </pic:cNvPicPr>
                  </pic:nvPicPr>
                  <pic:blipFill>
                    <a:blip r:embed="rId36"/>
                    <a:stretch>
                      <a:fillRect/>
                    </a:stretch>
                  </pic:blipFill>
                  <pic:spPr>
                    <a:xfrm>
                      <a:off x="0" y="0"/>
                      <a:ext cx="5271770" cy="1161415"/>
                    </a:xfrm>
                    <a:prstGeom prst="rect">
                      <a:avLst/>
                    </a:prstGeom>
                    <a:noFill/>
                    <a:ln>
                      <a:noFill/>
                    </a:ln>
                  </pic:spPr>
                </pic:pic>
              </a:graphicData>
            </a:graphic>
          </wp:inline>
        </w:drawing>
      </w:r>
    </w:p>
    <w:p w14:paraId="5FFD2FED">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样点属性空</w:t>
      </w:r>
    </w:p>
    <w:p w14:paraId="2810E68B">
      <w:pPr>
        <w:widowControl w:val="0"/>
        <w:numPr>
          <w:ilvl w:val="0"/>
          <w:numId w:val="0"/>
        </w:numPr>
        <w:spacing w:line="360" w:lineRule="auto"/>
        <w:ind w:left="0" w:leftChars="0" w:firstLine="0" w:firstLineChars="0"/>
        <w:jc w:val="both"/>
        <w:rPr>
          <w:rFonts w:hint="default"/>
          <w:color w:val="000000" w:themeColor="text1"/>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265420" cy="2632710"/>
            <wp:effectExtent l="0" t="0" r="5080" b="8890"/>
            <wp:docPr id="3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
                    <pic:cNvPicPr>
                      <a:picLocks noChangeAspect="1"/>
                    </pic:cNvPicPr>
                  </pic:nvPicPr>
                  <pic:blipFill>
                    <a:blip r:embed="rId37"/>
                    <a:stretch>
                      <a:fillRect/>
                    </a:stretch>
                  </pic:blipFill>
                  <pic:spPr>
                    <a:xfrm>
                      <a:off x="0" y="0"/>
                      <a:ext cx="5265420" cy="2632710"/>
                    </a:xfrm>
                    <a:prstGeom prst="rect">
                      <a:avLst/>
                    </a:prstGeom>
                    <a:noFill/>
                    <a:ln>
                      <a:noFill/>
                    </a:ln>
                  </pic:spPr>
                </pic:pic>
              </a:graphicData>
            </a:graphic>
          </wp:inline>
        </w:drawing>
      </w:r>
    </w:p>
    <w:p w14:paraId="71F3E073">
      <w:pPr>
        <w:numPr>
          <w:ilvl w:val="0"/>
          <w:numId w:val="14"/>
        </w:numPr>
        <w:spacing w:line="360" w:lineRule="auto"/>
        <w:jc w:val="both"/>
        <w:rPr>
          <w:rFonts w:hint="eastAsia"/>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制图过程</w:t>
      </w:r>
    </w:p>
    <w:p w14:paraId="22589CF4">
      <w:pPr>
        <w:numPr>
          <w:ilvl w:val="0"/>
          <w:numId w:val="0"/>
        </w:numPr>
        <w:spacing w:line="360" w:lineRule="auto"/>
        <w:jc w:val="both"/>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(一)三普样点</w:t>
      </w:r>
    </w:p>
    <w:p w14:paraId="595566F1">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1.数据库中提交入模属性样点矢量数据（shp格式）</w:t>
      </w:r>
    </w:p>
    <w:p w14:paraId="5EB9367D">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是</w:t>
      </w:r>
    </w:p>
    <w:p w14:paraId="337D3911">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2.样点经纬度是否为定位经纬度、CGCS2000坐标系。</w:t>
      </w:r>
    </w:p>
    <w:p w14:paraId="0FFD61B8">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是</w:t>
      </w:r>
    </w:p>
    <w:p w14:paraId="5253FCEB">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3.剖面样点土壤属性值是否根据土层厚度进行加权平均处理（0-20cm）</w:t>
      </w:r>
    </w:p>
    <w:p w14:paraId="6FB1DE6D">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报告中未提及，数据库中无法核实</w:t>
      </w:r>
    </w:p>
    <w:p w14:paraId="53608D27">
      <w:pPr>
        <w:numPr>
          <w:ilvl w:val="0"/>
          <w:numId w:val="0"/>
        </w:numPr>
        <w:spacing w:line="360" w:lineRule="auto"/>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4.入模样点是否针对每个土壤属性指标划分训练集与验证集。</w:t>
      </w:r>
    </w:p>
    <w:p w14:paraId="2835D592">
      <w:pPr>
        <w:numPr>
          <w:ilvl w:val="0"/>
          <w:numId w:val="0"/>
        </w:numPr>
        <w:spacing w:line="360" w:lineRule="auto"/>
        <w:ind w:firstLine="480" w:firstLineChars="200"/>
        <w:jc w:val="both"/>
        <w:rPr>
          <w:rFonts w:ascii="宋体" w:hAnsi="宋体" w:eastAsia="宋体" w:cs="宋体"/>
          <w:color w:val="000000" w:themeColor="text1"/>
          <w:sz w:val="24"/>
          <w:szCs w:val="24"/>
          <w:highlight w:val="none"/>
          <w14:textFill>
            <w14:solidFill>
              <w14:schemeClr w14:val="tx1"/>
            </w14:solidFill>
          </w14:textFill>
        </w:rPr>
      </w:pP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训练集与验证集比例与文字报告中的数据一致。</w:t>
      </w: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但是</w:t>
      </w:r>
      <w:r>
        <w:rPr>
          <w:rFonts w:ascii="宋体" w:hAnsi="宋体" w:eastAsia="宋体" w:cs="宋体"/>
          <w:color w:val="000000" w:themeColor="text1"/>
          <w:sz w:val="24"/>
          <w:szCs w:val="24"/>
          <w:highlight w:val="none"/>
          <w14:textFill>
            <w14:solidFill>
              <w14:schemeClr w14:val="tx1"/>
            </w14:solidFill>
          </w14:textFill>
        </w:rPr>
        <w:t>阳离子交换量训练集命名为“阳离分训练集”</w:t>
      </w:r>
    </w:p>
    <w:p w14:paraId="6EC54D48">
      <w:pPr>
        <w:numPr>
          <w:ilvl w:val="0"/>
          <w:numId w:val="0"/>
        </w:numPr>
        <w:spacing w:line="360" w:lineRule="auto"/>
        <w:ind w:firstLine="420" w:firstLineChars="200"/>
        <w:jc w:val="both"/>
        <w:rPr>
          <w:rFonts w:hint="eastAsia" w:ascii="宋体" w:hAnsi="宋体" w:eastAsia="宋体" w:cs="宋体"/>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4362450" cy="3105150"/>
            <wp:effectExtent l="0" t="0" r="6350" b="6350"/>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38"/>
                    <a:stretch>
                      <a:fillRect/>
                    </a:stretch>
                  </pic:blipFill>
                  <pic:spPr>
                    <a:xfrm>
                      <a:off x="0" y="0"/>
                      <a:ext cx="4362450" cy="3105150"/>
                    </a:xfrm>
                    <a:prstGeom prst="rect">
                      <a:avLst/>
                    </a:prstGeom>
                    <a:noFill/>
                    <a:ln>
                      <a:noFill/>
                    </a:ln>
                  </pic:spPr>
                </pic:pic>
              </a:graphicData>
            </a:graphic>
          </wp:inline>
        </w:drawing>
      </w:r>
    </w:p>
    <w:p w14:paraId="4F48AC3D">
      <w:pPr>
        <w:numPr>
          <w:ilvl w:val="0"/>
          <w:numId w:val="0"/>
        </w:numPr>
        <w:spacing w:line="360" w:lineRule="auto"/>
        <w:ind w:firstLine="480" w:firstLineChars="200"/>
        <w:jc w:val="both"/>
        <w:rPr>
          <w:rFonts w:hint="default" w:ascii="Times New Roman" w:hAnsi="Times New Roman" w:eastAsia="宋体" w:cs="Times New Roman"/>
          <w:b w:val="0"/>
          <w:bCs w:val="0"/>
          <w:color w:val="FF0000"/>
          <w:sz w:val="24"/>
          <w:szCs w:val="24"/>
          <w:highlight w:val="none"/>
          <w:lang w:val="en-US" w:eastAsia="zh-CN"/>
        </w:rPr>
      </w:pPr>
      <w:r>
        <w:rPr>
          <w:rFonts w:hint="default" w:ascii="Times New Roman" w:hAnsi="Times New Roman" w:eastAsia="宋体" w:cs="Times New Roman"/>
          <w:b w:val="0"/>
          <w:bCs w:val="0"/>
          <w:color w:val="FF0000"/>
          <w:sz w:val="24"/>
          <w:szCs w:val="24"/>
          <w:highlight w:val="none"/>
          <w:lang w:val="en-US" w:eastAsia="zh-CN"/>
        </w:rPr>
        <w:t>查看提交数据中</w:t>
      </w:r>
      <w:r>
        <w:rPr>
          <w:rFonts w:hint="eastAsia" w:ascii="Times New Roman" w:hAnsi="Times New Roman" w:eastAsia="宋体" w:cs="Times New Roman"/>
          <w:b w:val="0"/>
          <w:bCs w:val="0"/>
          <w:color w:val="FF0000"/>
          <w:sz w:val="24"/>
          <w:szCs w:val="24"/>
          <w:highlight w:val="none"/>
          <w:lang w:val="en-US" w:eastAsia="zh-CN"/>
        </w:rPr>
        <w:t>不</w:t>
      </w:r>
      <w:r>
        <w:rPr>
          <w:rFonts w:hint="default" w:ascii="Times New Roman" w:hAnsi="Times New Roman" w:eastAsia="宋体" w:cs="Times New Roman"/>
          <w:b w:val="0"/>
          <w:bCs w:val="0"/>
          <w:color w:val="FF0000"/>
          <w:sz w:val="24"/>
          <w:szCs w:val="24"/>
          <w:highlight w:val="none"/>
          <w:lang w:val="en-US" w:eastAsia="zh-CN"/>
        </w:rPr>
        <w:t>存在正态性检验结果数据。</w:t>
      </w:r>
    </w:p>
    <w:p w14:paraId="2AE6CDBE">
      <w:pPr>
        <w:numPr>
          <w:ilvl w:val="0"/>
          <w:numId w:val="0"/>
        </w:numPr>
        <w:spacing w:line="360" w:lineRule="auto"/>
        <w:ind w:firstLine="480" w:firstLineChars="200"/>
        <w:jc w:val="both"/>
        <w:rPr>
          <w:rFonts w:ascii="宋体" w:hAnsi="宋体" w:eastAsia="宋体" w:cs="宋体"/>
          <w:color w:val="auto"/>
          <w:sz w:val="24"/>
          <w:szCs w:val="24"/>
        </w:rPr>
      </w:pPr>
      <w:r>
        <w:rPr>
          <w:rFonts w:ascii="宋体" w:hAnsi="宋体" w:eastAsia="宋体" w:cs="宋体"/>
          <w:color w:val="000000" w:themeColor="text1"/>
          <w:sz w:val="24"/>
          <w:szCs w:val="24"/>
          <w14:textFill>
            <w14:solidFill>
              <w14:schemeClr w14:val="tx1"/>
            </w14:solidFill>
          </w14:textFill>
        </w:rPr>
        <w:t>训练集及验证集投影分带不统一。pH、全氮、全磷、全钾、有效铁、有效铜、有效锌、有效锰和阳离子交换量采用CGCS2000六度带第20带（EPSG:4498），其他指标采用CGCS2000三度带第39带（EPSG:4527），不符合统一使用三度带</w:t>
      </w:r>
      <w:r>
        <w:rPr>
          <w:rFonts w:ascii="宋体" w:hAnsi="宋体" w:eastAsia="宋体" w:cs="宋体"/>
          <w:color w:val="auto"/>
          <w:sz w:val="24"/>
          <w:szCs w:val="24"/>
        </w:rPr>
        <w:t>的要求。</w:t>
      </w:r>
    </w:p>
    <w:p w14:paraId="3AA737F6">
      <w:pPr>
        <w:keepNext w:val="0"/>
        <w:keepLines w:val="0"/>
        <w:pageBreakBefore w:val="0"/>
        <w:widowControl w:val="0"/>
        <w:kinsoku/>
        <w:wordWrap/>
        <w:overflowPunct/>
        <w:topLinePunct w:val="0"/>
        <w:autoSpaceDE/>
        <w:autoSpaceDN/>
        <w:bidi w:val="0"/>
        <w:adjustRightInd/>
        <w:snapToGrid/>
        <w:spacing w:before="0" w:after="0" w:line="360" w:lineRule="auto"/>
        <w:jc w:val="both"/>
        <w:textAlignment w:val="auto"/>
        <w:rPr>
          <w:rFonts w:ascii="宋体" w:hAnsi="宋体" w:eastAsia="宋体" w:cs="宋体"/>
          <w:color w:val="auto"/>
          <w:sz w:val="24"/>
          <w:szCs w:val="24"/>
        </w:rPr>
      </w:pPr>
      <w:r>
        <w:rPr>
          <w:rFonts w:hint="eastAsia" w:ascii="宋体" w:hAnsi="宋体" w:eastAsia="宋体" w:cs="宋体"/>
          <w:color w:val="auto"/>
          <w:sz w:val="24"/>
          <w:szCs w:val="24"/>
          <w:lang w:val="en-US" w:eastAsia="zh-CN"/>
        </w:rPr>
        <w:t>5.</w:t>
      </w:r>
      <w:r>
        <w:rPr>
          <w:rFonts w:ascii="宋体" w:hAnsi="宋体" w:eastAsia="宋体" w:cs="宋体"/>
          <w:color w:val="auto"/>
          <w:sz w:val="24"/>
          <w:szCs w:val="24"/>
        </w:rPr>
        <w:t>数据库中砂粒，粉粒，黏粒的栅格计算器相加不是100%</w:t>
      </w:r>
    </w:p>
    <w:p w14:paraId="45B2E0E3">
      <w:pPr>
        <w:numPr>
          <w:ilvl w:val="0"/>
          <w:numId w:val="0"/>
        </w:numPr>
        <w:spacing w:line="360" w:lineRule="auto"/>
        <w:ind w:firstLine="480" w:firstLineChars="200"/>
        <w:jc w:val="both"/>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否</w:t>
      </w:r>
    </w:p>
    <w:p w14:paraId="7939BAB6">
      <w:pPr>
        <w:numPr>
          <w:ilvl w:val="0"/>
          <w:numId w:val="0"/>
        </w:numPr>
        <w:spacing w:line="360" w:lineRule="auto"/>
        <w:ind w:firstLine="420" w:firstLineChars="200"/>
        <w:jc w:val="both"/>
        <w:rPr>
          <w:rFonts w:hint="default" w:ascii="宋体" w:hAnsi="宋体" w:eastAsia="宋体" w:cs="宋体"/>
          <w:color w:val="000000" w:themeColor="text1"/>
          <w:sz w:val="24"/>
          <w:szCs w:val="24"/>
          <w:lang w:val="en-US" w:eastAsia="zh-CN"/>
          <w14:textFill>
            <w14:solidFill>
              <w14:schemeClr w14:val="tx1"/>
            </w14:solidFill>
          </w14:textFill>
        </w:rPr>
      </w:pPr>
      <w:r>
        <w:drawing>
          <wp:inline distT="0" distB="0" distL="114300" distR="114300">
            <wp:extent cx="4156710" cy="3122295"/>
            <wp:effectExtent l="0" t="0" r="8890" b="1905"/>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pic:cNvPicPr>
                      <a:picLocks noChangeAspect="1"/>
                    </pic:cNvPicPr>
                  </pic:nvPicPr>
                  <pic:blipFill>
                    <a:blip r:embed="rId39"/>
                    <a:stretch>
                      <a:fillRect/>
                    </a:stretch>
                  </pic:blipFill>
                  <pic:spPr>
                    <a:xfrm>
                      <a:off x="0" y="0"/>
                      <a:ext cx="4156710" cy="3122295"/>
                    </a:xfrm>
                    <a:prstGeom prst="rect">
                      <a:avLst/>
                    </a:prstGeom>
                    <a:noFill/>
                    <a:ln>
                      <a:noFill/>
                    </a:ln>
                  </pic:spPr>
                </pic:pic>
              </a:graphicData>
            </a:graphic>
          </wp:inline>
        </w:drawing>
      </w:r>
    </w:p>
    <w:p w14:paraId="0BDA622C">
      <w:pPr>
        <w:numPr>
          <w:ilvl w:val="0"/>
          <w:numId w:val="0"/>
        </w:numPr>
        <w:spacing w:line="360" w:lineRule="auto"/>
        <w:jc w:val="both"/>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(二)历史样点</w:t>
      </w:r>
    </w:p>
    <w:p w14:paraId="283105EA">
      <w:pPr>
        <w:widowControl w:val="0"/>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1.要求土壤二普、测土配方施肥（采集时间应为2008-2010年）、耕地地力监测样点数据，三者至少有一个。</w:t>
      </w:r>
    </w:p>
    <w:p w14:paraId="3DE448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缺少历史样点数据</w:t>
      </w:r>
    </w:p>
    <w:p w14:paraId="009D37A6">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2.是否将历史样点数据转为矢量（shp）格式并生成相应的栅格数据（Geotiff）</w:t>
      </w:r>
    </w:p>
    <w:p w14:paraId="549227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缺少历史样点数据</w:t>
      </w:r>
    </w:p>
    <w:p w14:paraId="1D8EDC6C">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3.土壤pH、有机质、全氮、有效磷、速效钾等关键土壤属性的历史样点数据和栅格数据是否完整准确。</w:t>
      </w:r>
    </w:p>
    <w:p w14:paraId="69B4A2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缺少历史样点数据</w:t>
      </w:r>
    </w:p>
    <w:p w14:paraId="5FD117C8">
      <w:pPr>
        <w:numPr>
          <w:ilvl w:val="0"/>
          <w:numId w:val="0"/>
        </w:numPr>
        <w:spacing w:line="360" w:lineRule="auto"/>
        <w:jc w:val="both"/>
        <w:rPr>
          <w:rFonts w:hint="eastAsia" w:ascii="Times New Roman" w:eastAsia="宋体"/>
          <w:b/>
          <w:bCs/>
          <w:color w:val="000000" w:themeColor="text1"/>
          <w:sz w:val="24"/>
          <w:szCs w:val="24"/>
          <w:lang w:val="en-US" w:eastAsia="zh-CN"/>
          <w14:textFill>
            <w14:solidFill>
              <w14:schemeClr w14:val="tx1"/>
            </w14:solidFill>
          </w14:textFill>
        </w:rPr>
      </w:pPr>
      <w:r>
        <w:rPr>
          <w:rFonts w:hint="eastAsia" w:ascii="Times New Roman" w:eastAsia="宋体"/>
          <w:b/>
          <w:bCs/>
          <w:color w:val="000000" w:themeColor="text1"/>
          <w:sz w:val="24"/>
          <w:szCs w:val="24"/>
          <w:lang w:val="en-US" w:eastAsia="zh-CN"/>
          <w14:textFill>
            <w14:solidFill>
              <w14:schemeClr w14:val="tx1"/>
            </w14:solidFill>
          </w14:textFill>
        </w:rPr>
        <w:t>(三)环境变量</w:t>
      </w:r>
    </w:p>
    <w:p w14:paraId="11A25CEB">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1.坐标系需要统一，统一使用三度带且所有环境变量在同一分带下</w:t>
      </w:r>
    </w:p>
    <w:p w14:paraId="7143E0F6">
      <w:pPr>
        <w:numPr>
          <w:ilvl w:val="0"/>
          <w:numId w:val="0"/>
        </w:numPr>
        <w:spacing w:line="360" w:lineRule="auto"/>
        <w:ind w:firstLine="480" w:firstLineChars="200"/>
        <w:jc w:val="both"/>
        <w:rPr>
          <w:rFonts w:hint="default" w:ascii="宋体" w:hAnsi="宋体" w:eastAsia="宋体" w:cs="宋体"/>
          <w:color w:val="000000" w:themeColor="text1"/>
          <w:sz w:val="24"/>
          <w:szCs w:val="24"/>
          <w:highlight w:val="none"/>
          <w:lang w:val="en-US" w:eastAsia="zh-CN"/>
          <w14:textFill>
            <w14:solidFill>
              <w14:schemeClr w14:val="tx1"/>
            </w14:solidFill>
          </w14:textFill>
        </w:rPr>
      </w:pPr>
      <w:r>
        <w:rPr>
          <w:rFonts w:ascii="宋体" w:hAnsi="宋体" w:eastAsia="宋体" w:cs="宋体"/>
          <w:color w:val="000000" w:themeColor="text1"/>
          <w:sz w:val="24"/>
          <w:szCs w:val="24"/>
          <w:highlight w:val="none"/>
          <w14:textFill>
            <w14:solidFill>
              <w14:schemeClr w14:val="tx1"/>
            </w14:solidFill>
          </w14:textFill>
        </w:rPr>
        <w:t>否。</w:t>
      </w:r>
      <w:r>
        <w:rPr>
          <w:rFonts w:hint="eastAsia" w:ascii="宋体" w:hAnsi="宋体" w:eastAsia="宋体" w:cs="宋体"/>
          <w:color w:val="000000" w:themeColor="text1"/>
          <w:sz w:val="24"/>
          <w:szCs w:val="24"/>
          <w:highlight w:val="none"/>
          <w14:textFill>
            <w14:solidFill>
              <w14:schemeClr w14:val="tx1"/>
            </w14:solidFill>
          </w14:textFill>
        </w:rPr>
        <w:t>2022B08Y.tif和2022B804Y.tif采用WGS 1984 UTM Zone 50N坐标系（EPSG:32650），未转换为CGCS2000三度带第39带，与其他环境变量坐标基准及投影方式不一致。</w:t>
      </w:r>
    </w:p>
    <w:p w14:paraId="2AD3969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2.审核入模环境变量图层数据是否为栅格（Geotiff）格式</w:t>
      </w:r>
    </w:p>
    <w:p w14:paraId="087DE78B">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ascii="宋体" w:hAnsi="宋体" w:eastAsia="宋体" w:cs="宋体"/>
          <w:sz w:val="24"/>
          <w:szCs w:val="24"/>
          <w:highlight w:val="none"/>
        </w:rPr>
        <w:t>已提交环境变量主文件均为GeoTIFF格式，但环境变量目录内容与报告不能一一对应。报告列出的</w:t>
      </w:r>
      <w:r>
        <w:rPr>
          <w:rFonts w:ascii="宋体" w:hAnsi="宋体" w:eastAsia="宋体" w:cs="宋体"/>
          <w:color w:val="FF0000"/>
          <w:sz w:val="24"/>
          <w:szCs w:val="24"/>
          <w:highlight w:val="none"/>
        </w:rPr>
        <w:t>河流距离、积温、气温、降雨、蒸散量、相对湿度、NDVI、EVI</w:t>
      </w:r>
      <w:r>
        <w:rPr>
          <w:rFonts w:ascii="宋体" w:hAnsi="宋体" w:eastAsia="宋体" w:cs="宋体"/>
          <w:sz w:val="24"/>
          <w:szCs w:val="24"/>
          <w:highlight w:val="none"/>
        </w:rPr>
        <w:t>等栅格未在目录中找到；母质在报告中仍标注为Shp格式，需核实是否完成</w:t>
      </w:r>
      <w:r>
        <w:rPr>
          <w:rFonts w:ascii="宋体" w:hAnsi="宋体" w:eastAsia="宋体" w:cs="宋体"/>
          <w:color w:val="000000" w:themeColor="text1"/>
          <w:sz w:val="24"/>
          <w:szCs w:val="24"/>
          <w:highlight w:val="none"/>
          <w14:textFill>
            <w14:solidFill>
              <w14:schemeClr w14:val="tx1"/>
            </w14:solidFill>
          </w14:textFill>
        </w:rPr>
        <w:t>栅格化及哑变量处理。</w:t>
      </w:r>
    </w:p>
    <w:p w14:paraId="7B4EB469">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3.坐标与投影是否为CGCS2000坐标系和高斯-克吕格投影，空间分辨率是否统一为30米。</w:t>
      </w:r>
    </w:p>
    <w:p w14:paraId="4E6E1E4F">
      <w:pPr>
        <w:numPr>
          <w:ilvl w:val="0"/>
          <w:numId w:val="0"/>
        </w:numPr>
        <w:spacing w:line="360" w:lineRule="auto"/>
        <w:ind w:firstLine="480" w:firstLineChars="200"/>
        <w:jc w:val="both"/>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2022B08Y.tif和2022B804Y.tif采用WGS 1984 UTM Zone 50N坐标系（EPSG:32650），未转换为CGCS2000三度带第39带，与其他环境变量坐标基准及投影方式不一致。</w:t>
      </w:r>
    </w:p>
    <w:p w14:paraId="664CC56B">
      <w:pPr>
        <w:numPr>
          <w:ilvl w:val="0"/>
          <w:numId w:val="0"/>
        </w:numPr>
        <w:spacing w:line="360" w:lineRule="auto"/>
        <w:ind w:firstLine="420" w:firstLineChars="200"/>
        <w:jc w:val="both"/>
        <w:rPr>
          <w:rFonts w:hint="eastAsia" w:ascii="Times New Roman" w:hAnsi="Times New Roman" w:eastAsia="宋体" w:cs="Times New Roman"/>
          <w:b w:val="0"/>
          <w:bCs w:val="0"/>
          <w:color w:val="BFBFBF" w:themeColor="background1" w:themeShade="BF"/>
          <w:sz w:val="24"/>
          <w:szCs w:val="24"/>
          <w:lang w:val="en-US" w:eastAsia="zh-CN"/>
        </w:rPr>
      </w:pPr>
      <w:r>
        <w:drawing>
          <wp:inline distT="0" distB="0" distL="114300" distR="114300">
            <wp:extent cx="4314825" cy="3943350"/>
            <wp:effectExtent l="0" t="0" r="3175" b="6350"/>
            <wp:docPr id="3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5"/>
                    <pic:cNvPicPr>
                      <a:picLocks noChangeAspect="1"/>
                    </pic:cNvPicPr>
                  </pic:nvPicPr>
                  <pic:blipFill>
                    <a:blip r:embed="rId40"/>
                    <a:stretch>
                      <a:fillRect/>
                    </a:stretch>
                  </pic:blipFill>
                  <pic:spPr>
                    <a:xfrm>
                      <a:off x="0" y="0"/>
                      <a:ext cx="4314825" cy="3943350"/>
                    </a:xfrm>
                    <a:prstGeom prst="rect">
                      <a:avLst/>
                    </a:prstGeom>
                    <a:noFill/>
                    <a:ln>
                      <a:noFill/>
                    </a:ln>
                  </pic:spPr>
                </pic:pic>
              </a:graphicData>
            </a:graphic>
          </wp:inline>
        </w:drawing>
      </w:r>
    </w:p>
    <w:p w14:paraId="144F174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4.各个环境变量图层在空间上是否严格匹配（栅格四至一一对应、像素空间完全吻合）</w:t>
      </w:r>
    </w:p>
    <w:p w14:paraId="5DCACCF9">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栅格四至未一一对应，类似问题请逐一核实修改。</w:t>
      </w:r>
    </w:p>
    <w:p w14:paraId="58BE53C8">
      <w:pPr>
        <w:numPr>
          <w:ilvl w:val="0"/>
          <w:numId w:val="0"/>
        </w:numPr>
        <w:spacing w:line="360" w:lineRule="auto"/>
        <w:ind w:firstLine="420" w:firstLineChars="200"/>
        <w:jc w:val="both"/>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9865" cy="3155315"/>
            <wp:effectExtent l="0" t="0" r="635" b="6985"/>
            <wp:docPr id="3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9"/>
                    <pic:cNvPicPr>
                      <a:picLocks noChangeAspect="1"/>
                    </pic:cNvPicPr>
                  </pic:nvPicPr>
                  <pic:blipFill>
                    <a:blip r:embed="rId41"/>
                    <a:stretch>
                      <a:fillRect/>
                    </a:stretch>
                  </pic:blipFill>
                  <pic:spPr>
                    <a:xfrm>
                      <a:off x="0" y="0"/>
                      <a:ext cx="5269865" cy="3155315"/>
                    </a:xfrm>
                    <a:prstGeom prst="rect">
                      <a:avLst/>
                    </a:prstGeom>
                    <a:noFill/>
                    <a:ln>
                      <a:noFill/>
                    </a:ln>
                  </pic:spPr>
                </pic:pic>
              </a:graphicData>
            </a:graphic>
          </wp:inline>
        </w:drawing>
      </w:r>
    </w:p>
    <w:p w14:paraId="50619894">
      <w:pPr>
        <w:numPr>
          <w:ilvl w:val="0"/>
          <w:numId w:val="0"/>
        </w:numPr>
        <w:spacing w:line="360" w:lineRule="auto"/>
        <w:ind w:firstLine="420" w:firstLineChars="200"/>
        <w:jc w:val="both"/>
        <w:rPr>
          <w:rFonts w:hint="default"/>
          <w:color w:val="000000" w:themeColor="text1"/>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273040" cy="3960495"/>
            <wp:effectExtent l="0" t="0" r="10160" b="1905"/>
            <wp:docPr id="4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0"/>
                    <pic:cNvPicPr>
                      <a:picLocks noChangeAspect="1"/>
                    </pic:cNvPicPr>
                  </pic:nvPicPr>
                  <pic:blipFill>
                    <a:blip r:embed="rId42"/>
                    <a:stretch>
                      <a:fillRect/>
                    </a:stretch>
                  </pic:blipFill>
                  <pic:spPr>
                    <a:xfrm>
                      <a:off x="0" y="0"/>
                      <a:ext cx="5273040" cy="3960495"/>
                    </a:xfrm>
                    <a:prstGeom prst="rect">
                      <a:avLst/>
                    </a:prstGeom>
                    <a:noFill/>
                    <a:ln>
                      <a:noFill/>
                    </a:ln>
                  </pic:spPr>
                </pic:pic>
              </a:graphicData>
            </a:graphic>
          </wp:inline>
        </w:drawing>
      </w:r>
    </w:p>
    <w:p w14:paraId="52EE9C6E">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5.环境变量图层是否按照国土三调县级行政边界（2023年度）进行剪裁处理</w:t>
      </w:r>
    </w:p>
    <w:p w14:paraId="1CDDDCA2">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四至点不一，怀疑是否按照标准进行裁剪</w:t>
      </w:r>
    </w:p>
    <w:p w14:paraId="0D8893B2">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6.环境变量制备的年限需要在报告中说明</w:t>
      </w:r>
    </w:p>
    <w:p w14:paraId="460E5E10">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存在，但是数据精度要统一为30m</w:t>
      </w:r>
    </w:p>
    <w:p w14:paraId="3227C016">
      <w:pPr>
        <w:numPr>
          <w:ilvl w:val="0"/>
          <w:numId w:val="0"/>
        </w:numPr>
        <w:spacing w:line="360" w:lineRule="auto"/>
        <w:ind w:firstLine="42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265420" cy="2550160"/>
            <wp:effectExtent l="0" t="0" r="5080" b="2540"/>
            <wp:docPr id="4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1"/>
                    <pic:cNvPicPr>
                      <a:picLocks noChangeAspect="1"/>
                    </pic:cNvPicPr>
                  </pic:nvPicPr>
                  <pic:blipFill>
                    <a:blip r:embed="rId43"/>
                    <a:stretch>
                      <a:fillRect/>
                    </a:stretch>
                  </pic:blipFill>
                  <pic:spPr>
                    <a:xfrm>
                      <a:off x="0" y="0"/>
                      <a:ext cx="5265420" cy="2550160"/>
                    </a:xfrm>
                    <a:prstGeom prst="rect">
                      <a:avLst/>
                    </a:prstGeom>
                    <a:noFill/>
                    <a:ln>
                      <a:noFill/>
                    </a:ln>
                  </pic:spPr>
                </pic:pic>
              </a:graphicData>
            </a:graphic>
          </wp:inline>
        </w:drawing>
      </w:r>
    </w:p>
    <w:p w14:paraId="5DE4ACF4">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7.土地利用这一环境变量图层是否使用2023年度国土变更调查数据.</w:t>
      </w:r>
    </w:p>
    <w:p w14:paraId="43CB5301">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未进行数值化处理</w:t>
      </w:r>
    </w:p>
    <w:p w14:paraId="42FCAF83">
      <w:pPr>
        <w:numPr>
          <w:ilvl w:val="0"/>
          <w:numId w:val="0"/>
        </w:numPr>
        <w:spacing w:line="360" w:lineRule="auto"/>
        <w:jc w:val="both"/>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t>(四)环境变量制备规范要求</w:t>
      </w:r>
    </w:p>
    <w:p w14:paraId="2337769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1.审核环境变量类型是否包括主要成土要素（气候、母质、地形、植被、土地利用）</w:t>
      </w:r>
    </w:p>
    <w:p w14:paraId="0586EBB2">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数据库中环境命名不明确而，无法核实成土要素是否全部包含。但在报告中未见土地利用</w:t>
      </w:r>
    </w:p>
    <w:p w14:paraId="1A878033">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4780280" cy="3588385"/>
            <wp:effectExtent l="0" t="0" r="7620" b="5715"/>
            <wp:docPr id="4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2"/>
                    <pic:cNvPicPr>
                      <a:picLocks noChangeAspect="1"/>
                    </pic:cNvPicPr>
                  </pic:nvPicPr>
                  <pic:blipFill>
                    <a:blip r:embed="rId44"/>
                    <a:stretch>
                      <a:fillRect/>
                    </a:stretch>
                  </pic:blipFill>
                  <pic:spPr>
                    <a:xfrm>
                      <a:off x="0" y="0"/>
                      <a:ext cx="4780280" cy="3588385"/>
                    </a:xfrm>
                    <a:prstGeom prst="rect">
                      <a:avLst/>
                    </a:prstGeom>
                    <a:noFill/>
                    <a:ln>
                      <a:noFill/>
                    </a:ln>
                  </pic:spPr>
                </pic:pic>
              </a:graphicData>
            </a:graphic>
          </wp:inline>
        </w:drawing>
      </w:r>
    </w:p>
    <w:p w14:paraId="3FD3A1DC">
      <w:pPr>
        <w:numPr>
          <w:ilvl w:val="0"/>
          <w:numId w:val="0"/>
        </w:numPr>
        <w:spacing w:line="360" w:lineRule="auto"/>
        <w:ind w:firstLine="42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262880" cy="2425700"/>
            <wp:effectExtent l="0" t="0" r="7620" b="0"/>
            <wp:docPr id="4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3"/>
                    <pic:cNvPicPr>
                      <a:picLocks noChangeAspect="1"/>
                    </pic:cNvPicPr>
                  </pic:nvPicPr>
                  <pic:blipFill>
                    <a:blip r:embed="rId45"/>
                    <a:stretch>
                      <a:fillRect/>
                    </a:stretch>
                  </pic:blipFill>
                  <pic:spPr>
                    <a:xfrm>
                      <a:off x="0" y="0"/>
                      <a:ext cx="5262880" cy="2425700"/>
                    </a:xfrm>
                    <a:prstGeom prst="rect">
                      <a:avLst/>
                    </a:prstGeom>
                    <a:noFill/>
                    <a:ln>
                      <a:noFill/>
                    </a:ln>
                  </pic:spPr>
                </pic:pic>
              </a:graphicData>
            </a:graphic>
          </wp:inline>
        </w:drawing>
      </w:r>
    </w:p>
    <w:p w14:paraId="2771BDAE">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2.</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审核气候、植被环境变量的制备是否采用长时间序列数据</w:t>
      </w:r>
    </w:p>
    <w:p w14:paraId="0A1B75C3">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气候变量应当是多年均值。气温降水应当是近20年均值，植被数据（NDVI、叶面积指数等）应当是5-10年数据。部分缺失年份，逐一核实修改问题。</w:t>
      </w:r>
    </w:p>
    <w:p w14:paraId="74405793">
      <w:pPr>
        <w:numPr>
          <w:ilvl w:val="0"/>
          <w:numId w:val="0"/>
        </w:numPr>
        <w:spacing w:line="360" w:lineRule="auto"/>
        <w:ind w:firstLine="42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265420" cy="2550160"/>
            <wp:effectExtent l="0" t="0" r="5080" b="2540"/>
            <wp:docPr id="4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1"/>
                    <pic:cNvPicPr>
                      <a:picLocks noChangeAspect="1"/>
                    </pic:cNvPicPr>
                  </pic:nvPicPr>
                  <pic:blipFill>
                    <a:blip r:embed="rId43"/>
                    <a:stretch>
                      <a:fillRect/>
                    </a:stretch>
                  </pic:blipFill>
                  <pic:spPr>
                    <a:xfrm>
                      <a:off x="0" y="0"/>
                      <a:ext cx="5265420" cy="2550160"/>
                    </a:xfrm>
                    <a:prstGeom prst="rect">
                      <a:avLst/>
                    </a:prstGeom>
                    <a:noFill/>
                    <a:ln>
                      <a:noFill/>
                    </a:ln>
                  </pic:spPr>
                </pic:pic>
              </a:graphicData>
            </a:graphic>
          </wp:inline>
        </w:drawing>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3.审核土地利用现状图、土壤类型图、母岩母质图等类别型变量是否进行数值化处理。</w:t>
      </w:r>
    </w:p>
    <w:p w14:paraId="41A9DE78">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未处理</w:t>
      </w:r>
    </w:p>
    <w:p w14:paraId="78A72792">
      <w:pPr>
        <w:numPr>
          <w:ilvl w:val="0"/>
          <w:numId w:val="15"/>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环境变量图层数据的空间分布是否准确合理，是否存在明显的条带状或斑点噪声</w:t>
      </w:r>
    </w:p>
    <w:p w14:paraId="12EC922B">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类似问题请逐一核实修改。</w:t>
      </w:r>
    </w:p>
    <w:p w14:paraId="35E6B163">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 xml:space="preserve">  </w:t>
      </w:r>
      <w:r>
        <w:rPr>
          <w:color w:val="000000" w:themeColor="text1"/>
          <w14:textFill>
            <w14:solidFill>
              <w14:schemeClr w14:val="tx1"/>
            </w14:solidFill>
          </w14:textFill>
        </w:rPr>
        <w:drawing>
          <wp:inline distT="0" distB="0" distL="114300" distR="114300">
            <wp:extent cx="5268595" cy="2132330"/>
            <wp:effectExtent l="0" t="0" r="1905" b="1270"/>
            <wp:docPr id="4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4"/>
                    <pic:cNvPicPr>
                      <a:picLocks noChangeAspect="1"/>
                    </pic:cNvPicPr>
                  </pic:nvPicPr>
                  <pic:blipFill>
                    <a:blip r:embed="rId46"/>
                    <a:stretch>
                      <a:fillRect/>
                    </a:stretch>
                  </pic:blipFill>
                  <pic:spPr>
                    <a:xfrm>
                      <a:off x="0" y="0"/>
                      <a:ext cx="5268595" cy="2132330"/>
                    </a:xfrm>
                    <a:prstGeom prst="rect">
                      <a:avLst/>
                    </a:prstGeom>
                    <a:noFill/>
                    <a:ln>
                      <a:noFill/>
                    </a:ln>
                  </pic:spPr>
                </pic:pic>
              </a:graphicData>
            </a:graphic>
          </wp:inline>
        </w:drawing>
      </w:r>
    </w:p>
    <w:p w14:paraId="7A445F56">
      <w:pPr>
        <w:numPr>
          <w:ilvl w:val="0"/>
          <w:numId w:val="0"/>
        </w:numPr>
        <w:spacing w:line="360" w:lineRule="auto"/>
        <w:jc w:val="both"/>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t>(五)入模环境变量的选取合理性</w:t>
      </w:r>
    </w:p>
    <w:p w14:paraId="256B53F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1.速磷速钾的环境变量重要性排序中将自然因素排在前面，气候、植被不应对该两个属性影响因素大</w:t>
      </w:r>
    </w:p>
    <w:p w14:paraId="62A1F714">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报告中未见针对不同属性详细的重要性排序</w:t>
      </w:r>
    </w:p>
    <w:p w14:paraId="75C0EF0A">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2.入模环境变量存在共线性、用土壤属性作为环境变量</w:t>
      </w:r>
    </w:p>
    <w:p w14:paraId="2267A3D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查看报告中存在共线性分析，相关性分析</w:t>
      </w:r>
    </w:p>
    <w:p w14:paraId="61FB720C">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环境变量的选取中不存在使用已经预测的土壤属性作为环境变量的情况。</w:t>
      </w:r>
    </w:p>
    <w:p w14:paraId="525626EA">
      <w:pPr>
        <w:numPr>
          <w:ilvl w:val="0"/>
          <w:numId w:val="0"/>
        </w:numPr>
        <w:spacing w:line="360" w:lineRule="auto"/>
        <w:jc w:val="both"/>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t>(六)制图模型或方法选择合理</w:t>
      </w:r>
    </w:p>
    <w:p w14:paraId="41ECB1E3">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1.山区选取普通克里格或全域采用IDW进行属性制图.</w:t>
      </w:r>
    </w:p>
    <w:p w14:paraId="1534C03D">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未发现问题</w:t>
      </w:r>
    </w:p>
    <w:p w14:paraId="34ABB7AF">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2.耕层厚度采用以点带面、机器学习方法进行制图</w:t>
      </w:r>
    </w:p>
    <w:p w14:paraId="5FCD4B82">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耕层厚度的预测是采用以点带面，赋值预测，符合。</w:t>
      </w:r>
    </w:p>
    <w:p w14:paraId="4C7BC518">
      <w:pPr>
        <w:numPr>
          <w:ilvl w:val="0"/>
          <w:numId w:val="0"/>
        </w:numPr>
        <w:spacing w:line="360" w:lineRule="auto"/>
        <w:jc w:val="both"/>
        <w:rPr>
          <w:rFonts w:hint="default" w:ascii="Times New Roman" w:hAnsi="Times New Roman" w:eastAsia="宋体" w:cs="Times New Roman"/>
          <w:b/>
          <w:bCs/>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bCs/>
          <w:color w:val="000000" w:themeColor="text1"/>
          <w:sz w:val="24"/>
          <w:szCs w:val="24"/>
          <w:highlight w:val="none"/>
          <w:lang w:val="en-US" w:eastAsia="zh-CN"/>
          <w14:textFill>
            <w14:solidFill>
              <w14:schemeClr w14:val="tx1"/>
            </w14:solidFill>
          </w14:textFill>
        </w:rPr>
        <w:t>(七)</w:t>
      </w:r>
      <w:r>
        <w:rPr>
          <w:rFonts w:hint="default" w:ascii="Times New Roman" w:hAnsi="Times New Roman" w:eastAsia="宋体" w:cs="Times New Roman"/>
          <w:b/>
          <w:bCs/>
          <w:color w:val="000000" w:themeColor="text1"/>
          <w:sz w:val="24"/>
          <w:szCs w:val="24"/>
          <w:highlight w:val="none"/>
          <w:lang w:val="en-US" w:eastAsia="zh-CN"/>
          <w14:textFill>
            <w14:solidFill>
              <w14:schemeClr w14:val="tx1"/>
            </w14:solidFill>
          </w14:textFill>
        </w:rPr>
        <w:t>制图结果验证评价</w:t>
      </w:r>
    </w:p>
    <w:p w14:paraId="5B36699C">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1.精度评价指标(用R2、RMSE)过高或过低</w:t>
      </w:r>
    </w:p>
    <w:p w14:paraId="0E1B2FC2">
      <w:pPr>
        <w:numPr>
          <w:ilvl w:val="0"/>
          <w:numId w:val="0"/>
        </w:numPr>
        <w:spacing w:line="360" w:lineRule="auto"/>
        <w:ind w:firstLine="420" w:firstLineChars="200"/>
        <w:jc w:val="both"/>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3981450" cy="2766060"/>
            <wp:effectExtent l="0" t="0" r="6350" b="2540"/>
            <wp:docPr id="4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6"/>
                    <pic:cNvPicPr>
                      <a:picLocks noChangeAspect="1"/>
                    </pic:cNvPicPr>
                  </pic:nvPicPr>
                  <pic:blipFill>
                    <a:blip r:embed="rId47"/>
                    <a:stretch>
                      <a:fillRect/>
                    </a:stretch>
                  </pic:blipFill>
                  <pic:spPr>
                    <a:xfrm>
                      <a:off x="0" y="0"/>
                      <a:ext cx="3981450" cy="2766060"/>
                    </a:xfrm>
                    <a:prstGeom prst="rect">
                      <a:avLst/>
                    </a:prstGeom>
                    <a:noFill/>
                    <a:ln>
                      <a:noFill/>
                    </a:ln>
                  </pic:spPr>
                </pic:pic>
              </a:graphicData>
            </a:graphic>
          </wp:inline>
        </w:drawing>
      </w:r>
    </w:p>
    <w:p w14:paraId="3C1D0F1C">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全钾R²=-3.38、粉粒R²=-0.115，容重R²=0.185，解释力不足。</w:t>
      </w:r>
    </w:p>
    <w:p w14:paraId="7A9B89E1">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至少6个以上属性的R²&lt;0.50（容重0.185、全氮0.403、速效钾0.402、有效锌0.386、粉粒-0.115、全钾-3.38、黏粒0.418、有效锰0.459），超过1/3的属性预测精度不达标。</w:t>
      </w: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类似问题请核实修改。</w:t>
      </w:r>
    </w:p>
    <w:p w14:paraId="0D563EF9">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2.报告中是否存在制图结果的验证评价和分析</w:t>
      </w:r>
    </w:p>
    <w:p w14:paraId="1086D26E">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精度指标存在问题，分析中需要说明</w:t>
      </w:r>
    </w:p>
    <w:p w14:paraId="20C57BDD">
      <w:pPr>
        <w:numPr>
          <w:ilvl w:val="0"/>
          <w:numId w:val="0"/>
        </w:numPr>
        <w:spacing w:line="360" w:lineRule="auto"/>
        <w:jc w:val="both"/>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bCs/>
          <w:color w:val="000000" w:themeColor="text1"/>
          <w:sz w:val="24"/>
          <w:szCs w:val="24"/>
          <w:lang w:val="en-US" w:eastAsia="zh-CN"/>
          <w14:textFill>
            <w14:solidFill>
              <w14:schemeClr w14:val="tx1"/>
            </w14:solidFill>
          </w14:textFill>
        </w:rPr>
        <w:t>(八)数字化图件成果</w:t>
      </w:r>
    </w:p>
    <w:p w14:paraId="63F25E37">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1.乡镇统计表不能只统计耕地的结果</w:t>
      </w:r>
    </w:p>
    <w:p w14:paraId="5A2B789E">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未发现问题</w:t>
      </w:r>
    </w:p>
    <w:p w14:paraId="5FECC4A6">
      <w:pPr>
        <w:numPr>
          <w:ilvl w:val="0"/>
          <w:numId w:val="16"/>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乡镇耕地统计结果应该和分地类统计的耕地结果能对齐</w:t>
      </w:r>
    </w:p>
    <w:p w14:paraId="35C81922">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无法对齐，类似问题请核实修改</w:t>
      </w:r>
    </w:p>
    <w:p w14:paraId="3F1CF7DF">
      <w:pPr>
        <w:numPr>
          <w:ilvl w:val="0"/>
          <w:numId w:val="0"/>
        </w:numPr>
        <w:spacing w:line="360" w:lineRule="auto"/>
        <w:ind w:firstLine="42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4619625" cy="1424305"/>
            <wp:effectExtent l="0" t="0" r="3175" b="10795"/>
            <wp:docPr id="4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1"/>
                    <pic:cNvPicPr>
                      <a:picLocks noChangeAspect="1"/>
                    </pic:cNvPicPr>
                  </pic:nvPicPr>
                  <pic:blipFill>
                    <a:blip r:embed="rId48"/>
                    <a:stretch>
                      <a:fillRect/>
                    </a:stretch>
                  </pic:blipFill>
                  <pic:spPr>
                    <a:xfrm>
                      <a:off x="0" y="0"/>
                      <a:ext cx="4619625" cy="1424305"/>
                    </a:xfrm>
                    <a:prstGeom prst="rect">
                      <a:avLst/>
                    </a:prstGeom>
                    <a:noFill/>
                    <a:ln>
                      <a:noFill/>
                    </a:ln>
                  </pic:spPr>
                </pic:pic>
              </a:graphicData>
            </a:graphic>
          </wp:inline>
        </w:drawing>
      </w:r>
    </w:p>
    <w:p w14:paraId="37FFBA52">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3.数据分级标准是否使用九大农区的标准（可在标准内调整，但不可以跨越阈值界限）</w:t>
      </w:r>
    </w:p>
    <w:p w14:paraId="05FD059B">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报告中有些地方的标准未明确说明。</w:t>
      </w:r>
    </w:p>
    <w:p w14:paraId="54155425">
      <w:pPr>
        <w:numPr>
          <w:ilvl w:val="0"/>
          <w:numId w:val="0"/>
        </w:numPr>
        <w:spacing w:line="360" w:lineRule="auto"/>
        <w:ind w:firstLine="420" w:firstLineChars="200"/>
        <w:jc w:val="both"/>
        <w:rPr>
          <w:color w:val="000000" w:themeColor="text1"/>
          <w14:textFill>
            <w14:solidFill>
              <w14:schemeClr w14:val="tx1"/>
            </w14:solidFill>
          </w14:textFill>
        </w:rPr>
      </w:pPr>
      <w:r>
        <w:drawing>
          <wp:inline distT="0" distB="0" distL="114300" distR="114300">
            <wp:extent cx="5271135" cy="917575"/>
            <wp:effectExtent l="0" t="0" r="12065" b="9525"/>
            <wp:docPr id="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
                    <pic:cNvPicPr>
                      <a:picLocks noChangeAspect="1"/>
                    </pic:cNvPicPr>
                  </pic:nvPicPr>
                  <pic:blipFill>
                    <a:blip r:embed="rId49"/>
                    <a:stretch>
                      <a:fillRect/>
                    </a:stretch>
                  </pic:blipFill>
                  <pic:spPr>
                    <a:xfrm>
                      <a:off x="0" y="0"/>
                      <a:ext cx="5271135" cy="917575"/>
                    </a:xfrm>
                    <a:prstGeom prst="rect">
                      <a:avLst/>
                    </a:prstGeom>
                    <a:noFill/>
                    <a:ln>
                      <a:noFill/>
                    </a:ln>
                  </pic:spPr>
                </pic:pic>
              </a:graphicData>
            </a:graphic>
          </wp:inline>
        </w:drawing>
      </w:r>
    </w:p>
    <w:p w14:paraId="1980D868">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4.分级图缺少注记</w:t>
      </w:r>
    </w:p>
    <w:p w14:paraId="39FF727A">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未见问题</w:t>
      </w:r>
    </w:p>
    <w:p w14:paraId="49C954D2">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5.耕层质地按12级分级的标准进行上图，颜色按GB 45298-2025的标准上图，酸碱度同步参考</w:t>
      </w:r>
    </w:p>
    <w:p w14:paraId="03485CBD">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未见问题</w:t>
      </w:r>
    </w:p>
    <w:p w14:paraId="1B2299C7">
      <w:pPr>
        <w:numPr>
          <w:ilvl w:val="0"/>
          <w:numId w:val="14"/>
        </w:numPr>
        <w:spacing w:line="360" w:lineRule="auto"/>
        <w:jc w:val="both"/>
        <w:rPr>
          <w:rFonts w:hint="eastAsia"/>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图面表达</w:t>
      </w:r>
    </w:p>
    <w:p w14:paraId="44B61B80">
      <w:pPr>
        <w:numPr>
          <w:ilvl w:val="0"/>
          <w:numId w:val="0"/>
        </w:numPr>
        <w:spacing w:line="360" w:lineRule="auto"/>
        <w:jc w:val="both"/>
        <w:rPr>
          <w:rFonts w:hint="eastAsia"/>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(一)图件制作是否符合规范</w:t>
      </w:r>
    </w:p>
    <w:p w14:paraId="0C55D45A">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图面内容配置、要素搭配、图例等是否完全符合技术规范；图名、比例尺等图廓信息是否符合规范；配色是否符合规范；是否符合A3图幅要求；基础地理要素标注是否符合规范；</w:t>
      </w:r>
    </w:p>
    <w:p w14:paraId="3D1025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color w:val="000000" w:themeColor="text1"/>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审核问题如下：</w:t>
      </w:r>
      <w:r>
        <w:rPr>
          <w:rFonts w:hint="eastAsia" w:cs="Times New Roman"/>
          <w:color w:val="000000" w:themeColor="text1"/>
          <w:kern w:val="2"/>
          <w:sz w:val="24"/>
          <w:szCs w:val="24"/>
          <w:lang w:val="en-US" w:eastAsia="zh-CN" w:bidi="ar-SA"/>
          <w14:textFill>
            <w14:solidFill>
              <w14:schemeClr w14:val="tx1"/>
            </w14:solidFill>
          </w14:textFill>
        </w:rPr>
        <w:t>（1）图件的图例中县级行政区边界未显示晕线</w:t>
      </w:r>
      <w:r>
        <w:rPr>
          <w:rFonts w:hint="eastAsia"/>
          <w:color w:val="000000" w:themeColor="text1"/>
          <w:sz w:val="24"/>
          <w:szCs w:val="24"/>
          <w:lang w:val="en-US" w:eastAsia="zh-CN"/>
          <w14:textFill>
            <w14:solidFill>
              <w14:schemeClr w14:val="tx1"/>
            </w14:solidFill>
          </w14:textFill>
        </w:rPr>
        <w:t>，标准画法如下图</w:t>
      </w:r>
      <w:r>
        <w:rPr>
          <w:rFonts w:hint="eastAsia" w:cs="Times New Roman"/>
          <w:color w:val="000000" w:themeColor="text1"/>
          <w:kern w:val="2"/>
          <w:sz w:val="24"/>
          <w:szCs w:val="24"/>
          <w:lang w:val="en-US" w:eastAsia="zh-CN" w:bidi="ar-SA"/>
          <w14:textFill>
            <w14:solidFill>
              <w14:schemeClr w14:val="tx1"/>
            </w14:solidFill>
          </w14:textFill>
        </w:rPr>
        <w:t>。</w:t>
      </w:r>
    </w:p>
    <w:p w14:paraId="7D15456C">
      <w:pPr>
        <w:numPr>
          <w:ilvl w:val="0"/>
          <w:numId w:val="0"/>
        </w:numPr>
        <w:spacing w:line="360" w:lineRule="auto"/>
        <w:jc w:val="both"/>
        <w:rPr>
          <w:rFonts w:hint="eastAsia"/>
          <w:color w:val="000000" w:themeColor="text1"/>
          <w:sz w:val="24"/>
          <w:szCs w:val="24"/>
          <w:lang w:val="en-US" w:eastAsia="zh-CN"/>
          <w14:textFill>
            <w14:solidFill>
              <w14:schemeClr w14:val="tx1"/>
            </w14:solidFill>
          </w14:textFill>
        </w:rPr>
      </w:pPr>
      <w:r>
        <w:rPr>
          <w:rFonts w:hint="eastAsia" w:eastAsia="宋体"/>
          <w:color w:val="000000" w:themeColor="text1"/>
          <w:sz w:val="24"/>
          <w:szCs w:val="24"/>
          <w:lang w:val="en-US" w:eastAsia="zh-CN"/>
          <w14:textFill>
            <w14:solidFill>
              <w14:schemeClr w14:val="tx1"/>
            </w14:solidFill>
          </w14:textFill>
        </w:rPr>
        <w:drawing>
          <wp:inline distT="0" distB="0" distL="114300" distR="114300">
            <wp:extent cx="4092575" cy="3211195"/>
            <wp:effectExtent l="0" t="0" r="9525" b="1905"/>
            <wp:docPr id="49" name="图片 49" descr="7426f9ed57a673ac369bceb6ec21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7426f9ed57a673ac369bceb6ec219de7"/>
                    <pic:cNvPicPr>
                      <a:picLocks noChangeAspect="1"/>
                    </pic:cNvPicPr>
                  </pic:nvPicPr>
                  <pic:blipFill>
                    <a:blip r:embed="rId50"/>
                    <a:srcRect l="22396" t="8646" b="23246"/>
                    <a:stretch>
                      <a:fillRect/>
                    </a:stretch>
                  </pic:blipFill>
                  <pic:spPr>
                    <a:xfrm>
                      <a:off x="0" y="0"/>
                      <a:ext cx="4092575" cy="3211195"/>
                    </a:xfrm>
                    <a:prstGeom prst="rect">
                      <a:avLst/>
                    </a:prstGeom>
                  </pic:spPr>
                </pic:pic>
              </a:graphicData>
            </a:graphic>
          </wp:inline>
        </w:drawing>
      </w:r>
    </w:p>
    <w:p w14:paraId="654E8F18">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firstLine="480" w:firstLineChars="200"/>
        <w:jc w:val="both"/>
        <w:textAlignment w:val="auto"/>
        <w:rPr>
          <w:rFonts w:hint="eastAsia" w:cs="Times New Roman"/>
          <w:color w:val="000000" w:themeColor="text1"/>
          <w:kern w:val="2"/>
          <w:sz w:val="24"/>
          <w:szCs w:val="24"/>
          <w:lang w:val="en-US" w:eastAsia="zh-CN" w:bidi="ar-SA"/>
          <w14:textFill>
            <w14:solidFill>
              <w14:schemeClr w14:val="tx1"/>
            </w14:solidFill>
          </w14:textFill>
        </w:rPr>
      </w:pPr>
      <w:r>
        <w:rPr>
          <w:rFonts w:hint="eastAsia" w:cs="Times New Roman"/>
          <w:color w:val="000000" w:themeColor="text1"/>
          <w:kern w:val="2"/>
          <w:sz w:val="24"/>
          <w:szCs w:val="24"/>
          <w:lang w:val="en-US" w:eastAsia="zh-CN" w:bidi="ar-SA"/>
          <w14:textFill>
            <w14:solidFill>
              <w14:schemeClr w14:val="tx1"/>
            </w14:solidFill>
          </w14:textFill>
        </w:rPr>
        <w:t>缺失经纬度，标准如下</w:t>
      </w:r>
    </w:p>
    <w:p w14:paraId="7D7296B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cs="Times New Roman"/>
          <w:color w:val="000000" w:themeColor="text1"/>
          <w:kern w:val="2"/>
          <w:sz w:val="24"/>
          <w:szCs w:val="24"/>
          <w:lang w:val="en-US" w:eastAsia="zh-CN" w:bidi="ar-SA"/>
          <w14:textFill>
            <w14:solidFill>
              <w14:schemeClr w14:val="tx1"/>
            </w14:solidFill>
          </w14:textFill>
        </w:rPr>
      </w:pPr>
      <w:r>
        <w:rPr>
          <w:color w:val="000000" w:themeColor="text1"/>
          <w14:textFill>
            <w14:solidFill>
              <w14:schemeClr w14:val="tx1"/>
            </w14:solidFill>
          </w14:textFill>
        </w:rPr>
        <w:drawing>
          <wp:inline distT="0" distB="0" distL="114300" distR="114300">
            <wp:extent cx="5266690" cy="3877310"/>
            <wp:effectExtent l="0" t="0" r="3810" b="8890"/>
            <wp:docPr id="5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8"/>
                    <pic:cNvPicPr>
                      <a:picLocks noChangeAspect="1"/>
                    </pic:cNvPicPr>
                  </pic:nvPicPr>
                  <pic:blipFill>
                    <a:blip r:embed="rId51"/>
                    <a:stretch>
                      <a:fillRect/>
                    </a:stretch>
                  </pic:blipFill>
                  <pic:spPr>
                    <a:xfrm>
                      <a:off x="0" y="0"/>
                      <a:ext cx="5266690" cy="3877310"/>
                    </a:xfrm>
                    <a:prstGeom prst="rect">
                      <a:avLst/>
                    </a:prstGeom>
                    <a:noFill/>
                    <a:ln>
                      <a:noFill/>
                    </a:ln>
                  </pic:spPr>
                </pic:pic>
              </a:graphicData>
            </a:graphic>
          </wp:inline>
        </w:drawing>
      </w:r>
    </w:p>
    <w:p w14:paraId="47E3A5E6">
      <w:pPr>
        <w:numPr>
          <w:ilvl w:val="0"/>
          <w:numId w:val="0"/>
        </w:numPr>
        <w:spacing w:line="360" w:lineRule="auto"/>
        <w:jc w:val="both"/>
        <w:rPr>
          <w:rFonts w:hint="default"/>
          <w:color w:val="000000" w:themeColor="text1"/>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267325" cy="4449445"/>
            <wp:effectExtent l="0" t="0" r="3175" b="8255"/>
            <wp:docPr id="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
                    <pic:cNvPicPr>
                      <a:picLocks noChangeAspect="1"/>
                    </pic:cNvPicPr>
                  </pic:nvPicPr>
                  <pic:blipFill>
                    <a:blip r:embed="rId52"/>
                    <a:stretch>
                      <a:fillRect/>
                    </a:stretch>
                  </pic:blipFill>
                  <pic:spPr>
                    <a:xfrm>
                      <a:off x="0" y="0"/>
                      <a:ext cx="5267325" cy="4449445"/>
                    </a:xfrm>
                    <a:prstGeom prst="rect">
                      <a:avLst/>
                    </a:prstGeom>
                    <a:noFill/>
                    <a:ln>
                      <a:noFill/>
                    </a:ln>
                  </pic:spPr>
                </pic:pic>
              </a:graphicData>
            </a:graphic>
          </wp:inline>
        </w:drawing>
      </w:r>
    </w:p>
    <w:p w14:paraId="4A73FC7D">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（3）河流图例错误，请核实修改同类型错误；缺失单位</w:t>
      </w:r>
    </w:p>
    <w:p w14:paraId="5E577511">
      <w:pPr>
        <w:numPr>
          <w:ilvl w:val="0"/>
          <w:numId w:val="0"/>
        </w:numPr>
        <w:spacing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7325" cy="2260600"/>
            <wp:effectExtent l="0" t="0" r="3175" b="0"/>
            <wp:docPr id="5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7"/>
                    <pic:cNvPicPr>
                      <a:picLocks noChangeAspect="1"/>
                    </pic:cNvPicPr>
                  </pic:nvPicPr>
                  <pic:blipFill>
                    <a:blip r:embed="rId53"/>
                    <a:stretch>
                      <a:fillRect/>
                    </a:stretch>
                  </pic:blipFill>
                  <pic:spPr>
                    <a:xfrm>
                      <a:off x="0" y="0"/>
                      <a:ext cx="5267325" cy="2260600"/>
                    </a:xfrm>
                    <a:prstGeom prst="rect">
                      <a:avLst/>
                    </a:prstGeom>
                    <a:noFill/>
                    <a:ln>
                      <a:noFill/>
                    </a:ln>
                  </pic:spPr>
                </pic:pic>
              </a:graphicData>
            </a:graphic>
          </wp:inline>
        </w:drawing>
      </w:r>
      <w:r>
        <w:rPr>
          <w:color w:val="000000" w:themeColor="text1"/>
          <w14:textFill>
            <w14:solidFill>
              <w14:schemeClr w14:val="tx1"/>
            </w14:solidFill>
          </w14:textFill>
        </w:rPr>
        <w:drawing>
          <wp:inline distT="0" distB="0" distL="114300" distR="114300">
            <wp:extent cx="5229225" cy="2686050"/>
            <wp:effectExtent l="0" t="0" r="3175" b="6350"/>
            <wp:docPr id="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
                    <pic:cNvPicPr>
                      <a:picLocks noChangeAspect="1"/>
                    </pic:cNvPicPr>
                  </pic:nvPicPr>
                  <pic:blipFill>
                    <a:blip r:embed="rId54"/>
                    <a:stretch>
                      <a:fillRect/>
                    </a:stretch>
                  </pic:blipFill>
                  <pic:spPr>
                    <a:xfrm>
                      <a:off x="0" y="0"/>
                      <a:ext cx="5229225" cy="2686050"/>
                    </a:xfrm>
                    <a:prstGeom prst="rect">
                      <a:avLst/>
                    </a:prstGeom>
                    <a:noFill/>
                    <a:ln>
                      <a:noFill/>
                    </a:ln>
                  </pic:spPr>
                </pic:pic>
              </a:graphicData>
            </a:graphic>
          </wp:inline>
        </w:drawing>
      </w:r>
    </w:p>
    <w:p w14:paraId="5FA286D5">
      <w:pPr>
        <w:numPr>
          <w:ilvl w:val="0"/>
          <w:numId w:val="0"/>
        </w:numPr>
        <w:spacing w:line="360" w:lineRule="auto"/>
        <w:ind w:firstLine="42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272405" cy="3767455"/>
            <wp:effectExtent l="0" t="0" r="10795" b="4445"/>
            <wp:docPr id="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6"/>
                    <pic:cNvPicPr>
                      <a:picLocks noChangeAspect="1"/>
                    </pic:cNvPicPr>
                  </pic:nvPicPr>
                  <pic:blipFill>
                    <a:blip r:embed="rId55"/>
                    <a:stretch>
                      <a:fillRect/>
                    </a:stretch>
                  </pic:blipFill>
                  <pic:spPr>
                    <a:xfrm>
                      <a:off x="0" y="0"/>
                      <a:ext cx="5272405" cy="3767455"/>
                    </a:xfrm>
                    <a:prstGeom prst="rect">
                      <a:avLst/>
                    </a:prstGeom>
                    <a:noFill/>
                    <a:ln>
                      <a:noFill/>
                    </a:ln>
                  </pic:spPr>
                </pic:pic>
              </a:graphicData>
            </a:graphic>
          </wp:inline>
        </w:drawing>
      </w:r>
    </w:p>
    <w:p w14:paraId="4141304B">
      <w:pPr>
        <w:numPr>
          <w:ilvl w:val="0"/>
          <w:numId w:val="0"/>
        </w:numPr>
        <w:spacing w:line="360" w:lineRule="auto"/>
        <w:jc w:val="both"/>
        <w:rPr>
          <w:rFonts w:hint="eastAsia"/>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(二)图件信息缺失</w:t>
      </w:r>
    </w:p>
    <w:p w14:paraId="68B99BEE">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（1）缺少调查时间</w:t>
      </w:r>
    </w:p>
    <w:p w14:paraId="09D67679">
      <w:pPr>
        <w:numPr>
          <w:ilvl w:val="0"/>
          <w:numId w:val="0"/>
        </w:numPr>
        <w:spacing w:line="360" w:lineRule="auto"/>
        <w:ind w:firstLine="42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264785" cy="483870"/>
            <wp:effectExtent l="0" t="0" r="5715" b="11430"/>
            <wp:docPr id="5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9"/>
                    <pic:cNvPicPr>
                      <a:picLocks noChangeAspect="1"/>
                    </pic:cNvPicPr>
                  </pic:nvPicPr>
                  <pic:blipFill>
                    <a:blip r:embed="rId56"/>
                    <a:stretch>
                      <a:fillRect/>
                    </a:stretch>
                  </pic:blipFill>
                  <pic:spPr>
                    <a:xfrm>
                      <a:off x="0" y="0"/>
                      <a:ext cx="5264785" cy="483870"/>
                    </a:xfrm>
                    <a:prstGeom prst="rect">
                      <a:avLst/>
                    </a:prstGeom>
                    <a:noFill/>
                    <a:ln>
                      <a:noFill/>
                    </a:ln>
                  </pic:spPr>
                </pic:pic>
              </a:graphicData>
            </a:graphic>
          </wp:inline>
        </w:drawing>
      </w:r>
    </w:p>
    <w:p w14:paraId="79B5C0B4">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（2）缺少表名（两个统计表：①各乡镇耕地土壤分级面积统计表；②各地类土壤分级面积统计表）</w:t>
      </w:r>
    </w:p>
    <w:p w14:paraId="6F8C2C35">
      <w:pPr>
        <w:numPr>
          <w:ilvl w:val="0"/>
          <w:numId w:val="0"/>
        </w:numPr>
        <w:spacing w:line="360" w:lineRule="auto"/>
        <w:ind w:firstLine="42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261610" cy="1492250"/>
            <wp:effectExtent l="0" t="0" r="8890" b="6350"/>
            <wp:docPr id="5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0"/>
                    <pic:cNvPicPr>
                      <a:picLocks noChangeAspect="1"/>
                    </pic:cNvPicPr>
                  </pic:nvPicPr>
                  <pic:blipFill>
                    <a:blip r:embed="rId57"/>
                    <a:stretch>
                      <a:fillRect/>
                    </a:stretch>
                  </pic:blipFill>
                  <pic:spPr>
                    <a:xfrm>
                      <a:off x="0" y="0"/>
                      <a:ext cx="5261610" cy="1492250"/>
                    </a:xfrm>
                    <a:prstGeom prst="rect">
                      <a:avLst/>
                    </a:prstGeom>
                    <a:noFill/>
                    <a:ln>
                      <a:noFill/>
                    </a:ln>
                  </pic:spPr>
                </pic:pic>
              </a:graphicData>
            </a:graphic>
          </wp:inline>
        </w:drawing>
      </w:r>
    </w:p>
    <w:p w14:paraId="77A89F1E">
      <w:pPr>
        <w:numPr>
          <w:ilvl w:val="0"/>
          <w:numId w:val="0"/>
        </w:numPr>
        <w:spacing w:line="360" w:lineRule="auto"/>
        <w:jc w:val="both"/>
        <w:rPr>
          <w:rFonts w:hint="eastAsia"/>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(三)图件缺失</w:t>
      </w:r>
    </w:p>
    <w:p w14:paraId="14586EA4">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未见问题</w:t>
      </w:r>
    </w:p>
    <w:p w14:paraId="69438D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jc w:val="both"/>
        <w:textAlignment w:val="auto"/>
        <w:rPr>
          <w:rFonts w:hint="default"/>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(四)其他</w:t>
      </w:r>
    </w:p>
    <w:p w14:paraId="07645F23">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美观性，易读性，着色。图面清晰度、图件信息清晰度。</w:t>
      </w:r>
    </w:p>
    <w:p w14:paraId="00034697">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未见问题</w:t>
      </w:r>
    </w:p>
    <w:p w14:paraId="0F21FDF3">
      <w:pPr>
        <w:numPr>
          <w:ilvl w:val="0"/>
          <w:numId w:val="14"/>
        </w:numPr>
        <w:spacing w:line="360" w:lineRule="auto"/>
        <w:jc w:val="both"/>
        <w:rPr>
          <w:rFonts w:hint="eastAsia"/>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报告-制图过程</w:t>
      </w:r>
    </w:p>
    <w:p w14:paraId="228760C7">
      <w:pPr>
        <w:numPr>
          <w:ilvl w:val="0"/>
          <w:numId w:val="0"/>
        </w:numPr>
        <w:spacing w:line="360" w:lineRule="auto"/>
        <w:jc w:val="both"/>
        <w:rPr>
          <w:rFonts w:hint="eastAsia"/>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(一)技术路线与规范</w:t>
      </w:r>
    </w:p>
    <w:p w14:paraId="75EE3E68">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1.属性制图技术路线图是否缺失或过于简单</w:t>
      </w:r>
    </w:p>
    <w:p w14:paraId="5563280D">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未见问题</w:t>
      </w:r>
    </w:p>
    <w:p w14:paraId="50F954FF">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2.属性制图技术路线内容阐述是否完整或清晰、</w:t>
      </w:r>
    </w:p>
    <w:p w14:paraId="4694A149">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技术路线文字较简略，且模型名称和最终精度表互相矛盾，不能形成清晰、可追溯的技术路线。同时图片模糊，字体不一。</w:t>
      </w:r>
    </w:p>
    <w:p w14:paraId="0A61ACAF">
      <w:pPr>
        <w:numPr>
          <w:ilvl w:val="0"/>
          <w:numId w:val="0"/>
        </w:numPr>
        <w:spacing w:line="360" w:lineRule="auto"/>
        <w:jc w:val="both"/>
        <w:rPr>
          <w:rFonts w:hint="eastAsia"/>
          <w:color w:val="000000" w:themeColor="text1"/>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272405" cy="3942080"/>
            <wp:effectExtent l="0" t="0" r="10795" b="7620"/>
            <wp:docPr id="5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5"/>
                    <pic:cNvPicPr>
                      <a:picLocks noChangeAspect="1"/>
                    </pic:cNvPicPr>
                  </pic:nvPicPr>
                  <pic:blipFill>
                    <a:blip r:embed="rId58"/>
                    <a:stretch>
                      <a:fillRect/>
                    </a:stretch>
                  </pic:blipFill>
                  <pic:spPr>
                    <a:xfrm>
                      <a:off x="0" y="0"/>
                      <a:ext cx="5272405" cy="3942080"/>
                    </a:xfrm>
                    <a:prstGeom prst="rect">
                      <a:avLst/>
                    </a:prstGeom>
                    <a:noFill/>
                    <a:ln>
                      <a:noFill/>
                    </a:ln>
                  </pic:spPr>
                </pic:pic>
              </a:graphicData>
            </a:graphic>
          </wp:inline>
        </w:drawing>
      </w:r>
    </w:p>
    <w:p w14:paraId="629922D1">
      <w:pPr>
        <w:numPr>
          <w:ilvl w:val="0"/>
          <w:numId w:val="0"/>
        </w:numPr>
        <w:spacing w:line="360" w:lineRule="auto"/>
        <w:jc w:val="both"/>
        <w:rPr>
          <w:rFonts w:hint="eastAsia"/>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(二)数据收集与处理不规范</w:t>
      </w:r>
    </w:p>
    <w:p w14:paraId="6B9B1420">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1.数据的来源、时间跨度、格式等说明是否充分</w:t>
      </w:r>
    </w:p>
    <w:p w14:paraId="40EEA2AE">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有说明，问题见前几页，</w:t>
      </w:r>
    </w:p>
    <w:p w14:paraId="1C510E80">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2.土壤样点空间分布图是否缺失</w:t>
      </w:r>
    </w:p>
    <w:p w14:paraId="32E6B9EF">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缺失</w:t>
      </w:r>
    </w:p>
    <w:p w14:paraId="078B39F4">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3.环境变量制备过程未说明或说明不具体</w:t>
      </w:r>
    </w:p>
    <w:p w14:paraId="376B15DF">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有说明，说明不具体</w:t>
      </w:r>
    </w:p>
    <w:p w14:paraId="7A286CD2">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4.数据处理过程是否合理</w:t>
      </w:r>
    </w:p>
    <w:p w14:paraId="1025F31A">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未见问题</w:t>
      </w:r>
    </w:p>
    <w:p w14:paraId="23CE2F45">
      <w:pPr>
        <w:numPr>
          <w:ilvl w:val="0"/>
          <w:numId w:val="0"/>
        </w:numPr>
        <w:spacing w:line="360" w:lineRule="auto"/>
        <w:jc w:val="both"/>
        <w:rPr>
          <w:rFonts w:hint="eastAsia"/>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(三)制图模型确定是否合理</w:t>
      </w:r>
    </w:p>
    <w:p w14:paraId="4546CDE6">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1.模型优选是否进行了多种方法对比</w:t>
      </w:r>
    </w:p>
    <w:p w14:paraId="6D6B0727">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重点检查报告中存在多个模型的比对。</w:t>
      </w:r>
    </w:p>
    <w:p w14:paraId="559546D4">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2.环境变量的筛选方法和过程说明</w:t>
      </w:r>
    </w:p>
    <w:p w14:paraId="19D86714">
      <w:pPr>
        <w:widowControl w:val="0"/>
        <w:numPr>
          <w:ilvl w:val="0"/>
          <w:numId w:val="0"/>
        </w:numPr>
        <w:spacing w:line="360" w:lineRule="auto"/>
        <w:ind w:left="0" w:leftChars="0" w:firstLine="480" w:firstLineChars="200"/>
        <w:jc w:val="both"/>
        <w:rPr>
          <w:rFonts w:hint="default"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t>严重缺失</w:t>
      </w:r>
      <w:r>
        <w:rPr>
          <w:rFonts w:hint="default"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t>。报告中完全没有提及环境变量筛选的方法</w:t>
      </w:r>
      <w:r>
        <w:rPr>
          <w:rFonts w:hint="eastAsia"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t>，</w:t>
      </w:r>
      <w:r>
        <w:rPr>
          <w:rFonts w:hint="default"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t>但每个属性最终建模时究竟使用了哪些环境变量作为入模变量，报告中完全没有列出。</w:t>
      </w:r>
    </w:p>
    <w:p w14:paraId="2B225B18">
      <w:pPr>
        <w:numPr>
          <w:ilvl w:val="0"/>
          <w:numId w:val="0"/>
        </w:numPr>
        <w:spacing w:line="360" w:lineRule="auto"/>
        <w:jc w:val="both"/>
        <w:rPr>
          <w:rFonts w:hint="default"/>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(四)</w:t>
      </w:r>
      <w:r>
        <w:rPr>
          <w:rFonts w:hint="default"/>
          <w:b/>
          <w:bCs/>
          <w:color w:val="000000" w:themeColor="text1"/>
          <w:sz w:val="24"/>
          <w:szCs w:val="24"/>
          <w:lang w:val="en-US" w:eastAsia="zh-CN"/>
          <w14:textFill>
            <w14:solidFill>
              <w14:schemeClr w14:val="tx1"/>
            </w14:solidFill>
          </w14:textFill>
        </w:rPr>
        <w:t>结果验证与分析</w:t>
      </w:r>
      <w:r>
        <w:rPr>
          <w:rFonts w:hint="eastAsia"/>
          <w:b/>
          <w:bCs/>
          <w:color w:val="000000" w:themeColor="text1"/>
          <w:sz w:val="24"/>
          <w:szCs w:val="24"/>
          <w:lang w:val="en-US" w:eastAsia="zh-CN"/>
          <w14:textFill>
            <w14:solidFill>
              <w14:schemeClr w14:val="tx1"/>
            </w14:solidFill>
          </w14:textFill>
        </w:rPr>
        <w:t>是否</w:t>
      </w:r>
      <w:r>
        <w:rPr>
          <w:rFonts w:hint="default"/>
          <w:b/>
          <w:bCs/>
          <w:color w:val="000000" w:themeColor="text1"/>
          <w:sz w:val="24"/>
          <w:szCs w:val="24"/>
          <w:lang w:val="en-US" w:eastAsia="zh-CN"/>
          <w14:textFill>
            <w14:solidFill>
              <w14:schemeClr w14:val="tx1"/>
            </w14:solidFill>
          </w14:textFill>
        </w:rPr>
        <w:t>充分</w:t>
      </w:r>
    </w:p>
    <w:p w14:paraId="7AAD46AF">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1.属性与环境的关联性（驱动因素）是否进行分析展示</w:t>
      </w:r>
    </w:p>
    <w:p w14:paraId="3454E657">
      <w:pPr>
        <w:widowControl w:val="0"/>
        <w:numPr>
          <w:ilvl w:val="0"/>
          <w:numId w:val="0"/>
        </w:numPr>
        <w:spacing w:line="360" w:lineRule="auto"/>
        <w:ind w:left="0" w:leftChars="0" w:firstLine="480" w:firstLineChars="200"/>
        <w:jc w:val="both"/>
        <w:rPr>
          <w:rFonts w:hint="default"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t>否，</w:t>
      </w:r>
      <w:r>
        <w:rPr>
          <w:rFonts w:hint="default"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t>第二章第四节的“土壤属性间关联分析”仅分析了土壤属性指标之间的统计相关性，而非属性与环境因子的关系。</w:t>
      </w:r>
    </w:p>
    <w:p w14:paraId="660A07D8">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2.精度评价指标是否过于单一(仅用R2、RMSE验证)</w:t>
      </w:r>
    </w:p>
    <w:p w14:paraId="0C4BB62E">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color w:val="000000" w:themeColor="text1"/>
          <w14:textFill>
            <w14:solidFill>
              <w14:schemeClr w14:val="tx1"/>
            </w14:solidFill>
          </w14:textFill>
        </w:rPr>
        <w:drawing>
          <wp:inline distT="0" distB="0" distL="114300" distR="114300">
            <wp:extent cx="5269230" cy="1018540"/>
            <wp:effectExtent l="0" t="0" r="1270" b="10160"/>
            <wp:docPr id="5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2"/>
                    <pic:cNvPicPr>
                      <a:picLocks noChangeAspect="1"/>
                    </pic:cNvPicPr>
                  </pic:nvPicPr>
                  <pic:blipFill>
                    <a:blip r:embed="rId59"/>
                    <a:stretch>
                      <a:fillRect/>
                    </a:stretch>
                  </pic:blipFill>
                  <pic:spPr>
                    <a:xfrm>
                      <a:off x="0" y="0"/>
                      <a:ext cx="5269230" cy="1018540"/>
                    </a:xfrm>
                    <a:prstGeom prst="rect">
                      <a:avLst/>
                    </a:prstGeom>
                    <a:noFill/>
                    <a:ln>
                      <a:noFill/>
                    </a:ln>
                  </pic:spPr>
                </pic:pic>
              </a:graphicData>
            </a:graphic>
          </wp:inline>
        </w:drawing>
      </w:r>
    </w:p>
    <w:p w14:paraId="48CFE9BC">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3.土壤属性图是否进行空间分布分析</w:t>
      </w:r>
    </w:p>
    <w:p w14:paraId="67DCC9B2">
      <w:pPr>
        <w:widowControl w:val="0"/>
        <w:numPr>
          <w:ilvl w:val="0"/>
          <w:numId w:val="0"/>
        </w:numPr>
        <w:spacing w:line="360" w:lineRule="auto"/>
        <w:ind w:left="0" w:leftChars="0" w:firstLine="480" w:firstLineChars="200"/>
        <w:jc w:val="both"/>
        <w:rPr>
          <w:rFonts w:hint="default"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t>停留在对图和表格数据的文字复述层面</w:t>
      </w:r>
      <w:r>
        <w:rPr>
          <w:rFonts w:hint="default"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t>，未能深入挖掘其空间分布格局并解释其成因。</w:t>
      </w:r>
    </w:p>
    <w:p w14:paraId="2AA25D65">
      <w:pPr>
        <w:numPr>
          <w:ilvl w:val="0"/>
          <w:numId w:val="14"/>
        </w:numPr>
        <w:spacing w:line="360" w:lineRule="auto"/>
        <w:jc w:val="both"/>
        <w:rPr>
          <w:rFonts w:hint="eastAsia"/>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报告-现状分析</w:t>
      </w:r>
    </w:p>
    <w:p w14:paraId="39DDD968">
      <w:pPr>
        <w:numPr>
          <w:ilvl w:val="0"/>
          <w:numId w:val="0"/>
        </w:numPr>
        <w:spacing w:line="360" w:lineRule="auto"/>
        <w:jc w:val="both"/>
        <w:rPr>
          <w:rFonts w:hint="eastAsia"/>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(一)数据准确性与一致性</w:t>
      </w:r>
    </w:p>
    <w:p w14:paraId="68F1633A">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1.样点统计与制图统计数据差异是否显著</w:t>
      </w:r>
    </w:p>
    <w:p w14:paraId="688B81DD">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未见问题</w:t>
      </w:r>
    </w:p>
    <w:p w14:paraId="2BE21E71">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2.数据是否错误或存疑，部分指标单位是否有误（亩或万亩）</w:t>
      </w:r>
    </w:p>
    <w:p w14:paraId="1EAD527E">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未见问题</w:t>
      </w:r>
    </w:p>
    <w:p w14:paraId="10FC3435">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3.现状数据是否缺少分级表、中微量元素数据等</w:t>
      </w:r>
    </w:p>
    <w:p w14:paraId="78AF355E">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未见问题</w:t>
      </w:r>
    </w:p>
    <w:p w14:paraId="7340F7CB">
      <w:pPr>
        <w:numPr>
          <w:ilvl w:val="0"/>
          <w:numId w:val="0"/>
        </w:numPr>
        <w:spacing w:line="360" w:lineRule="auto"/>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4.报告中的图表和现状数据是否匹配</w:t>
      </w:r>
    </w:p>
    <w:p w14:paraId="432F33A2">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508AE070">
      <w:pPr>
        <w:numPr>
          <w:ilvl w:val="0"/>
          <w:numId w:val="0"/>
        </w:numPr>
        <w:spacing w:line="360" w:lineRule="auto"/>
        <w:jc w:val="both"/>
        <w:rPr>
          <w:rFonts w:hint="eastAsia"/>
          <w:b/>
          <w:bCs/>
          <w:color w:val="000000" w:themeColor="text1"/>
          <w:sz w:val="24"/>
          <w:szCs w:val="24"/>
          <w:highlight w:val="none"/>
          <w:lang w:val="en-US" w:eastAsia="zh-CN"/>
          <w14:textFill>
            <w14:solidFill>
              <w14:schemeClr w14:val="tx1"/>
            </w14:solidFill>
          </w14:textFill>
        </w:rPr>
      </w:pPr>
      <w:r>
        <w:rPr>
          <w:rFonts w:hint="eastAsia"/>
          <w:b/>
          <w:bCs/>
          <w:color w:val="000000" w:themeColor="text1"/>
          <w:sz w:val="24"/>
          <w:szCs w:val="24"/>
          <w:highlight w:val="none"/>
          <w:lang w:val="en-US" w:eastAsia="zh-CN"/>
          <w14:textFill>
            <w14:solidFill>
              <w14:schemeClr w14:val="tx1"/>
            </w14:solidFill>
          </w14:textFill>
        </w:rPr>
        <w:t>(二)土壤属性分级与规范是否一致</w:t>
      </w:r>
    </w:p>
    <w:p w14:paraId="3EB051F4">
      <w:pPr>
        <w:numPr>
          <w:ilvl w:val="0"/>
          <w:numId w:val="0"/>
        </w:numPr>
        <w:spacing w:line="360" w:lineRule="auto"/>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1.属性数据分级标准与规范不一致、分级不规范，参考《全国九大农区、省级耕地质量监测指标分级标准的通知》（可在标准内调整，但不可以跨越阈值界限）</w:t>
      </w:r>
    </w:p>
    <w:p w14:paraId="2CBAFB17">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报告中有些地方的标准未明确说明。</w:t>
      </w:r>
    </w:p>
    <w:p w14:paraId="6789A773">
      <w:pPr>
        <w:numPr>
          <w:ilvl w:val="0"/>
          <w:numId w:val="0"/>
        </w:numPr>
        <w:spacing w:line="360" w:lineRule="auto"/>
        <w:ind w:firstLine="42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drawing>
          <wp:inline distT="0" distB="0" distL="114300" distR="114300">
            <wp:extent cx="5271135" cy="917575"/>
            <wp:effectExtent l="0" t="0" r="12065" b="9525"/>
            <wp:docPr id="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
                    <pic:cNvPicPr>
                      <a:picLocks noChangeAspect="1"/>
                    </pic:cNvPicPr>
                  </pic:nvPicPr>
                  <pic:blipFill>
                    <a:blip r:embed="rId49"/>
                    <a:stretch>
                      <a:fillRect/>
                    </a:stretch>
                  </pic:blipFill>
                  <pic:spPr>
                    <a:xfrm>
                      <a:off x="0" y="0"/>
                      <a:ext cx="5271135" cy="917575"/>
                    </a:xfrm>
                    <a:prstGeom prst="rect">
                      <a:avLst/>
                    </a:prstGeom>
                    <a:noFill/>
                    <a:ln>
                      <a:noFill/>
                    </a:ln>
                  </pic:spPr>
                </pic:pic>
              </a:graphicData>
            </a:graphic>
          </wp:inline>
        </w:drawing>
      </w:r>
    </w:p>
    <w:p w14:paraId="430E18EC">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2.土壤分类系统不统一（未用三普土属名称）</w:t>
      </w:r>
    </w:p>
    <w:p w14:paraId="4173F68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0577FDE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(三)现状分析深度与完整性不足</w:t>
      </w:r>
    </w:p>
    <w:p w14:paraId="08EAC1A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1.成因分析不深入或不合理</w:t>
      </w:r>
    </w:p>
    <w:p w14:paraId="3698827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038B03E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2.属性指标的土地利用类型、土壤类型分类分区差异对比不充分</w:t>
      </w:r>
    </w:p>
    <w:p w14:paraId="3DADECA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07EB75E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3.现状指标分析不完整</w:t>
      </w:r>
    </w:p>
    <w:p w14:paraId="1B69041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1CDFDC49">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(四)属性关联分析与实用性不足</w:t>
      </w:r>
    </w:p>
    <w:p w14:paraId="6FD7C20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1.现状土壤属性间关联分析不足</w:t>
      </w:r>
    </w:p>
    <w:p w14:paraId="2FE075A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2E31D9E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2.关联分析方法不规范</w:t>
      </w:r>
    </w:p>
    <w:p w14:paraId="3D38196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176CAF8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3.未针对性提出土壤培肥改良措施，乡镇土壤属性分析仅呈现数据，未结合当地土壤问题给出解决方案</w:t>
      </w:r>
    </w:p>
    <w:p w14:paraId="17626E19">
      <w:pPr>
        <w:widowControl w:val="0"/>
        <w:numPr>
          <w:ilvl w:val="0"/>
          <w:numId w:val="0"/>
        </w:numPr>
        <w:spacing w:line="360" w:lineRule="auto"/>
        <w:ind w:left="0" w:leftChars="0" w:firstLine="480" w:firstLineChars="200"/>
        <w:jc w:val="both"/>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没有针对各乡镇的具体土壤问题提出差异化的解决方案</w:t>
      </w:r>
      <w:r>
        <w:rPr>
          <w:rFonts w:hint="default" w:ascii="Times New Roman" w:hAnsi="Times New Roman" w:eastAsia="宋体" w:cs="Times New Roman"/>
          <w:b w:val="0"/>
          <w:bCs w:val="0"/>
          <w:kern w:val="2"/>
          <w:sz w:val="24"/>
          <w:szCs w:val="24"/>
          <w:lang w:val="en-US" w:eastAsia="zh-CN" w:bidi="ar-SA"/>
        </w:rPr>
        <w:t>，实用性较弱。</w:t>
      </w:r>
    </w:p>
    <w:p w14:paraId="31286588">
      <w:pPr>
        <w:numPr>
          <w:ilvl w:val="0"/>
          <w:numId w:val="14"/>
        </w:numPr>
        <w:spacing w:line="360" w:lineRule="auto"/>
        <w:jc w:val="both"/>
        <w:rPr>
          <w:rFonts w:hint="eastAsia"/>
          <w:b/>
          <w:bCs/>
          <w:sz w:val="24"/>
          <w:szCs w:val="24"/>
          <w:lang w:val="en-US" w:eastAsia="zh-CN"/>
        </w:rPr>
      </w:pPr>
      <w:r>
        <w:rPr>
          <w:rFonts w:hint="eastAsia"/>
          <w:b/>
          <w:bCs/>
          <w:sz w:val="24"/>
          <w:szCs w:val="24"/>
          <w:lang w:val="en-US" w:eastAsia="zh-CN"/>
        </w:rPr>
        <w:t>报告-历史变化及成因</w:t>
      </w:r>
    </w:p>
    <w:p w14:paraId="5668EF12">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(一)历史变化对比不符合导引要求</w:t>
      </w:r>
    </w:p>
    <w:p w14:paraId="6ED37E4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1.是否结合历史数据（二普、测土配方等）进行历史变化对比</w:t>
      </w:r>
    </w:p>
    <w:p w14:paraId="74DE43E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kern w:val="2"/>
          <w:sz w:val="24"/>
          <w:szCs w:val="24"/>
          <w:lang w:val="en-US" w:eastAsia="zh-CN" w:bidi="ar-SA"/>
        </w:rPr>
        <w:t>报告在第二章各指标的“历史变化及成因分析”中，提到了与二普时期的对比（如“二普至三普期间”、“两期普查对比”等），但</w:t>
      </w:r>
      <w:r>
        <w:rPr>
          <w:rFonts w:hint="default" w:ascii="Times New Roman" w:hAnsi="Times New Roman" w:eastAsia="宋体" w:cs="Times New Roman"/>
          <w:b w:val="0"/>
          <w:bCs w:val="0"/>
          <w:kern w:val="2"/>
          <w:sz w:val="24"/>
          <w:szCs w:val="24"/>
          <w:lang w:val="en-US" w:eastAsia="zh-CN" w:bidi="ar-SA"/>
        </w:rPr>
        <w:t>未提供二普的具体数值，多为定性描述</w:t>
      </w:r>
    </w:p>
    <w:p w14:paraId="3F1CE72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2.历史变化分析不充分或缺失、剖析不深入</w:t>
      </w:r>
    </w:p>
    <w:p w14:paraId="12472F7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1C20D27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3.对比分析的土壤属性指标分析缺失或不完整</w:t>
      </w:r>
    </w:p>
    <w:p w14:paraId="4EDE987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5CE62F1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4.仅文字分析、缺少图表统计对比</w:t>
      </w:r>
    </w:p>
    <w:p w14:paraId="0AE23267">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35ADFF3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(二)成因分析未按导引要求</w:t>
      </w:r>
    </w:p>
    <w:p w14:paraId="2A8E6BCA">
      <w:pPr>
        <w:numPr>
          <w:ilvl w:val="0"/>
          <w:numId w:val="0"/>
        </w:numPr>
        <w:spacing w:line="360" w:lineRule="auto"/>
        <w:ind w:firstLine="480" w:firstLineChars="200"/>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没有进行分类分区差异对比</w:t>
      </w:r>
    </w:p>
    <w:p w14:paraId="3BAA297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(三)结果分析表述不准确</w:t>
      </w:r>
    </w:p>
    <w:p w14:paraId="71B59E7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变化趋势方向描述清晰，但缺乏定量分析。</w:t>
      </w:r>
    </w:p>
    <w:p w14:paraId="3F3AA12D">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493E688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制表和单位</w:t>
      </w:r>
      <w:r>
        <w:rPr>
          <w:rFonts w:hint="eastAsia" w:ascii="Times New Roman" w:hAnsi="Times New Roman" w:eastAsia="宋体" w:cs="Times New Roman"/>
          <w:b w:val="0"/>
          <w:bCs w:val="0"/>
          <w:sz w:val="24"/>
          <w:szCs w:val="24"/>
          <w:lang w:val="en-US" w:eastAsia="zh-CN"/>
        </w:rPr>
        <w:t>的规范</w:t>
      </w:r>
    </w:p>
    <w:p w14:paraId="018B2C4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4DCE4E0D">
      <w:pPr>
        <w:numPr>
          <w:ilvl w:val="0"/>
          <w:numId w:val="14"/>
        </w:numPr>
        <w:spacing w:line="360" w:lineRule="auto"/>
        <w:jc w:val="both"/>
        <w:rPr>
          <w:rFonts w:hint="eastAsia"/>
          <w:b/>
          <w:bCs/>
          <w:sz w:val="24"/>
          <w:szCs w:val="24"/>
          <w:lang w:val="en-US" w:eastAsia="zh-CN"/>
        </w:rPr>
      </w:pPr>
      <w:r>
        <w:rPr>
          <w:rFonts w:hint="eastAsia"/>
          <w:b/>
          <w:bCs/>
          <w:sz w:val="24"/>
          <w:szCs w:val="24"/>
          <w:lang w:val="en-US" w:eastAsia="zh-CN"/>
        </w:rPr>
        <w:t>报告质量</w:t>
      </w:r>
    </w:p>
    <w:p w14:paraId="374DDA4F">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(一)撰写与总结问题</w:t>
      </w:r>
    </w:p>
    <w:p w14:paraId="150D3F3B">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重点检查报告撰写的规范性（参考《土壤属性制图与专题图制图规范》）；表述是否严谨，语言文字随意性、小结部分是否进行归纳总结。</w:t>
      </w:r>
    </w:p>
    <w:p w14:paraId="3A3E1378">
      <w:pPr>
        <w:widowControl w:val="0"/>
        <w:numPr>
          <w:ilvl w:val="0"/>
          <w:numId w:val="0"/>
        </w:numPr>
        <w:spacing w:line="360" w:lineRule="auto"/>
        <w:ind w:left="0" w:leftChars="0" w:firstLine="480" w:firstLineChars="200"/>
        <w:jc w:val="both"/>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第五章小结中，</w:t>
      </w:r>
      <w:r>
        <w:rPr>
          <w:rFonts w:hint="default" w:ascii="Times New Roman" w:hAnsi="Times New Roman" w:eastAsia="宋体" w:cs="Times New Roman"/>
          <w:b w:val="0"/>
          <w:bCs w:val="0"/>
          <w:kern w:val="2"/>
          <w:sz w:val="24"/>
          <w:szCs w:val="24"/>
          <w:lang w:val="en-US" w:eastAsia="zh-CN" w:bidi="ar-SA"/>
        </w:rPr>
        <w:t>两次出现“常郭镇”、“林场”等非雄县乡镇名称（“常郭镇耕地的土壤容重均值为1.43g/cm³最大……而林场林地的土壤容重均值为0.89g/cm³”），这些乡镇不属于雄县</w:t>
      </w:r>
      <w:r>
        <w:rPr>
          <w:rFonts w:hint="eastAsia" w:ascii="Times New Roman" w:hAnsi="Times New Roman" w:eastAsia="宋体" w:cs="Times New Roman"/>
          <w:b w:val="0"/>
          <w:bCs w:val="0"/>
          <w:kern w:val="2"/>
          <w:sz w:val="24"/>
          <w:szCs w:val="24"/>
          <w:lang w:val="en-US" w:eastAsia="zh-CN" w:bidi="ar-SA"/>
        </w:rPr>
        <w:t>。</w:t>
      </w:r>
    </w:p>
    <w:p w14:paraId="0A670099">
      <w:pPr>
        <w:widowControl w:val="0"/>
        <w:numPr>
          <w:ilvl w:val="0"/>
          <w:numId w:val="0"/>
        </w:numPr>
        <w:spacing w:line="360" w:lineRule="auto"/>
        <w:ind w:left="0" w:leftChars="0" w:firstLine="420" w:firstLineChars="200"/>
        <w:jc w:val="both"/>
        <w:rPr>
          <w:rFonts w:hint="eastAsia" w:ascii="Times New Roman" w:hAnsi="Times New Roman" w:eastAsia="宋体" w:cs="Times New Roman"/>
          <w:b w:val="0"/>
          <w:bCs w:val="0"/>
          <w:kern w:val="2"/>
          <w:sz w:val="24"/>
          <w:szCs w:val="24"/>
          <w:lang w:val="en-US" w:eastAsia="zh-CN" w:bidi="ar-SA"/>
        </w:rPr>
      </w:pPr>
      <w:r>
        <w:drawing>
          <wp:inline distT="0" distB="0" distL="114300" distR="114300">
            <wp:extent cx="5271135" cy="2647315"/>
            <wp:effectExtent l="0" t="0" r="12065" b="6985"/>
            <wp:docPr id="6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4"/>
                    <pic:cNvPicPr>
                      <a:picLocks noChangeAspect="1"/>
                    </pic:cNvPicPr>
                  </pic:nvPicPr>
                  <pic:blipFill>
                    <a:blip r:embed="rId60"/>
                    <a:stretch>
                      <a:fillRect/>
                    </a:stretch>
                  </pic:blipFill>
                  <pic:spPr>
                    <a:xfrm>
                      <a:off x="0" y="0"/>
                      <a:ext cx="5271135" cy="2647315"/>
                    </a:xfrm>
                    <a:prstGeom prst="rect">
                      <a:avLst/>
                    </a:prstGeom>
                    <a:noFill/>
                    <a:ln>
                      <a:noFill/>
                    </a:ln>
                  </pic:spPr>
                </pic:pic>
              </a:graphicData>
            </a:graphic>
          </wp:inline>
        </w:drawing>
      </w:r>
    </w:p>
    <w:p w14:paraId="0B55F8D4">
      <w:pPr>
        <w:widowControl w:val="0"/>
        <w:numPr>
          <w:ilvl w:val="0"/>
          <w:numId w:val="0"/>
        </w:numPr>
        <w:spacing w:line="360" w:lineRule="auto"/>
        <w:ind w:left="0" w:leftChars="0" w:firstLine="480" w:firstLineChars="200"/>
        <w:jc w:val="both"/>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“武官寨镇、郑口镇、房庄镇、里老乡”等非雄县乡镇名称</w:t>
      </w:r>
    </w:p>
    <w:p w14:paraId="7641440F">
      <w:pPr>
        <w:widowControl w:val="0"/>
        <w:numPr>
          <w:ilvl w:val="0"/>
          <w:numId w:val="0"/>
        </w:numPr>
        <w:spacing w:line="360" w:lineRule="auto"/>
        <w:ind w:left="0" w:leftChars="0" w:firstLine="420" w:firstLineChars="200"/>
        <w:jc w:val="both"/>
        <w:rPr>
          <w:rFonts w:hint="eastAsia" w:ascii="Times New Roman" w:hAnsi="Times New Roman" w:eastAsia="宋体" w:cs="Times New Roman"/>
          <w:b w:val="0"/>
          <w:bCs w:val="0"/>
          <w:kern w:val="2"/>
          <w:sz w:val="24"/>
          <w:szCs w:val="24"/>
          <w:lang w:val="en-US" w:eastAsia="zh-CN" w:bidi="ar-SA"/>
        </w:rPr>
      </w:pPr>
      <w:r>
        <w:drawing>
          <wp:inline distT="0" distB="0" distL="114300" distR="114300">
            <wp:extent cx="5270500" cy="2886075"/>
            <wp:effectExtent l="0" t="0" r="0" b="9525"/>
            <wp:docPr id="6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5"/>
                    <pic:cNvPicPr>
                      <a:picLocks noChangeAspect="1"/>
                    </pic:cNvPicPr>
                  </pic:nvPicPr>
                  <pic:blipFill>
                    <a:blip r:embed="rId61"/>
                    <a:stretch>
                      <a:fillRect/>
                    </a:stretch>
                  </pic:blipFill>
                  <pic:spPr>
                    <a:xfrm>
                      <a:off x="0" y="0"/>
                      <a:ext cx="5270500" cy="2886075"/>
                    </a:xfrm>
                    <a:prstGeom prst="rect">
                      <a:avLst/>
                    </a:prstGeom>
                    <a:noFill/>
                    <a:ln>
                      <a:noFill/>
                    </a:ln>
                  </pic:spPr>
                </pic:pic>
              </a:graphicData>
            </a:graphic>
          </wp:inline>
        </w:drawing>
      </w:r>
    </w:p>
    <w:p w14:paraId="0E8BBAEB">
      <w:pPr>
        <w:widowControl w:val="0"/>
        <w:numPr>
          <w:ilvl w:val="0"/>
          <w:numId w:val="0"/>
        </w:numPr>
        <w:spacing w:line="360" w:lineRule="auto"/>
        <w:ind w:left="0" w:leftChars="0" w:firstLine="480" w:firstLineChars="200"/>
        <w:jc w:val="both"/>
        <w:rPr>
          <w:rFonts w:hint="default"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“建国镇林地速效钾均值为178.08mg/kg”，</w:t>
      </w:r>
      <w:r>
        <w:rPr>
          <w:rFonts w:hint="default" w:ascii="Times New Roman" w:hAnsi="Times New Roman" w:eastAsia="宋体" w:cs="Times New Roman"/>
          <w:b w:val="0"/>
          <w:bCs w:val="0"/>
          <w:kern w:val="2"/>
          <w:sz w:val="24"/>
          <w:szCs w:val="24"/>
          <w:lang w:val="en-US" w:eastAsia="zh-CN" w:bidi="ar-SA"/>
        </w:rPr>
        <w:t>“建国镇”同样非雄县乡镇。</w:t>
      </w:r>
    </w:p>
    <w:p w14:paraId="78B7E029">
      <w:pPr>
        <w:widowControl w:val="0"/>
        <w:numPr>
          <w:ilvl w:val="0"/>
          <w:numId w:val="0"/>
        </w:numPr>
        <w:spacing w:line="360" w:lineRule="auto"/>
        <w:ind w:left="0" w:leftChars="0" w:firstLine="420" w:firstLineChars="200"/>
        <w:jc w:val="both"/>
        <w:rPr>
          <w:rFonts w:hint="default" w:ascii="Times New Roman" w:hAnsi="Times New Roman" w:eastAsia="宋体" w:cs="Times New Roman"/>
          <w:b w:val="0"/>
          <w:bCs w:val="0"/>
          <w:kern w:val="2"/>
          <w:sz w:val="24"/>
          <w:szCs w:val="24"/>
          <w:lang w:val="en-US" w:eastAsia="zh-CN" w:bidi="ar-SA"/>
        </w:rPr>
      </w:pPr>
      <w:r>
        <w:drawing>
          <wp:inline distT="0" distB="0" distL="114300" distR="114300">
            <wp:extent cx="5270500" cy="1188720"/>
            <wp:effectExtent l="0" t="0" r="0" b="5080"/>
            <wp:docPr id="62"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6"/>
                    <pic:cNvPicPr>
                      <a:picLocks noChangeAspect="1"/>
                    </pic:cNvPicPr>
                  </pic:nvPicPr>
                  <pic:blipFill>
                    <a:blip r:embed="rId62"/>
                    <a:stretch>
                      <a:fillRect/>
                    </a:stretch>
                  </pic:blipFill>
                  <pic:spPr>
                    <a:xfrm>
                      <a:off x="0" y="0"/>
                      <a:ext cx="5270500" cy="1188720"/>
                    </a:xfrm>
                    <a:prstGeom prst="rect">
                      <a:avLst/>
                    </a:prstGeom>
                    <a:noFill/>
                    <a:ln>
                      <a:noFill/>
                    </a:ln>
                  </pic:spPr>
                </pic:pic>
              </a:graphicData>
            </a:graphic>
          </wp:inline>
        </w:drawing>
      </w:r>
    </w:p>
    <w:p w14:paraId="605A265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(二)分析不足</w:t>
      </w:r>
    </w:p>
    <w:p w14:paraId="5EDC525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lang w:val="en-US" w:eastAsia="zh-CN"/>
        </w:rPr>
        <w:t>分析不深入、仅就数据论数据</w:t>
      </w:r>
    </w:p>
    <w:p w14:paraId="292D781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22255AAA">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(三)统计表与规范性问题</w:t>
      </w:r>
    </w:p>
    <w:p w14:paraId="5295CB1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“表2.33 雄县不同土壤类型土壤有效锌”，但表内实际列出的是有效铜的数据，表头与内容不符</w:t>
      </w:r>
    </w:p>
    <w:p w14:paraId="05757AD8">
      <w:pPr>
        <w:numPr>
          <w:ilvl w:val="0"/>
          <w:numId w:val="0"/>
        </w:numPr>
        <w:spacing w:line="360" w:lineRule="auto"/>
        <w:ind w:firstLine="420" w:firstLineChars="200"/>
        <w:jc w:val="both"/>
        <w:rPr>
          <w:rFonts w:hint="default" w:ascii="Times New Roman" w:hAnsi="Times New Roman" w:eastAsia="宋体" w:cs="Times New Roman"/>
          <w:b w:val="0"/>
          <w:bCs w:val="0"/>
          <w:sz w:val="24"/>
          <w:szCs w:val="24"/>
          <w:highlight w:val="none"/>
          <w:lang w:val="en-US" w:eastAsia="zh-CN"/>
        </w:rPr>
      </w:pPr>
      <w:r>
        <w:rPr>
          <w:highlight w:val="none"/>
        </w:rPr>
        <w:drawing>
          <wp:inline distT="0" distB="0" distL="114300" distR="114300">
            <wp:extent cx="5271135" cy="4098290"/>
            <wp:effectExtent l="0" t="0" r="12065" b="3810"/>
            <wp:docPr id="6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3"/>
                    <pic:cNvPicPr>
                      <a:picLocks noChangeAspect="1"/>
                    </pic:cNvPicPr>
                  </pic:nvPicPr>
                  <pic:blipFill>
                    <a:blip r:embed="rId63"/>
                    <a:stretch>
                      <a:fillRect/>
                    </a:stretch>
                  </pic:blipFill>
                  <pic:spPr>
                    <a:xfrm>
                      <a:off x="0" y="0"/>
                      <a:ext cx="5271135" cy="4098290"/>
                    </a:xfrm>
                    <a:prstGeom prst="rect">
                      <a:avLst/>
                    </a:prstGeom>
                    <a:noFill/>
                    <a:ln>
                      <a:noFill/>
                    </a:ln>
                  </pic:spPr>
                </pic:pic>
              </a:graphicData>
            </a:graphic>
          </wp:inline>
        </w:drawing>
      </w:r>
    </w:p>
    <w:p w14:paraId="259EF2D6">
      <w:pPr>
        <w:numPr>
          <w:ilvl w:val="0"/>
          <w:numId w:val="0"/>
        </w:numPr>
        <w:spacing w:line="360" w:lineRule="auto"/>
        <w:jc w:val="both"/>
        <w:rPr>
          <w:rFonts w:hint="default"/>
          <w:b/>
          <w:bCs/>
          <w:sz w:val="24"/>
          <w:szCs w:val="24"/>
          <w:highlight w:val="none"/>
          <w:lang w:val="en-US" w:eastAsia="zh-CN"/>
        </w:rPr>
      </w:pPr>
      <w:r>
        <w:rPr>
          <w:rFonts w:hint="eastAsia"/>
          <w:b/>
          <w:bCs/>
          <w:sz w:val="24"/>
          <w:szCs w:val="24"/>
          <w:highlight w:val="none"/>
          <w:lang w:val="en-US" w:eastAsia="zh-CN"/>
        </w:rPr>
        <w:t>(四)分析报告未按导引或规范要求</w:t>
      </w:r>
    </w:p>
    <w:p w14:paraId="2B42AA89">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报告中有些地方的标准未明确说明。</w:t>
      </w:r>
    </w:p>
    <w:p w14:paraId="71B26962">
      <w:pPr>
        <w:numPr>
          <w:ilvl w:val="0"/>
          <w:numId w:val="0"/>
        </w:numPr>
        <w:spacing w:line="360" w:lineRule="auto"/>
        <w:ind w:firstLine="42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drawing>
          <wp:inline distT="0" distB="0" distL="114300" distR="114300">
            <wp:extent cx="5271135" cy="917575"/>
            <wp:effectExtent l="0" t="0" r="12065" b="9525"/>
            <wp:docPr id="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
                    <pic:cNvPicPr>
                      <a:picLocks noChangeAspect="1"/>
                    </pic:cNvPicPr>
                  </pic:nvPicPr>
                  <pic:blipFill>
                    <a:blip r:embed="rId49"/>
                    <a:stretch>
                      <a:fillRect/>
                    </a:stretch>
                  </pic:blipFill>
                  <pic:spPr>
                    <a:xfrm>
                      <a:off x="0" y="0"/>
                      <a:ext cx="5271135" cy="917575"/>
                    </a:xfrm>
                    <a:prstGeom prst="rect">
                      <a:avLst/>
                    </a:prstGeom>
                    <a:noFill/>
                    <a:ln>
                      <a:noFill/>
                    </a:ln>
                  </pic:spPr>
                </pic:pic>
              </a:graphicData>
            </a:graphic>
          </wp:inline>
        </w:drawing>
      </w:r>
    </w:p>
    <w:p w14:paraId="4C51B231">
      <w:pPr>
        <w:numPr>
          <w:ilvl w:val="0"/>
          <w:numId w:val="0"/>
        </w:numPr>
        <w:spacing w:line="360" w:lineRule="auto"/>
        <w:jc w:val="both"/>
        <w:rPr>
          <w:rFonts w:hint="default"/>
          <w:b/>
          <w:bCs/>
          <w:sz w:val="24"/>
          <w:szCs w:val="24"/>
          <w:highlight w:val="none"/>
          <w:lang w:val="en-US" w:eastAsia="zh-CN"/>
        </w:rPr>
      </w:pPr>
      <w:r>
        <w:rPr>
          <w:rFonts w:hint="eastAsia"/>
          <w:b/>
          <w:bCs/>
          <w:sz w:val="24"/>
          <w:szCs w:val="24"/>
          <w:highlight w:val="none"/>
          <w:lang w:val="en-US" w:eastAsia="zh-CN"/>
        </w:rPr>
        <w:t>(五)现状分析不深入</w:t>
      </w:r>
    </w:p>
    <w:p w14:paraId="02CB4C0D">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default" w:ascii="Times New Roman" w:hAnsi="Times New Roman" w:eastAsia="宋体" w:cs="Times New Roman"/>
          <w:b w:val="0"/>
          <w:bCs w:val="0"/>
          <w:sz w:val="24"/>
          <w:szCs w:val="24"/>
          <w:highlight w:val="none"/>
          <w:lang w:val="en-US" w:eastAsia="zh-CN"/>
        </w:rPr>
        <w:t>结合当地农业生产方式等进行成因分析、仅对表格数据进行简单文字</w:t>
      </w:r>
      <w:r>
        <w:rPr>
          <w:rFonts w:hint="eastAsia" w:ascii="Times New Roman" w:hAnsi="Times New Roman" w:eastAsia="宋体" w:cs="Times New Roman"/>
          <w:b w:val="0"/>
          <w:bCs w:val="0"/>
          <w:sz w:val="24"/>
          <w:szCs w:val="24"/>
          <w:highlight w:val="none"/>
          <w:lang w:val="en-US" w:eastAsia="zh-CN"/>
        </w:rPr>
        <w:t>表述；对与土壤类型无关的属性进行分析，如速磷、速钾</w:t>
      </w:r>
    </w:p>
    <w:p w14:paraId="6BC2A69B">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24DE8D4A">
      <w:pPr>
        <w:numPr>
          <w:ilvl w:val="0"/>
          <w:numId w:val="14"/>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一票否决</w:t>
      </w:r>
    </w:p>
    <w:p w14:paraId="431C7E11">
      <w:pPr>
        <w:numPr>
          <w:ilvl w:val="0"/>
          <w:numId w:val="18"/>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剔除样点过多，且无明确的逐个样点剔除说明</w:t>
      </w:r>
    </w:p>
    <w:p w14:paraId="6AEF4D9E">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7DC06A04">
      <w:pPr>
        <w:numPr>
          <w:ilvl w:val="0"/>
          <w:numId w:val="18"/>
        </w:numPr>
        <w:spacing w:line="360" w:lineRule="auto"/>
        <w:ind w:left="0" w:leftChars="0" w:firstLine="0" w:firstLineChars="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环境变量制备仅包括部分成土要素，未针对指标特征筛选环境变量，造成入模环境变量不合理</w:t>
      </w:r>
    </w:p>
    <w:p w14:paraId="1AA49C61">
      <w:pPr>
        <w:numPr>
          <w:ilvl w:val="0"/>
          <w:numId w:val="0"/>
        </w:numPr>
        <w:spacing w:line="360" w:lineRule="auto"/>
        <w:ind w:firstLine="480" w:firstLineChars="200"/>
        <w:jc w:val="both"/>
        <w:rPr>
          <w:rFonts w:hint="eastAsia" w:ascii="Times New Roman" w:hAnsi="Times New Roman" w:eastAsia="宋体" w:cs="Times New Roman"/>
          <w:b w:val="0"/>
          <w:bCs w:val="0"/>
          <w:color w:val="FF0000"/>
          <w:sz w:val="24"/>
          <w:szCs w:val="24"/>
          <w:highlight w:val="none"/>
          <w:lang w:val="en-US" w:eastAsia="zh-CN"/>
        </w:rPr>
      </w:pPr>
      <w:r>
        <w:rPr>
          <w:rFonts w:hint="eastAsia" w:ascii="Times New Roman" w:hAnsi="Times New Roman" w:eastAsia="宋体" w:cs="Times New Roman"/>
          <w:b w:val="0"/>
          <w:bCs w:val="0"/>
          <w:color w:val="FF0000"/>
          <w:sz w:val="24"/>
          <w:szCs w:val="24"/>
          <w:highlight w:val="none"/>
          <w:lang w:val="en-US" w:eastAsia="zh-CN"/>
        </w:rPr>
        <w:t>未针对不同属性的成土过程差异筛选特异性环境变量</w:t>
      </w:r>
    </w:p>
    <w:p w14:paraId="0A4B8D0A">
      <w:pPr>
        <w:numPr>
          <w:ilvl w:val="0"/>
          <w:numId w:val="18"/>
        </w:numPr>
        <w:spacing w:line="360" w:lineRule="auto"/>
        <w:ind w:left="0" w:leftChars="0" w:firstLine="0" w:firstLineChars="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山地丘陵区采用普通克里格或IDW模型</w:t>
      </w:r>
    </w:p>
    <w:p w14:paraId="271667D1">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2072AC6D">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(四)制图结果空间分布明显与实际不符（如DEM高，PH低的规律）</w:t>
      </w:r>
    </w:p>
    <w:p w14:paraId="17FC3261">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1DA36DB4">
      <w:pPr>
        <w:numPr>
          <w:ilvl w:val="0"/>
          <w:numId w:val="0"/>
        </w:numPr>
        <w:spacing w:line="360" w:lineRule="auto"/>
        <w:jc w:val="both"/>
        <w:rPr>
          <w:rFonts w:hint="default" w:ascii="Times New Roman" w:hAnsi="Times New Roman" w:eastAsia="宋体" w:cs="Times New Roman"/>
          <w:b w:val="0"/>
          <w:bCs w:val="0"/>
          <w:sz w:val="24"/>
          <w:szCs w:val="24"/>
          <w:highlight w:val="none"/>
          <w:lang w:val="en-US" w:eastAsia="zh-CN"/>
        </w:rPr>
      </w:pPr>
    </w:p>
    <w:p w14:paraId="4A7CB3A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p>
    <w:p w14:paraId="46325B0A">
      <w:pPr>
        <w:rPr>
          <w:rFonts w:hint="eastAsia"/>
          <w:sz w:val="32"/>
          <w:szCs w:val="32"/>
          <w:lang w:val="en-US" w:eastAsia="zh-CN"/>
        </w:rPr>
      </w:pPr>
    </w:p>
    <w:p w14:paraId="56E6C250">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第三部分：土壤退化、障碍与改良成果质控意见</w:t>
      </w:r>
    </w:p>
    <w:p w14:paraId="70937E64">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第四部分：土壤农业利用适宜性评价成果质控意见</w:t>
      </w:r>
    </w:p>
    <w:p w14:paraId="266B0D62">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第五部分：耕地质量等级评价成果质控意见</w:t>
      </w:r>
    </w:p>
    <w:p w14:paraId="21E24481">
      <w:pPr>
        <w:keepNext w:val="0"/>
        <w:keepLines w:val="0"/>
        <w:pageBreakBefore w:val="0"/>
        <w:widowControl w:val="0"/>
        <w:kinsoku/>
        <w:wordWrap/>
        <w:overflowPunct/>
        <w:topLinePunct w:val="0"/>
        <w:autoSpaceDE/>
        <w:autoSpaceDN/>
        <w:bidi w:val="0"/>
        <w:adjustRightInd/>
        <w:snapToGrid/>
        <w:jc w:val="center"/>
        <w:textAlignment w:val="auto"/>
        <w:rPr>
          <w:rFonts w:hint="default"/>
          <w:sz w:val="32"/>
          <w:szCs w:val="32"/>
          <w:lang w:val="en-US" w:eastAsia="zh-CN"/>
        </w:rPr>
      </w:pPr>
      <w:r>
        <w:rPr>
          <w:rFonts w:hint="eastAsia"/>
          <w:sz w:val="32"/>
          <w:szCs w:val="32"/>
          <w:lang w:val="en-US" w:eastAsia="zh-CN"/>
        </w:rPr>
        <w:t>第六部分：土特产品土壤适宜性评价成果质控意见</w:t>
      </w:r>
    </w:p>
    <w:p w14:paraId="0CEBA02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03092B"/>
    <w:multiLevelType w:val="singleLevel"/>
    <w:tmpl w:val="8203092B"/>
    <w:lvl w:ilvl="0" w:tentative="0">
      <w:start w:val="1"/>
      <w:numFmt w:val="decimal"/>
      <w:suff w:val="nothing"/>
      <w:lvlText w:val="（%1）"/>
      <w:lvlJc w:val="left"/>
    </w:lvl>
  </w:abstractNum>
  <w:abstractNum w:abstractNumId="1">
    <w:nsid w:val="85FBDEF4"/>
    <w:multiLevelType w:val="singleLevel"/>
    <w:tmpl w:val="85FBDEF4"/>
    <w:lvl w:ilvl="0" w:tentative="0">
      <w:start w:val="1"/>
      <w:numFmt w:val="decimal"/>
      <w:suff w:val="nothing"/>
      <w:lvlText w:val="（%1）"/>
      <w:lvlJc w:val="left"/>
    </w:lvl>
  </w:abstractNum>
  <w:abstractNum w:abstractNumId="2">
    <w:nsid w:val="86AF1D9A"/>
    <w:multiLevelType w:val="singleLevel"/>
    <w:tmpl w:val="86AF1D9A"/>
    <w:lvl w:ilvl="0" w:tentative="0">
      <w:start w:val="1"/>
      <w:numFmt w:val="decimal"/>
      <w:suff w:val="space"/>
      <w:lvlText w:val="%1."/>
      <w:lvlJc w:val="left"/>
    </w:lvl>
  </w:abstractNum>
  <w:abstractNum w:abstractNumId="3">
    <w:nsid w:val="94EAE951"/>
    <w:multiLevelType w:val="singleLevel"/>
    <w:tmpl w:val="94EAE951"/>
    <w:lvl w:ilvl="0" w:tentative="0">
      <w:start w:val="1"/>
      <w:numFmt w:val="chineseCounting"/>
      <w:suff w:val="nothing"/>
      <w:lvlText w:val="%1、"/>
      <w:lvlJc w:val="left"/>
      <w:rPr>
        <w:rFonts w:hint="eastAsia"/>
      </w:rPr>
    </w:lvl>
  </w:abstractNum>
  <w:abstractNum w:abstractNumId="4">
    <w:nsid w:val="9715B529"/>
    <w:multiLevelType w:val="singleLevel"/>
    <w:tmpl w:val="9715B529"/>
    <w:lvl w:ilvl="0" w:tentative="0">
      <w:start w:val="1"/>
      <w:numFmt w:val="decimal"/>
      <w:suff w:val="nothing"/>
      <w:lvlText w:val="（%1）"/>
      <w:lvlJc w:val="left"/>
    </w:lvl>
  </w:abstractNum>
  <w:abstractNum w:abstractNumId="5">
    <w:nsid w:val="A1CD3B09"/>
    <w:multiLevelType w:val="singleLevel"/>
    <w:tmpl w:val="A1CD3B09"/>
    <w:lvl w:ilvl="0" w:tentative="0">
      <w:start w:val="1"/>
      <w:numFmt w:val="chineseCounting"/>
      <w:lvlText w:val="(%1)"/>
      <w:lvlJc w:val="left"/>
      <w:pPr>
        <w:tabs>
          <w:tab w:val="left" w:pos="312"/>
        </w:tabs>
      </w:pPr>
      <w:rPr>
        <w:rFonts w:hint="eastAsia"/>
      </w:rPr>
    </w:lvl>
  </w:abstractNum>
  <w:abstractNum w:abstractNumId="6">
    <w:nsid w:val="AB445BD3"/>
    <w:multiLevelType w:val="singleLevel"/>
    <w:tmpl w:val="AB445BD3"/>
    <w:lvl w:ilvl="0" w:tentative="0">
      <w:start w:val="1"/>
      <w:numFmt w:val="decimal"/>
      <w:suff w:val="nothing"/>
      <w:lvlText w:val="（%1）"/>
      <w:lvlJc w:val="left"/>
    </w:lvl>
  </w:abstractNum>
  <w:abstractNum w:abstractNumId="7">
    <w:nsid w:val="BFC5C279"/>
    <w:multiLevelType w:val="singleLevel"/>
    <w:tmpl w:val="BFC5C279"/>
    <w:lvl w:ilvl="0" w:tentative="0">
      <w:start w:val="1"/>
      <w:numFmt w:val="chineseCounting"/>
      <w:suff w:val="nothing"/>
      <w:lvlText w:val="（%1）"/>
      <w:lvlJc w:val="left"/>
      <w:rPr>
        <w:rFonts w:hint="eastAsia"/>
      </w:rPr>
    </w:lvl>
  </w:abstractNum>
  <w:abstractNum w:abstractNumId="8">
    <w:nsid w:val="D2E9301D"/>
    <w:multiLevelType w:val="singleLevel"/>
    <w:tmpl w:val="D2E9301D"/>
    <w:lvl w:ilvl="0" w:tentative="0">
      <w:start w:val="1"/>
      <w:numFmt w:val="decimal"/>
      <w:suff w:val="nothing"/>
      <w:lvlText w:val="（%1）"/>
      <w:lvlJc w:val="left"/>
    </w:lvl>
  </w:abstractNum>
  <w:abstractNum w:abstractNumId="9">
    <w:nsid w:val="E05C426E"/>
    <w:multiLevelType w:val="singleLevel"/>
    <w:tmpl w:val="E05C426E"/>
    <w:lvl w:ilvl="0" w:tentative="0">
      <w:start w:val="1"/>
      <w:numFmt w:val="decimal"/>
      <w:suff w:val="nothing"/>
      <w:lvlText w:val="（%1）"/>
      <w:lvlJc w:val="left"/>
    </w:lvl>
  </w:abstractNum>
  <w:abstractNum w:abstractNumId="10">
    <w:nsid w:val="E59200AC"/>
    <w:multiLevelType w:val="singleLevel"/>
    <w:tmpl w:val="E59200AC"/>
    <w:lvl w:ilvl="0" w:tentative="0">
      <w:start w:val="4"/>
      <w:numFmt w:val="decimal"/>
      <w:suff w:val="space"/>
      <w:lvlText w:val="%1."/>
      <w:lvlJc w:val="left"/>
    </w:lvl>
  </w:abstractNum>
  <w:abstractNum w:abstractNumId="11">
    <w:nsid w:val="F9BF65ED"/>
    <w:multiLevelType w:val="singleLevel"/>
    <w:tmpl w:val="F9BF65ED"/>
    <w:lvl w:ilvl="0" w:tentative="0">
      <w:start w:val="2"/>
      <w:numFmt w:val="decimal"/>
      <w:lvlText w:val="%1."/>
      <w:lvlJc w:val="left"/>
      <w:pPr>
        <w:tabs>
          <w:tab w:val="left" w:pos="312"/>
        </w:tabs>
      </w:pPr>
    </w:lvl>
  </w:abstractNum>
  <w:abstractNum w:abstractNumId="12">
    <w:nsid w:val="3B50BEA1"/>
    <w:multiLevelType w:val="singleLevel"/>
    <w:tmpl w:val="3B50BEA1"/>
    <w:lvl w:ilvl="0" w:tentative="0">
      <w:start w:val="1"/>
      <w:numFmt w:val="decimal"/>
      <w:suff w:val="nothing"/>
      <w:lvlText w:val="（%1）"/>
      <w:lvlJc w:val="left"/>
    </w:lvl>
  </w:abstractNum>
  <w:abstractNum w:abstractNumId="13">
    <w:nsid w:val="40E1F2E8"/>
    <w:multiLevelType w:val="singleLevel"/>
    <w:tmpl w:val="40E1F2E8"/>
    <w:lvl w:ilvl="0" w:tentative="0">
      <w:start w:val="1"/>
      <w:numFmt w:val="chineseCounting"/>
      <w:suff w:val="nothing"/>
      <w:lvlText w:val="%1、"/>
      <w:lvlJc w:val="left"/>
      <w:rPr>
        <w:rFonts w:hint="eastAsia"/>
      </w:rPr>
    </w:lvl>
  </w:abstractNum>
  <w:abstractNum w:abstractNumId="14">
    <w:nsid w:val="423CB36A"/>
    <w:multiLevelType w:val="singleLevel"/>
    <w:tmpl w:val="423CB36A"/>
    <w:lvl w:ilvl="0" w:tentative="0">
      <w:start w:val="1"/>
      <w:numFmt w:val="decimal"/>
      <w:suff w:val="nothing"/>
      <w:lvlText w:val="（%1）"/>
      <w:lvlJc w:val="left"/>
    </w:lvl>
  </w:abstractNum>
  <w:abstractNum w:abstractNumId="15">
    <w:nsid w:val="4854EF84"/>
    <w:multiLevelType w:val="singleLevel"/>
    <w:tmpl w:val="4854EF84"/>
    <w:lvl w:ilvl="0" w:tentative="0">
      <w:start w:val="2"/>
      <w:numFmt w:val="decimal"/>
      <w:suff w:val="nothing"/>
      <w:lvlText w:val="（%1）"/>
      <w:lvlJc w:val="left"/>
    </w:lvl>
  </w:abstractNum>
  <w:abstractNum w:abstractNumId="16">
    <w:nsid w:val="75D92306"/>
    <w:multiLevelType w:val="singleLevel"/>
    <w:tmpl w:val="75D92306"/>
    <w:lvl w:ilvl="0" w:tentative="0">
      <w:start w:val="4"/>
      <w:numFmt w:val="decimal"/>
      <w:lvlText w:val="%1."/>
      <w:lvlJc w:val="left"/>
      <w:pPr>
        <w:tabs>
          <w:tab w:val="left" w:pos="312"/>
        </w:tabs>
      </w:pPr>
    </w:lvl>
  </w:abstractNum>
  <w:abstractNum w:abstractNumId="17">
    <w:nsid w:val="77C0FEA5"/>
    <w:multiLevelType w:val="singleLevel"/>
    <w:tmpl w:val="77C0FEA5"/>
    <w:lvl w:ilvl="0" w:tentative="0">
      <w:start w:val="1"/>
      <w:numFmt w:val="decimal"/>
      <w:suff w:val="nothing"/>
      <w:lvlText w:val="（%1）"/>
      <w:lvlJc w:val="left"/>
    </w:lvl>
  </w:abstractNum>
  <w:num w:numId="1">
    <w:abstractNumId w:val="3"/>
  </w:num>
  <w:num w:numId="2">
    <w:abstractNumId w:val="7"/>
  </w:num>
  <w:num w:numId="3">
    <w:abstractNumId w:val="2"/>
  </w:num>
  <w:num w:numId="4">
    <w:abstractNumId w:val="4"/>
  </w:num>
  <w:num w:numId="5">
    <w:abstractNumId w:val="8"/>
  </w:num>
  <w:num w:numId="6">
    <w:abstractNumId w:val="6"/>
  </w:num>
  <w:num w:numId="7">
    <w:abstractNumId w:val="1"/>
  </w:num>
  <w:num w:numId="8">
    <w:abstractNumId w:val="10"/>
  </w:num>
  <w:num w:numId="9">
    <w:abstractNumId w:val="17"/>
  </w:num>
  <w:num w:numId="10">
    <w:abstractNumId w:val="12"/>
  </w:num>
  <w:num w:numId="11">
    <w:abstractNumId w:val="14"/>
  </w:num>
  <w:num w:numId="12">
    <w:abstractNumId w:val="0"/>
  </w:num>
  <w:num w:numId="13">
    <w:abstractNumId w:val="9"/>
  </w:num>
  <w:num w:numId="14">
    <w:abstractNumId w:val="13"/>
  </w:num>
  <w:num w:numId="15">
    <w:abstractNumId w:val="16"/>
  </w:num>
  <w:num w:numId="16">
    <w:abstractNumId w:val="11"/>
  </w:num>
  <w:num w:numId="17">
    <w:abstractNumId w:val="15"/>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5D27D5"/>
    <w:rsid w:val="00EE6D96"/>
    <w:rsid w:val="02CB036C"/>
    <w:rsid w:val="095B4119"/>
    <w:rsid w:val="15EE5FD1"/>
    <w:rsid w:val="17F16BC0"/>
    <w:rsid w:val="18797770"/>
    <w:rsid w:val="1AA67F47"/>
    <w:rsid w:val="206F7715"/>
    <w:rsid w:val="20A538E9"/>
    <w:rsid w:val="22D65B11"/>
    <w:rsid w:val="23645C20"/>
    <w:rsid w:val="27CB7F20"/>
    <w:rsid w:val="289B4DD5"/>
    <w:rsid w:val="2B086ABE"/>
    <w:rsid w:val="343241B7"/>
    <w:rsid w:val="35035260"/>
    <w:rsid w:val="3A3C4CAD"/>
    <w:rsid w:val="3F704E97"/>
    <w:rsid w:val="40D93256"/>
    <w:rsid w:val="42975177"/>
    <w:rsid w:val="44B70F53"/>
    <w:rsid w:val="54495F38"/>
    <w:rsid w:val="555B2926"/>
    <w:rsid w:val="55807CEC"/>
    <w:rsid w:val="58E25986"/>
    <w:rsid w:val="58F4465D"/>
    <w:rsid w:val="5C990189"/>
    <w:rsid w:val="5D4A7966"/>
    <w:rsid w:val="67E601AA"/>
    <w:rsid w:val="684306D8"/>
    <w:rsid w:val="69196036"/>
    <w:rsid w:val="735D27D5"/>
    <w:rsid w:val="75652C8D"/>
    <w:rsid w:val="77B4714E"/>
    <w:rsid w:val="79AD35DE"/>
    <w:rsid w:val="7C4C2433"/>
    <w:rsid w:val="7D540500"/>
    <w:rsid w:val="7FF86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toc 3"/>
    <w:basedOn w:val="1"/>
    <w:next w:val="1"/>
    <w:qFormat/>
    <w:uiPriority w:val="0"/>
    <w:pPr>
      <w:ind w:left="840" w:leftChars="400"/>
    </w:pPr>
  </w:style>
  <w:style w:type="paragraph" w:styleId="3">
    <w:name w:val="toc 1"/>
    <w:basedOn w:val="1"/>
    <w:next w:val="1"/>
    <w:qFormat/>
    <w:uiPriority w:val="0"/>
  </w:style>
  <w:style w:type="paragraph" w:styleId="4">
    <w:name w:val="toc 2"/>
    <w:basedOn w:val="1"/>
    <w:next w:val="1"/>
    <w:qFormat/>
    <w:uiPriority w:val="0"/>
    <w:pPr>
      <w:ind w:left="420" w:leftChars="200"/>
    </w:p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5" Type="http://schemas.openxmlformats.org/officeDocument/2006/relationships/fontTable" Target="fontTable.xml"/><Relationship Id="rId64" Type="http://schemas.openxmlformats.org/officeDocument/2006/relationships/numbering" Target="numbering.xml"/><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jpe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10148</Words>
  <Characters>10884</Characters>
  <Lines>0</Lines>
  <Paragraphs>0</Paragraphs>
  <TotalTime>0</TotalTime>
  <ScaleCrop>false</ScaleCrop>
  <LinksUpToDate>false</LinksUpToDate>
  <CharactersWithSpaces>11021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2026-07-09T11:10:00Z</dcterms:created>
  <dc:creator>颖</dc:creator>
  <cp:lastModifiedBy>行</cp:lastModifiedBy>
  <dcterms:modified xsi:type="dcterms:W3CDTF">2026-07-20T02:15:25Z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094CFF7C31734C419109A51EF7AD68B9_13</vt:lpwstr>
  </property>
  <property fmtid="{D5CDD505-2E9C-101B-9397-08002B2CF9AE}" pid="4" name="KSOTemplateDocerSaveRecord">
    <vt:lpwstr>eyJoZGlkIjoiMjg1ZTFhZTI0N2UzMmIxMTc0YjNhZTU1ZTllNTMzMDUiLCJ1c2VySWQiOiIxMjM2NzI1Mjk2In0=</vt:lpwstr>
  </property>
</Properties>
</file>