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74005C">
      <w:pPr>
        <w:jc w:val="center"/>
        <w:rPr>
          <w:rFonts w:hint="eastAsia"/>
          <w:sz w:val="28"/>
          <w:szCs w:val="36"/>
          <w:lang w:val="en-US" w:eastAsia="zh-CN"/>
        </w:rPr>
      </w:pPr>
    </w:p>
    <w:p w14:paraId="300155C3">
      <w:pPr>
        <w:jc w:val="center"/>
        <w:rPr>
          <w:rFonts w:hint="eastAsia"/>
          <w:sz w:val="28"/>
          <w:szCs w:val="36"/>
          <w:lang w:val="en-US" w:eastAsia="zh-CN"/>
        </w:rPr>
      </w:pPr>
    </w:p>
    <w:p w14:paraId="75494991">
      <w:pPr>
        <w:jc w:val="center"/>
        <w:rPr>
          <w:rFonts w:hint="eastAsia"/>
          <w:sz w:val="28"/>
          <w:szCs w:val="36"/>
          <w:lang w:val="en-US" w:eastAsia="zh-CN"/>
        </w:rPr>
      </w:pPr>
    </w:p>
    <w:p w14:paraId="533D2CBD">
      <w:pPr>
        <w:jc w:val="center"/>
        <w:rPr>
          <w:rFonts w:hint="eastAsia"/>
          <w:sz w:val="28"/>
          <w:szCs w:val="36"/>
          <w:lang w:val="en-US" w:eastAsia="zh-CN"/>
        </w:rPr>
      </w:pPr>
    </w:p>
    <w:p w14:paraId="16C207F3">
      <w:pPr>
        <w:jc w:val="center"/>
        <w:rPr>
          <w:rFonts w:hint="eastAsia"/>
          <w:sz w:val="36"/>
          <w:szCs w:val="44"/>
          <w:lang w:val="en-US" w:eastAsia="zh-CN"/>
        </w:rPr>
      </w:pPr>
      <w:r>
        <w:rPr>
          <w:rFonts w:hint="eastAsia"/>
          <w:sz w:val="36"/>
          <w:szCs w:val="44"/>
          <w:lang w:val="en-US" w:eastAsia="zh-CN"/>
        </w:rPr>
        <w:t>青龙县、抚宁区、卢龙县第三次全国土壤普查成果质控报告</w:t>
      </w:r>
    </w:p>
    <w:p w14:paraId="52D12471">
      <w:pPr>
        <w:jc w:val="right"/>
        <w:rPr>
          <w:rFonts w:hint="default"/>
          <w:sz w:val="36"/>
          <w:szCs w:val="44"/>
          <w:lang w:val="en-US" w:eastAsia="zh-CN"/>
        </w:rPr>
      </w:pPr>
      <w:r>
        <w:rPr>
          <w:rFonts w:hint="eastAsia"/>
          <w:sz w:val="36"/>
          <w:szCs w:val="44"/>
          <w:lang w:val="en-US" w:eastAsia="zh-CN"/>
        </w:rPr>
        <w:t>——以青龙县为例</w:t>
      </w:r>
    </w:p>
    <w:p w14:paraId="68B28691">
      <w:pPr>
        <w:jc w:val="center"/>
        <w:rPr>
          <w:rFonts w:hint="eastAsia"/>
          <w:sz w:val="36"/>
          <w:szCs w:val="44"/>
          <w:lang w:val="en-US" w:eastAsia="zh-CN"/>
        </w:rPr>
      </w:pPr>
      <w:r>
        <w:rPr>
          <w:rFonts w:hint="eastAsia"/>
          <w:sz w:val="36"/>
          <w:szCs w:val="44"/>
          <w:lang w:val="en-US" w:eastAsia="zh-CN"/>
        </w:rPr>
        <w:t>（第一轮）</w:t>
      </w:r>
    </w:p>
    <w:p w14:paraId="59CB007E">
      <w:pPr>
        <w:jc w:val="center"/>
        <w:rPr>
          <w:rFonts w:hint="eastAsia"/>
          <w:sz w:val="28"/>
          <w:szCs w:val="36"/>
          <w:lang w:val="en-US" w:eastAsia="zh-CN"/>
        </w:rPr>
      </w:pPr>
    </w:p>
    <w:p w14:paraId="63E619A4">
      <w:pPr>
        <w:jc w:val="center"/>
        <w:rPr>
          <w:rFonts w:hint="eastAsia"/>
          <w:sz w:val="28"/>
          <w:szCs w:val="36"/>
          <w:lang w:val="en-US" w:eastAsia="zh-CN"/>
        </w:rPr>
      </w:pPr>
    </w:p>
    <w:p w14:paraId="71F9684B">
      <w:pPr>
        <w:jc w:val="center"/>
        <w:rPr>
          <w:rFonts w:hint="eastAsia"/>
          <w:sz w:val="28"/>
          <w:szCs w:val="36"/>
          <w:lang w:val="en-US" w:eastAsia="zh-CN"/>
        </w:rPr>
      </w:pPr>
    </w:p>
    <w:p w14:paraId="30D3F2D2">
      <w:pPr>
        <w:jc w:val="center"/>
        <w:rPr>
          <w:rFonts w:hint="eastAsia"/>
          <w:sz w:val="28"/>
          <w:szCs w:val="36"/>
          <w:lang w:val="en-US" w:eastAsia="zh-CN"/>
        </w:rPr>
      </w:pPr>
    </w:p>
    <w:p w14:paraId="19FA743D">
      <w:pPr>
        <w:jc w:val="center"/>
        <w:rPr>
          <w:rFonts w:hint="eastAsia"/>
          <w:sz w:val="28"/>
          <w:szCs w:val="36"/>
          <w:lang w:val="en-US" w:eastAsia="zh-CN"/>
        </w:rPr>
      </w:pPr>
    </w:p>
    <w:p w14:paraId="69837041">
      <w:pPr>
        <w:jc w:val="center"/>
        <w:rPr>
          <w:rFonts w:hint="eastAsia"/>
          <w:sz w:val="28"/>
          <w:szCs w:val="36"/>
          <w:lang w:val="en-US" w:eastAsia="zh-CN"/>
        </w:rPr>
      </w:pPr>
    </w:p>
    <w:p w14:paraId="76CF88F3">
      <w:pPr>
        <w:jc w:val="center"/>
        <w:rPr>
          <w:rFonts w:hint="eastAsia"/>
          <w:sz w:val="28"/>
          <w:szCs w:val="36"/>
          <w:lang w:val="en-US" w:eastAsia="zh-CN"/>
        </w:rPr>
      </w:pPr>
    </w:p>
    <w:p w14:paraId="17A5C5E0">
      <w:pPr>
        <w:jc w:val="center"/>
        <w:rPr>
          <w:rFonts w:hint="eastAsia"/>
          <w:sz w:val="28"/>
          <w:szCs w:val="36"/>
          <w:lang w:val="en-US" w:eastAsia="zh-CN"/>
        </w:rPr>
      </w:pPr>
    </w:p>
    <w:p w14:paraId="1E82C99D">
      <w:pPr>
        <w:jc w:val="center"/>
        <w:rPr>
          <w:rFonts w:hint="eastAsia"/>
          <w:sz w:val="28"/>
          <w:szCs w:val="36"/>
          <w:lang w:val="en-US" w:eastAsia="zh-CN"/>
        </w:rPr>
      </w:pPr>
    </w:p>
    <w:p w14:paraId="032C8339">
      <w:pPr>
        <w:jc w:val="center"/>
        <w:rPr>
          <w:rFonts w:hint="eastAsia"/>
          <w:sz w:val="28"/>
          <w:szCs w:val="36"/>
          <w:lang w:val="en-US" w:eastAsia="zh-CN"/>
        </w:rPr>
      </w:pPr>
    </w:p>
    <w:p w14:paraId="7B6D09E1">
      <w:pPr>
        <w:jc w:val="center"/>
        <w:rPr>
          <w:rFonts w:hint="eastAsia"/>
          <w:sz w:val="28"/>
          <w:szCs w:val="36"/>
          <w:lang w:val="en-US" w:eastAsia="zh-CN"/>
        </w:rPr>
      </w:pPr>
    </w:p>
    <w:p w14:paraId="729F39C0">
      <w:pPr>
        <w:jc w:val="center"/>
        <w:rPr>
          <w:rFonts w:hint="eastAsia"/>
          <w:sz w:val="28"/>
          <w:szCs w:val="36"/>
          <w:lang w:val="en-US" w:eastAsia="zh-CN"/>
        </w:rPr>
      </w:pPr>
    </w:p>
    <w:p w14:paraId="1CBFFBA1">
      <w:pPr>
        <w:jc w:val="center"/>
        <w:rPr>
          <w:rFonts w:hint="eastAsia"/>
          <w:sz w:val="28"/>
          <w:szCs w:val="36"/>
          <w:lang w:val="en-US" w:eastAsia="zh-CN"/>
        </w:rPr>
      </w:pPr>
    </w:p>
    <w:p w14:paraId="45B1599E">
      <w:pPr>
        <w:jc w:val="center"/>
        <w:rPr>
          <w:rFonts w:hint="default"/>
          <w:sz w:val="28"/>
          <w:szCs w:val="36"/>
          <w:lang w:val="en-US" w:eastAsia="zh-CN"/>
        </w:rPr>
        <w:sectPr>
          <w:pgSz w:w="11906" w:h="16838"/>
          <w:pgMar w:top="1440" w:right="1800" w:bottom="1440" w:left="1800" w:header="851" w:footer="992" w:gutter="0"/>
          <w:cols w:space="425" w:num="1"/>
          <w:docGrid w:type="lines" w:linePitch="312" w:charSpace="0"/>
        </w:sectPr>
      </w:pPr>
      <w:r>
        <w:rPr>
          <w:rFonts w:hint="eastAsia"/>
          <w:sz w:val="28"/>
          <w:szCs w:val="36"/>
          <w:lang w:val="en-US" w:eastAsia="zh-CN"/>
        </w:rPr>
        <w:t>2026年7月15日</w:t>
      </w:r>
    </w:p>
    <w:sdt>
      <w:sdtPr>
        <w:rPr>
          <w:rFonts w:ascii="宋体" w:hAnsi="宋体" w:eastAsia="宋体" w:cstheme="minorBidi"/>
          <w:kern w:val="2"/>
          <w:sz w:val="21"/>
          <w:szCs w:val="24"/>
          <w:lang w:val="en-US" w:eastAsia="zh-CN" w:bidi="ar-SA"/>
        </w:rPr>
        <w:id w:val="147459549"/>
        <w15:color w:val="DBDBDB"/>
        <w:docPartObj>
          <w:docPartGallery w:val="Table of Contents"/>
          <w:docPartUnique/>
        </w:docPartObj>
      </w:sdtPr>
      <w:sdtEndPr>
        <w:rPr>
          <w:rFonts w:hint="default" w:asciiTheme="minorHAnsi" w:hAnsiTheme="minorHAnsi" w:eastAsiaTheme="minorEastAsia" w:cstheme="minorBidi"/>
          <w:kern w:val="2"/>
          <w:sz w:val="21"/>
          <w:szCs w:val="36"/>
          <w:lang w:val="en-US" w:eastAsia="zh-CN" w:bidi="ar-SA"/>
        </w:rPr>
      </w:sdtEndPr>
      <w:sdtContent>
        <w:p w14:paraId="1FEF4A56">
          <w:pPr>
            <w:spacing w:before="0" w:beforeLines="0" w:after="0" w:afterLines="0" w:line="240" w:lineRule="auto"/>
            <w:ind w:left="0" w:leftChars="0" w:right="0" w:rightChars="0" w:firstLine="0" w:firstLineChars="0"/>
            <w:jc w:val="center"/>
          </w:pPr>
          <w:r>
            <w:rPr>
              <w:rFonts w:ascii="宋体" w:hAnsi="宋体" w:eastAsia="宋体"/>
              <w:sz w:val="32"/>
              <w:szCs w:val="40"/>
            </w:rPr>
            <w:t>目录</w:t>
          </w:r>
        </w:p>
        <w:p w14:paraId="1E552959">
          <w:pPr>
            <w:pStyle w:val="3"/>
            <w:tabs>
              <w:tab w:val="right" w:leader="dot" w:pos="8306"/>
            </w:tabs>
          </w:pPr>
          <w:r>
            <w:rPr>
              <w:rFonts w:hint="default" w:asciiTheme="minorHAnsi" w:hAnsiTheme="minorHAnsi" w:eastAsiaTheme="minorEastAsia" w:cstheme="minorBidi"/>
              <w:kern w:val="2"/>
              <w:sz w:val="21"/>
              <w:szCs w:val="36"/>
              <w:lang w:val="en-US" w:eastAsia="zh-CN" w:bidi="ar-SA"/>
            </w:rPr>
            <w:fldChar w:fldCharType="begin"/>
          </w:r>
          <w:r>
            <w:rPr>
              <w:rFonts w:hint="default" w:asciiTheme="minorHAnsi" w:hAnsiTheme="minorHAnsi" w:eastAsiaTheme="minorEastAsia" w:cstheme="minorBidi"/>
              <w:kern w:val="2"/>
              <w:sz w:val="21"/>
              <w:szCs w:val="36"/>
              <w:lang w:val="en-US" w:eastAsia="zh-CN" w:bidi="ar-SA"/>
            </w:rPr>
            <w:instrText xml:space="preserve">TOC \o "1-2" \h \u </w:instrText>
          </w:r>
          <w:r>
            <w:rPr>
              <w:rFonts w:hint="default" w:asciiTheme="minorHAnsi" w:hAnsiTheme="minorHAnsi" w:eastAsiaTheme="minorEastAsia" w:cstheme="minorBidi"/>
              <w:kern w:val="2"/>
              <w:sz w:val="21"/>
              <w:szCs w:val="36"/>
              <w:lang w:val="en-US" w:eastAsia="zh-CN" w:bidi="ar-SA"/>
            </w:rPr>
            <w:fldChar w:fldCharType="separate"/>
          </w: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_Toc5483 </w:instrText>
          </w:r>
          <w:r>
            <w:rPr>
              <w:rFonts w:hint="default" w:asciiTheme="minorHAnsi" w:hAnsiTheme="minorHAnsi" w:eastAsiaTheme="minorEastAsia" w:cstheme="minorBidi"/>
              <w:kern w:val="2"/>
              <w:szCs w:val="36"/>
              <w:lang w:val="en-US" w:eastAsia="zh-CN" w:bidi="ar-SA"/>
            </w:rPr>
            <w:fldChar w:fldCharType="separate"/>
          </w:r>
          <w:r>
            <w:rPr>
              <w:rFonts w:hint="eastAsia"/>
              <w:szCs w:val="32"/>
              <w:lang w:val="en-US" w:eastAsia="zh-CN"/>
            </w:rPr>
            <w:t>第一部分：土壤类型图成果质控意见</w:t>
          </w:r>
          <w:r>
            <w:tab/>
          </w:r>
          <w:r>
            <w:fldChar w:fldCharType="begin"/>
          </w:r>
          <w:r>
            <w:instrText xml:space="preserve"> PAGEREF _Toc5483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04208FB1">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_Toc17825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szCs w:val="30"/>
              <w:lang w:eastAsia="zh-CN"/>
            </w:rPr>
            <w:t>一、 数据成果</w:t>
          </w:r>
          <w:r>
            <w:tab/>
          </w:r>
          <w:r>
            <w:fldChar w:fldCharType="begin"/>
          </w:r>
          <w:r>
            <w:instrText xml:space="preserve"> PAGEREF _Toc17825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56F8F7CB">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_Toc7394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szCs w:val="28"/>
              <w:lang w:eastAsia="zh-CN"/>
            </w:rPr>
            <w:t>（一）数据组织与完整性</w:t>
          </w:r>
          <w:r>
            <w:tab/>
          </w:r>
          <w:r>
            <w:fldChar w:fldCharType="begin"/>
          </w:r>
          <w:r>
            <w:instrText xml:space="preserve"> PAGEREF _Toc7394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0A48790B">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_Toc18472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（二）核心数据成果核查</w:t>
          </w:r>
          <w:r>
            <w:tab/>
          </w:r>
          <w:r>
            <w:fldChar w:fldCharType="begin"/>
          </w:r>
          <w:r>
            <w:instrText xml:space="preserve"> PAGEREF _Toc18472 \h </w:instrText>
          </w:r>
          <w:r>
            <w:fldChar w:fldCharType="separate"/>
          </w:r>
          <w:r>
            <w:t>6</w:t>
          </w:r>
          <w:r>
            <w:fldChar w:fldCharType="end"/>
          </w:r>
          <w:r>
            <w:rPr>
              <w:rFonts w:hint="default" w:asciiTheme="minorHAnsi" w:hAnsiTheme="minorHAnsi" w:eastAsiaTheme="minorEastAsia" w:cstheme="minorBidi"/>
              <w:kern w:val="2"/>
              <w:szCs w:val="36"/>
              <w:lang w:val="en-US" w:eastAsia="zh-CN" w:bidi="ar-SA"/>
            </w:rPr>
            <w:fldChar w:fldCharType="end"/>
          </w:r>
        </w:p>
        <w:p w14:paraId="043AB9D8">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_Toc14635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lang w:eastAsia="zh-CN"/>
            </w:rPr>
            <w:t>二、图件成果</w:t>
          </w:r>
          <w:r>
            <w:tab/>
          </w:r>
          <w:r>
            <w:fldChar w:fldCharType="begin"/>
          </w:r>
          <w:r>
            <w:instrText xml:space="preserve"> PAGEREF _Toc14635 \h </w:instrText>
          </w:r>
          <w:r>
            <w:fldChar w:fldCharType="separate"/>
          </w:r>
          <w:r>
            <w:t>7</w:t>
          </w:r>
          <w:r>
            <w:fldChar w:fldCharType="end"/>
          </w:r>
          <w:r>
            <w:rPr>
              <w:rFonts w:hint="default" w:asciiTheme="minorHAnsi" w:hAnsiTheme="minorHAnsi" w:eastAsiaTheme="minorEastAsia" w:cstheme="minorBidi"/>
              <w:kern w:val="2"/>
              <w:szCs w:val="36"/>
              <w:lang w:val="en-US" w:eastAsia="zh-CN" w:bidi="ar-SA"/>
            </w:rPr>
            <w:fldChar w:fldCharType="end"/>
          </w:r>
        </w:p>
        <w:p w14:paraId="621F23DE">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_Toc15312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（一）图件规范性审查</w:t>
          </w:r>
          <w:r>
            <w:tab/>
          </w:r>
          <w:r>
            <w:fldChar w:fldCharType="begin"/>
          </w:r>
          <w:r>
            <w:instrText xml:space="preserve"> PAGEREF _Toc15312 \h </w:instrText>
          </w:r>
          <w:r>
            <w:fldChar w:fldCharType="separate"/>
          </w:r>
          <w:r>
            <w:t>7</w:t>
          </w:r>
          <w:r>
            <w:fldChar w:fldCharType="end"/>
          </w:r>
          <w:r>
            <w:rPr>
              <w:rFonts w:hint="default" w:asciiTheme="minorHAnsi" w:hAnsiTheme="minorHAnsi" w:eastAsiaTheme="minorEastAsia" w:cstheme="minorBidi"/>
              <w:kern w:val="2"/>
              <w:szCs w:val="36"/>
              <w:lang w:val="en-US" w:eastAsia="zh-CN" w:bidi="ar-SA"/>
            </w:rPr>
            <w:fldChar w:fldCharType="end"/>
          </w:r>
        </w:p>
        <w:p w14:paraId="6AAD0E88">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_Toc26692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（二）基础地理要素核查</w:t>
          </w:r>
          <w:r>
            <w:tab/>
          </w:r>
          <w:r>
            <w:fldChar w:fldCharType="begin"/>
          </w:r>
          <w:r>
            <w:instrText xml:space="preserve"> PAGEREF _Toc26692 \h </w:instrText>
          </w:r>
          <w:r>
            <w:fldChar w:fldCharType="separate"/>
          </w:r>
          <w:r>
            <w:t>7</w:t>
          </w:r>
          <w:r>
            <w:fldChar w:fldCharType="end"/>
          </w:r>
          <w:r>
            <w:rPr>
              <w:rFonts w:hint="default" w:asciiTheme="minorHAnsi" w:hAnsiTheme="minorHAnsi" w:eastAsiaTheme="minorEastAsia" w:cstheme="minorBidi"/>
              <w:kern w:val="2"/>
              <w:szCs w:val="36"/>
              <w:lang w:val="en-US" w:eastAsia="zh-CN" w:bidi="ar-SA"/>
            </w:rPr>
            <w:fldChar w:fldCharType="end"/>
          </w:r>
        </w:p>
        <w:p w14:paraId="3C0640E4">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_Toc25965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（三）注记核查</w:t>
          </w:r>
          <w:r>
            <w:tab/>
          </w:r>
          <w:r>
            <w:fldChar w:fldCharType="begin"/>
          </w:r>
          <w:r>
            <w:instrText xml:space="preserve"> PAGEREF _Toc25965 \h </w:instrText>
          </w:r>
          <w:r>
            <w:fldChar w:fldCharType="separate"/>
          </w:r>
          <w:r>
            <w:t>8</w:t>
          </w:r>
          <w:r>
            <w:fldChar w:fldCharType="end"/>
          </w:r>
          <w:r>
            <w:rPr>
              <w:rFonts w:hint="default" w:asciiTheme="minorHAnsi" w:hAnsiTheme="minorHAnsi" w:eastAsiaTheme="minorEastAsia" w:cstheme="minorBidi"/>
              <w:kern w:val="2"/>
              <w:szCs w:val="36"/>
              <w:lang w:val="en-US" w:eastAsia="zh-CN" w:bidi="ar-SA"/>
            </w:rPr>
            <w:fldChar w:fldCharType="end"/>
          </w:r>
        </w:p>
        <w:p w14:paraId="5D6DE3B5">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_Toc18263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（四）图面配置与整饰</w:t>
          </w:r>
          <w:r>
            <w:tab/>
          </w:r>
          <w:r>
            <w:fldChar w:fldCharType="begin"/>
          </w:r>
          <w:r>
            <w:instrText xml:space="preserve"> PAGEREF _Toc18263 \h </w:instrText>
          </w:r>
          <w:r>
            <w:fldChar w:fldCharType="separate"/>
          </w:r>
          <w:r>
            <w:t>8</w:t>
          </w:r>
          <w:r>
            <w:fldChar w:fldCharType="end"/>
          </w:r>
          <w:r>
            <w:rPr>
              <w:rFonts w:hint="default" w:asciiTheme="minorHAnsi" w:hAnsiTheme="minorHAnsi" w:eastAsiaTheme="minorEastAsia" w:cstheme="minorBidi"/>
              <w:kern w:val="2"/>
              <w:szCs w:val="36"/>
              <w:lang w:val="en-US" w:eastAsia="zh-CN" w:bidi="ar-SA"/>
            </w:rPr>
            <w:fldChar w:fldCharType="end"/>
          </w:r>
        </w:p>
        <w:p w14:paraId="4CE59950">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_Toc12952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lang w:eastAsia="zh-CN"/>
            </w:rPr>
            <w:t>三、文本成果</w:t>
          </w:r>
          <w:r>
            <w:tab/>
          </w:r>
          <w:r>
            <w:fldChar w:fldCharType="begin"/>
          </w:r>
          <w:r>
            <w:instrText xml:space="preserve"> PAGEREF _Toc12952 \h </w:instrText>
          </w:r>
          <w:r>
            <w:fldChar w:fldCharType="separate"/>
          </w:r>
          <w:r>
            <w:t>9</w:t>
          </w:r>
          <w:r>
            <w:fldChar w:fldCharType="end"/>
          </w:r>
          <w:r>
            <w:rPr>
              <w:rFonts w:hint="default" w:asciiTheme="minorHAnsi" w:hAnsiTheme="minorHAnsi" w:eastAsiaTheme="minorEastAsia" w:cstheme="minorBidi"/>
              <w:kern w:val="2"/>
              <w:szCs w:val="36"/>
              <w:lang w:val="en-US" w:eastAsia="zh-CN" w:bidi="ar-SA"/>
            </w:rPr>
            <w:fldChar w:fldCharType="end"/>
          </w:r>
        </w:p>
        <w:p w14:paraId="71B6A17C">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_Toc9799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（一）土壤类型制图技术报告</w:t>
          </w:r>
          <w:r>
            <w:tab/>
          </w:r>
          <w:r>
            <w:fldChar w:fldCharType="begin"/>
          </w:r>
          <w:r>
            <w:instrText xml:space="preserve"> PAGEREF _Toc9799 \h </w:instrText>
          </w:r>
          <w:r>
            <w:fldChar w:fldCharType="separate"/>
          </w:r>
          <w:r>
            <w:t>9</w:t>
          </w:r>
          <w:r>
            <w:fldChar w:fldCharType="end"/>
          </w:r>
          <w:r>
            <w:rPr>
              <w:rFonts w:hint="default" w:asciiTheme="minorHAnsi" w:hAnsiTheme="minorHAnsi" w:eastAsiaTheme="minorEastAsia" w:cstheme="minorBidi"/>
              <w:kern w:val="2"/>
              <w:szCs w:val="36"/>
              <w:lang w:val="en-US" w:eastAsia="zh-CN" w:bidi="ar-SA"/>
            </w:rPr>
            <w:fldChar w:fldCharType="end"/>
          </w:r>
        </w:p>
        <w:p w14:paraId="23184AAD">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_Toc12692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（二）土壤类型制图工作报告</w:t>
          </w:r>
          <w:r>
            <w:tab/>
          </w:r>
          <w:r>
            <w:fldChar w:fldCharType="begin"/>
          </w:r>
          <w:r>
            <w:instrText xml:space="preserve"> PAGEREF _Toc12692 \h </w:instrText>
          </w:r>
          <w:r>
            <w:fldChar w:fldCharType="separate"/>
          </w:r>
          <w:r>
            <w:t>11</w:t>
          </w:r>
          <w:r>
            <w:fldChar w:fldCharType="end"/>
          </w:r>
          <w:r>
            <w:rPr>
              <w:rFonts w:hint="default" w:asciiTheme="minorHAnsi" w:hAnsiTheme="minorHAnsi" w:eastAsiaTheme="minorEastAsia" w:cstheme="minorBidi"/>
              <w:kern w:val="2"/>
              <w:szCs w:val="36"/>
              <w:lang w:val="en-US" w:eastAsia="zh-CN" w:bidi="ar-SA"/>
            </w:rPr>
            <w:fldChar w:fldCharType="end"/>
          </w:r>
        </w:p>
        <w:p w14:paraId="269C7C27">
          <w:pPr>
            <w:jc w:val="left"/>
            <w:rPr>
              <w:rFonts w:hint="default" w:asciiTheme="minorHAnsi" w:hAnsiTheme="minorHAnsi" w:eastAsiaTheme="minorEastAsia" w:cstheme="minorBidi"/>
              <w:kern w:val="2"/>
              <w:sz w:val="21"/>
              <w:szCs w:val="36"/>
              <w:lang w:val="en-US" w:eastAsia="zh-CN" w:bidi="ar-SA"/>
            </w:rPr>
          </w:pPr>
          <w:r>
            <w:rPr>
              <w:rFonts w:hint="default" w:asciiTheme="minorHAnsi" w:hAnsiTheme="minorHAnsi" w:eastAsiaTheme="minorEastAsia" w:cstheme="minorBidi"/>
              <w:kern w:val="2"/>
              <w:szCs w:val="36"/>
              <w:lang w:val="en-US" w:eastAsia="zh-CN" w:bidi="ar-SA"/>
            </w:rPr>
            <w:fldChar w:fldCharType="end"/>
          </w:r>
        </w:p>
      </w:sdtContent>
    </w:sdt>
    <w:p w14:paraId="02260427">
      <w:pPr>
        <w:jc w:val="left"/>
        <w:rPr>
          <w:rFonts w:hint="default" w:asciiTheme="minorHAnsi" w:hAnsiTheme="minorHAnsi" w:eastAsiaTheme="minorEastAsia" w:cstheme="minorBidi"/>
          <w:kern w:val="2"/>
          <w:sz w:val="21"/>
          <w:szCs w:val="36"/>
          <w:lang w:val="en-US" w:eastAsia="zh-CN" w:bidi="ar-SA"/>
        </w:rPr>
        <w:sectPr>
          <w:pgSz w:w="11906" w:h="16838"/>
          <w:pgMar w:top="1440" w:right="1800" w:bottom="1440" w:left="1800" w:header="851" w:footer="992" w:gutter="0"/>
          <w:cols w:space="425" w:num="1"/>
          <w:docGrid w:type="lines" w:linePitch="312" w:charSpace="0"/>
        </w:sectPr>
      </w:pPr>
    </w:p>
    <w:p w14:paraId="7394A701">
      <w:pPr>
        <w:jc w:val="center"/>
        <w:rPr>
          <w:rFonts w:hint="default"/>
          <w:sz w:val="28"/>
          <w:szCs w:val="36"/>
          <w:lang w:val="en-US" w:eastAsia="zh-CN"/>
        </w:rPr>
      </w:pPr>
      <w:r>
        <w:rPr>
          <w:rFonts w:hint="default"/>
          <w:sz w:val="28"/>
          <w:szCs w:val="36"/>
          <w:lang w:val="en-US" w:eastAsia="zh-CN"/>
        </w:rPr>
        <w:t>青龙县第三次全国土壤普查成果质控</w:t>
      </w:r>
      <w:r>
        <w:rPr>
          <w:rFonts w:hint="eastAsia"/>
          <w:sz w:val="28"/>
          <w:szCs w:val="36"/>
          <w:lang w:val="en-US" w:eastAsia="zh-CN"/>
        </w:rPr>
        <w:t>情况</w:t>
      </w:r>
      <w:r>
        <w:rPr>
          <w:rFonts w:hint="default"/>
          <w:sz w:val="28"/>
          <w:szCs w:val="36"/>
          <w:lang w:val="en-US" w:eastAsia="zh-CN"/>
        </w:rPr>
        <w:t>（第一轮）</w:t>
      </w:r>
    </w:p>
    <w:p w14:paraId="7D769DB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sz w:val="24"/>
          <w:szCs w:val="24"/>
          <w:lang w:val="en-US" w:eastAsia="zh-CN"/>
        </w:rPr>
      </w:pPr>
      <w:r>
        <w:rPr>
          <w:rFonts w:hint="eastAsia"/>
          <w:sz w:val="24"/>
          <w:szCs w:val="24"/>
          <w:lang w:val="en-US" w:eastAsia="zh-CN"/>
        </w:rPr>
        <w:t>本次质控按照《第三次全国土壤普查县级成果编制导引》及相关技术规范要求，采用内业核查方式，对青龙县提交的第三次全国土壤普查全部成果进行齐全性、规范性、合理性和一致性的全面质控审查。审查成果范围涵盖：土壤类型图成果、土壤属性图成果、土壤退化与障碍分析成果、土壤农业利用适宜性评价成果、耕地质量等级评价成果、土特产品土壤适宜性评价成果以及相关文字报告成果等。审查内容重点包括：数据成果的组织结构完整性、数据库规范性、基础数据与过程数据齐全性；图件成果的图面要素完整性、制图规范性、基础地理要素准确性、注记与图例合理性；文本成果的报告格式规范性、章节完整性、成因分析深度及结论建议实用性等。各成果具体质控意见如下。</w:t>
      </w:r>
    </w:p>
    <w:p w14:paraId="247CA99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szCs w:val="24"/>
          <w:lang w:val="en-US" w:eastAsia="zh-CN"/>
        </w:rPr>
      </w:pPr>
      <w:r>
        <w:rPr>
          <w:rFonts w:hint="eastAsia"/>
          <w:sz w:val="24"/>
          <w:szCs w:val="24"/>
          <w:lang w:val="en-US" w:eastAsia="zh-CN"/>
        </w:rPr>
        <w:t>本次质控共核查青龙县第三次全国土壤普查成果共计六大类，合计项。其中，土壤类型图成果质控</w:t>
      </w:r>
      <w:r>
        <w:rPr>
          <w:rFonts w:hint="eastAsia"/>
          <w:color w:val="000000" w:themeColor="text1"/>
          <w:sz w:val="24"/>
          <w:szCs w:val="24"/>
          <w:lang w:val="en-US" w:eastAsia="zh-CN"/>
          <w14:textFill>
            <w14:solidFill>
              <w14:schemeClr w14:val="tx1"/>
            </w14:solidFill>
          </w14:textFill>
        </w:rPr>
        <w:t>18</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项；土壤属性图成果质控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项，；土壤退化与障碍分析成果质控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项；土壤农业利用适宜性评价成果质控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项；耕地质量等级评价成果质控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项；土特产品土壤适宜性评价成果质控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项。整体来看，成果_____________（如：提交基本齐全/存在部分缺失），_____________（如：数据规范性有待加强/图件质量整体较好/报告深度尚可但部分章节需完善）。</w:t>
      </w:r>
    </w:p>
    <w:p w14:paraId="6481DB0E">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sz w:val="24"/>
          <w:szCs w:val="24"/>
          <w:lang w:val="en-US" w:eastAsia="zh-CN"/>
        </w:rPr>
        <w:sectPr>
          <w:pgSz w:w="11906" w:h="16838"/>
          <w:pgMar w:top="1440" w:right="1800" w:bottom="1440" w:left="1800" w:header="851" w:footer="992" w:gutter="0"/>
          <w:cols w:space="425" w:num="1"/>
          <w:docGrid w:type="lines" w:linePitch="312" w:charSpace="0"/>
        </w:sectPr>
      </w:pPr>
    </w:p>
    <w:p w14:paraId="3DB5FBEE">
      <w:pPr>
        <w:keepNext w:val="0"/>
        <w:keepLines w:val="0"/>
        <w:pageBreakBefore w:val="0"/>
        <w:widowControl w:val="0"/>
        <w:kinsoku/>
        <w:wordWrap/>
        <w:overflowPunct/>
        <w:topLinePunct w:val="0"/>
        <w:autoSpaceDE/>
        <w:autoSpaceDN/>
        <w:bidi w:val="0"/>
        <w:adjustRightInd/>
        <w:snapToGrid/>
        <w:jc w:val="center"/>
        <w:textAlignment w:val="auto"/>
        <w:outlineLvl w:val="0"/>
        <w:rPr>
          <w:rFonts w:hint="eastAsia" w:ascii="黑体" w:hAnsi="黑体" w:eastAsia="黑体" w:cs="黑体"/>
          <w:b/>
          <w:sz w:val="30"/>
          <w:szCs w:val="30"/>
          <w:u w:val="none"/>
          <w:lang w:eastAsia="zh-CN"/>
        </w:rPr>
      </w:pPr>
      <w:bookmarkStart w:id="0" w:name="_Toc5483"/>
      <w:r>
        <w:rPr>
          <w:rFonts w:hint="eastAsia"/>
          <w:sz w:val="32"/>
          <w:szCs w:val="32"/>
          <w:lang w:val="en-US" w:eastAsia="zh-CN"/>
        </w:rPr>
        <w:t>第一部分：土壤类型图成果质控意见</w:t>
      </w:r>
      <w:bookmarkEnd w:id="0"/>
    </w:p>
    <w:p w14:paraId="2BBAF41B">
      <w:pPr>
        <w:keepNext w:val="0"/>
        <w:keepLines w:val="0"/>
        <w:pageBreakBefore w:val="0"/>
        <w:widowControl w:val="0"/>
        <w:numPr>
          <w:ilvl w:val="0"/>
          <w:numId w:val="1"/>
        </w:numPr>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szCs w:val="30"/>
          <w:u w:val="none"/>
          <w:lang w:eastAsia="zh-CN"/>
        </w:rPr>
      </w:pPr>
      <w:bookmarkStart w:id="1" w:name="_Toc17825"/>
      <w:r>
        <w:rPr>
          <w:rFonts w:hint="eastAsia" w:ascii="黑体" w:hAnsi="黑体" w:eastAsia="黑体" w:cs="黑体"/>
          <w:b/>
          <w:sz w:val="30"/>
          <w:szCs w:val="30"/>
          <w:u w:val="none"/>
          <w:lang w:eastAsia="zh-CN"/>
        </w:rPr>
        <w:t>数据成果</w:t>
      </w:r>
      <w:bookmarkEnd w:id="1"/>
    </w:p>
    <w:p w14:paraId="758E9C06">
      <w:pPr>
        <w:keepNext w:val="0"/>
        <w:keepLines w:val="0"/>
        <w:pageBreakBefore w:val="0"/>
        <w:widowControl w:val="0"/>
        <w:numPr>
          <w:ilvl w:val="0"/>
          <w:numId w:val="2"/>
        </w:numPr>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szCs w:val="28"/>
          <w:u w:val="none"/>
          <w:lang w:eastAsia="zh-CN"/>
        </w:rPr>
      </w:pPr>
      <w:bookmarkStart w:id="2" w:name="_Toc7394"/>
      <w:r>
        <w:rPr>
          <w:rFonts w:hint="eastAsia" w:ascii="宋体" w:hAnsi="宋体" w:eastAsia="宋体" w:cs="宋体"/>
          <w:b/>
          <w:sz w:val="28"/>
          <w:szCs w:val="28"/>
          <w:u w:val="none"/>
          <w:lang w:eastAsia="zh-CN"/>
        </w:rPr>
        <w:t>数据组织与完整性</w:t>
      </w:r>
      <w:bookmarkEnd w:id="2"/>
    </w:p>
    <w:p w14:paraId="2DA1090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outlineLvl w:val="2"/>
        <w:rPr>
          <w:rFonts w:hint="eastAsia" w:ascii="宋体" w:hAnsi="宋体" w:eastAsia="宋体" w:cs="宋体"/>
          <w:b/>
          <w:sz w:val="24"/>
          <w:szCs w:val="24"/>
          <w:u w:val="none"/>
          <w:lang w:eastAsia="zh-CN"/>
        </w:rPr>
      </w:pPr>
      <w:r>
        <w:rPr>
          <w:rFonts w:hint="eastAsia" w:ascii="宋体" w:hAnsi="宋体" w:eastAsia="宋体" w:cs="宋体"/>
          <w:b/>
          <w:sz w:val="24"/>
          <w:szCs w:val="24"/>
          <w:u w:val="none"/>
          <w:lang w:eastAsia="zh-CN"/>
        </w:rPr>
        <w:t>1. 总体结构与命名规范</w:t>
      </w:r>
    </w:p>
    <w:p w14:paraId="5E141647">
      <w:pPr>
        <w:bidi w:val="0"/>
        <w:rPr>
          <w:rFonts w:hint="eastAsia"/>
          <w:lang w:eastAsia="zh-CN"/>
        </w:rPr>
      </w:pPr>
      <w:r>
        <w:rPr>
          <w:rFonts w:hint="eastAsia"/>
          <w:lang w:eastAsia="zh-CN"/>
        </w:rPr>
        <w:t>审查标准：</w:t>
      </w:r>
    </w:p>
    <w:p w14:paraId="44A87247">
      <w:pPr>
        <w:bidi w:val="0"/>
        <w:rPr>
          <w:rFonts w:hint="eastAsia"/>
          <w:lang w:eastAsia="zh-CN"/>
        </w:rPr>
      </w:pPr>
      <w:r>
        <w:rPr>
          <w:rFonts w:hint="eastAsia"/>
          <w:lang w:eastAsia="zh-CN"/>
        </w:rPr>
        <w:t>（1）根目录命名格式：6位行政区划代码+县级行政区名称，示例：110108北京市海淀区。</w:t>
      </w:r>
    </w:p>
    <w:p w14:paraId="7E1A4600">
      <w:pPr>
        <w:bidi w:val="0"/>
        <w:rPr>
          <w:rFonts w:hint="eastAsia"/>
          <w:lang w:eastAsia="zh-CN"/>
        </w:rPr>
      </w:pPr>
      <w:r>
        <w:rPr>
          <w:rFonts w:hint="eastAsia"/>
          <w:lang w:eastAsia="zh-CN"/>
        </w:rPr>
        <w:t>（2）第二层级目录必须包含以下七项：第三次全国土壤普查成果库.gdb、基础数据（文件夹）、过程数据（文件夹）、成果数据（文件夹）、地图文档/图层Layout包、汇报PPT（文件夹）、自查表扫描件（.pdf）。</w:t>
      </w:r>
    </w:p>
    <w:p w14:paraId="51C7130E">
      <w:pPr>
        <w:bidi w:val="0"/>
        <w:rPr>
          <w:rFonts w:hint="eastAsia"/>
          <w:lang w:eastAsia="zh-CN"/>
        </w:rPr>
      </w:pPr>
      <w:r>
        <w:rPr>
          <w:rFonts w:hint="eastAsia"/>
          <w:lang w:eastAsia="zh-CN"/>
        </w:rPr>
        <w:t>（3）成果提交格式：是否以压缩文件rar或zip格式提交；压缩文件命名方式是否为：</w:t>
      </w:r>
    </w:p>
    <w:p w14:paraId="03DE2A99">
      <w:pPr>
        <w:bidi w:val="0"/>
        <w:rPr>
          <w:rFonts w:hint="eastAsia"/>
          <w:lang w:eastAsia="zh-CN"/>
        </w:rPr>
      </w:pPr>
      <w:r>
        <w:rPr>
          <w:rFonts w:hint="eastAsia"/>
          <w:lang w:eastAsia="zh-CN"/>
        </w:rPr>
        <w:t>审查结果：</w:t>
      </w:r>
    </w:p>
    <w:p w14:paraId="15D360CB">
      <w:pPr>
        <w:bidi w:val="0"/>
        <w:rPr>
          <w:rFonts w:hint="eastAsia"/>
          <w:color w:val="FF0000"/>
          <w:lang w:val="en-US" w:eastAsia="zh-CN"/>
        </w:rPr>
      </w:pPr>
      <w:r>
        <w:rPr>
          <w:rFonts w:hint="eastAsia"/>
          <w:color w:val="FF0000"/>
          <w:lang w:eastAsia="zh-CN"/>
        </w:rPr>
        <w:t>（</w:t>
      </w:r>
      <w:r>
        <w:rPr>
          <w:rFonts w:hint="eastAsia"/>
          <w:color w:val="FF0000"/>
          <w:lang w:val="en-US" w:eastAsia="zh-CN"/>
        </w:rPr>
        <w:t>1</w:t>
      </w:r>
      <w:r>
        <w:rPr>
          <w:rFonts w:hint="eastAsia"/>
          <w:color w:val="FF0000"/>
          <w:lang w:eastAsia="zh-CN"/>
        </w:rPr>
        <w:t>）</w:t>
      </w:r>
      <w:r>
        <w:rPr>
          <w:rFonts w:hint="eastAsia"/>
          <w:color w:val="FF0000"/>
          <w:lang w:val="en-US" w:eastAsia="zh-CN"/>
        </w:rPr>
        <w:t>根目录命名不符合规范。</w:t>
      </w:r>
    </w:p>
    <w:p w14:paraId="5CAC4311">
      <w:pPr>
        <w:bidi w:val="0"/>
      </w:pPr>
      <w:r>
        <w:rPr>
          <w:sz w:val="21"/>
        </w:rPr>
        <mc:AlternateContent>
          <mc:Choice Requires="wps">
            <w:drawing>
              <wp:anchor distT="0" distB="0" distL="114300" distR="114300" simplePos="0" relativeHeight="251659264" behindDoc="0" locked="0" layoutInCell="1" allowOverlap="1">
                <wp:simplePos x="0" y="0"/>
                <wp:positionH relativeFrom="column">
                  <wp:posOffset>493395</wp:posOffset>
                </wp:positionH>
                <wp:positionV relativeFrom="paragraph">
                  <wp:posOffset>790575</wp:posOffset>
                </wp:positionV>
                <wp:extent cx="1705610" cy="601345"/>
                <wp:effectExtent l="6350" t="6350" r="12065" b="11430"/>
                <wp:wrapNone/>
                <wp:docPr id="3" name="矩形 3"/>
                <wp:cNvGraphicFramePr/>
                <a:graphic xmlns:a="http://schemas.openxmlformats.org/drawingml/2006/main">
                  <a:graphicData uri="http://schemas.microsoft.com/office/word/2010/wordprocessingShape">
                    <wps:wsp>
                      <wps:cNvSpPr/>
                      <wps:spPr>
                        <a:xfrm>
                          <a:off x="1669415" y="5017135"/>
                          <a:ext cx="1705610" cy="601345"/>
                        </a:xfrm>
                        <a:prstGeom prst="rect">
                          <a:avLst/>
                        </a:prstGeom>
                        <a:no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8.85pt;margin-top:62.25pt;height:47.35pt;width:134.3pt;z-index:251659264;v-text-anchor:middle;mso-width-relative:page;mso-height-relative:page;" filled="f" stroked="t" coordsize="21600,21600" o:gfxdata="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NdGTAtcAAAAKAQAADwAAAAAAAAABACAAAAAiAAAAZHJz&#10;L2Rvd25yZXYueG1sUEsBAhQAFAAAAAgAh07iQKakAON3AgAA1wQAAA4AAAAAAAAAAQAgAAAAJgEA&#10;AGRycy9lMm9Eb2MueG1sUEsFBgAAAAAGAAYAWQEAAA8GAAAAAA==&#10;">
                <v:fill on="f" focussize="0,0"/>
                <v:stroke weight="1pt" color="#FF0000 [2404]" miterlimit="8" joinstyle="miter"/>
                <v:imagedata o:title=""/>
                <o:lock v:ext="edit" aspectratio="f"/>
              </v:rect>
            </w:pict>
          </mc:Fallback>
        </mc:AlternateContent>
      </w:r>
      <w:r>
        <w:drawing>
          <wp:inline distT="0" distB="0" distL="114300" distR="114300">
            <wp:extent cx="4389120" cy="1980565"/>
            <wp:effectExtent l="0" t="0" r="1905"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4389120" cy="1980565"/>
                    </a:xfrm>
                    <a:prstGeom prst="rect">
                      <a:avLst/>
                    </a:prstGeom>
                    <a:noFill/>
                    <a:ln>
                      <a:noFill/>
                    </a:ln>
                  </pic:spPr>
                </pic:pic>
              </a:graphicData>
            </a:graphic>
          </wp:inline>
        </w:drawing>
      </w:r>
    </w:p>
    <w:p w14:paraId="7C502516">
      <w:pPr>
        <w:bidi w:val="0"/>
        <w:rPr>
          <w:rFonts w:hint="eastAsia"/>
          <w:color w:val="FF0000"/>
          <w:lang w:val="en-US" w:eastAsia="zh-CN"/>
        </w:rPr>
      </w:pPr>
      <w:r>
        <w:rPr>
          <w:rFonts w:hint="eastAsia"/>
          <w:color w:val="FF0000"/>
          <w:lang w:eastAsia="zh-CN"/>
        </w:rPr>
        <w:t>（</w:t>
      </w:r>
      <w:r>
        <w:rPr>
          <w:rFonts w:hint="eastAsia"/>
          <w:color w:val="FF0000"/>
          <w:lang w:val="en-US" w:eastAsia="zh-CN"/>
        </w:rPr>
        <w:t>2</w:t>
      </w:r>
      <w:r>
        <w:rPr>
          <w:rFonts w:hint="eastAsia"/>
          <w:color w:val="FF0000"/>
          <w:lang w:eastAsia="zh-CN"/>
        </w:rPr>
        <w:t>）</w:t>
      </w:r>
      <w:r>
        <w:rPr>
          <w:rFonts w:hint="eastAsia"/>
          <w:color w:val="FF0000"/>
          <w:lang w:val="en-US" w:eastAsia="zh-CN"/>
        </w:rPr>
        <w:t>第二层级目录包含的内容不符合规范。</w:t>
      </w:r>
    </w:p>
    <w:p w14:paraId="081CE99E">
      <w:pPr>
        <w:bidi w:val="0"/>
      </w:pPr>
      <w:r>
        <w:drawing>
          <wp:inline distT="0" distB="0" distL="114300" distR="114300">
            <wp:extent cx="3603625" cy="1882140"/>
            <wp:effectExtent l="0" t="0" r="635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3603625" cy="1882140"/>
                    </a:xfrm>
                    <a:prstGeom prst="rect">
                      <a:avLst/>
                    </a:prstGeom>
                    <a:noFill/>
                    <a:ln>
                      <a:noFill/>
                    </a:ln>
                  </pic:spPr>
                </pic:pic>
              </a:graphicData>
            </a:graphic>
          </wp:inline>
        </w:drawing>
      </w:r>
    </w:p>
    <w:p w14:paraId="4F05C95B">
      <w:pPr>
        <w:bidi w:val="0"/>
        <w:rPr>
          <w:rFonts w:hint="eastAsia"/>
          <w:color w:val="FF0000"/>
          <w:lang w:val="en-US" w:eastAsia="zh-CN"/>
        </w:rPr>
      </w:pPr>
      <w:bookmarkStart w:id="12" w:name="_GoBack"/>
      <w:r>
        <w:rPr>
          <w:rFonts w:hint="eastAsia"/>
          <w:color w:val="FF0000"/>
          <w:lang w:eastAsia="zh-CN"/>
        </w:rPr>
        <w:t>（</w:t>
      </w:r>
      <w:r>
        <w:rPr>
          <w:rFonts w:hint="eastAsia"/>
          <w:color w:val="FF0000"/>
          <w:lang w:val="en-US" w:eastAsia="zh-CN"/>
        </w:rPr>
        <w:t>3</w:t>
      </w:r>
      <w:r>
        <w:rPr>
          <w:rFonts w:hint="eastAsia"/>
          <w:color w:val="FF0000"/>
          <w:lang w:eastAsia="zh-CN"/>
        </w:rPr>
        <w:t>）</w:t>
      </w:r>
      <w:r>
        <w:rPr>
          <w:rFonts w:hint="eastAsia"/>
          <w:color w:val="FF0000"/>
          <w:lang w:val="en-US" w:eastAsia="zh-CN"/>
        </w:rPr>
        <w:t>成果未以压缩包形式提交。</w:t>
      </w:r>
    </w:p>
    <w:bookmarkEnd w:id="12"/>
    <w:p w14:paraId="1DBF576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第三次全国土壤普查成果库.gdb 规范性</w:t>
      </w:r>
    </w:p>
    <w:p w14:paraId="3309754C">
      <w:pPr>
        <w:bidi w:val="0"/>
        <w:rPr>
          <w:rFonts w:hint="eastAsia"/>
          <w:lang w:eastAsia="zh-CN"/>
        </w:rPr>
      </w:pPr>
      <w:r>
        <w:rPr>
          <w:rFonts w:hint="eastAsia"/>
          <w:lang w:eastAsia="zh-CN"/>
        </w:rPr>
        <w:t>审查标准：</w:t>
      </w:r>
    </w:p>
    <w:p w14:paraId="798D4D72">
      <w:pPr>
        <w:bidi w:val="0"/>
        <w:rPr>
          <w:rFonts w:hint="eastAsia"/>
          <w:lang w:eastAsia="zh-CN"/>
        </w:rPr>
      </w:pPr>
      <w:r>
        <w:rPr>
          <w:rFonts w:hint="eastAsia"/>
          <w:lang w:eastAsia="zh-CN"/>
        </w:rPr>
        <w:t>（1）数据库结构：包含5个以英文命名的数据集，分别为BASE（基础地理数据）、HISTORY（历史土壤调查数据）、LANDUSE（土地利用数据）、PROCESS（过程数据）、RESULT（成果数据）。</w:t>
      </w:r>
    </w:p>
    <w:p w14:paraId="4B02D6A7">
      <w:pPr>
        <w:bidi w:val="0"/>
        <w:rPr>
          <w:rFonts w:hint="eastAsia"/>
          <w:lang w:eastAsia="zh-CN"/>
        </w:rPr>
      </w:pPr>
      <w:r>
        <w:rPr>
          <w:rFonts w:hint="eastAsia"/>
          <w:lang w:eastAsia="zh-CN"/>
        </w:rPr>
        <w:t>（2）BASE数据集内容：必须包含行政区、居民点、道路、水系等矢量要素。</w:t>
      </w:r>
    </w:p>
    <w:p w14:paraId="7F573321">
      <w:pPr>
        <w:bidi w:val="0"/>
        <w:rPr>
          <w:rFonts w:hint="eastAsia"/>
          <w:lang w:eastAsia="zh-CN"/>
        </w:rPr>
      </w:pPr>
      <w:r>
        <w:rPr>
          <w:rFonts w:hint="eastAsia"/>
          <w:lang w:eastAsia="zh-CN"/>
        </w:rPr>
        <w:t>（3）HISTORY数据集内容：必须包含土壤二普县级土种志剖面样点矢量数据、原土壤二普县级土壤图矢量数据、分类校准更新后的土壤二普县级土壤图矢量数据、二普土壤样点数据。</w:t>
      </w:r>
    </w:p>
    <w:p w14:paraId="7ECEED97">
      <w:pPr>
        <w:bidi w:val="0"/>
        <w:rPr>
          <w:rFonts w:hint="eastAsia"/>
          <w:lang w:eastAsia="zh-CN"/>
        </w:rPr>
      </w:pPr>
      <w:r>
        <w:rPr>
          <w:rFonts w:hint="eastAsia"/>
          <w:lang w:eastAsia="zh-CN"/>
        </w:rPr>
        <w:t>（4）LANDUSE数据集内容：包含土地利用相关矢量要素，如DLTB（地类图斑）等。</w:t>
      </w:r>
    </w:p>
    <w:p w14:paraId="336E4A23">
      <w:pPr>
        <w:bidi w:val="0"/>
        <w:rPr>
          <w:rFonts w:hint="eastAsia"/>
          <w:lang w:eastAsia="zh-CN"/>
        </w:rPr>
      </w:pPr>
      <w:r>
        <w:rPr>
          <w:rFonts w:hint="eastAsia"/>
          <w:lang w:eastAsia="zh-CN"/>
        </w:rPr>
        <w:t>（5）PROCESS数据集内容：必须包含DCYD（调查样点）、土壤二普土壤图室内校核前/后图斑、重新定义坐标的土壤二普土壤剖面样点的土壤类型野外校核结果、土壤类型改变区各类地块提取结果、推测制图虚点数据、野外校核点位数据、推测的土壤三普图（矢量）、预测/推测不确定性分布图。</w:t>
      </w:r>
    </w:p>
    <w:p w14:paraId="22543E64">
      <w:pPr>
        <w:bidi w:val="0"/>
        <w:rPr>
          <w:rFonts w:hint="eastAsia"/>
          <w:lang w:eastAsia="zh-CN"/>
        </w:rPr>
      </w:pPr>
      <w:r>
        <w:rPr>
          <w:rFonts w:hint="eastAsia"/>
          <w:lang w:eastAsia="zh-CN"/>
        </w:rPr>
        <w:t>（6）RESULT数据集内容：必须包含土壤三普土壤类型成果图（矢量）。土壤类型图字段要求：图斑ID、县名(XM)、乡镇名(XZM)、面积(MJ)；分类校准后原土壤二普：土类(YTL)、亚类(YYL)、土属(YTS)、土种(YTZ)；土壤三普：土类(TL)、亚类(YL)、土属(TS)、土种(TZ)。</w:t>
      </w:r>
    </w:p>
    <w:p w14:paraId="3EEDB92C">
      <w:pPr>
        <w:bidi w:val="0"/>
        <w:rPr>
          <w:rFonts w:hint="eastAsia"/>
          <w:lang w:eastAsia="zh-CN"/>
        </w:rPr>
      </w:pPr>
      <w:r>
        <w:rPr>
          <w:rFonts w:hint="eastAsia"/>
          <w:lang w:eastAsia="zh-CN"/>
        </w:rPr>
        <w:t>审查结果：</w:t>
      </w:r>
    </w:p>
    <w:p w14:paraId="01445BB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val="en-US" w:eastAsia="zh-CN"/>
        </w:rPr>
        <w:t>(1)数据库结构与要素类命名不符合规范。</w:t>
      </w:r>
    </w:p>
    <w:p w14:paraId="7566E2F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pPr>
      <w:r>
        <w:drawing>
          <wp:inline distT="0" distB="0" distL="114300" distR="114300">
            <wp:extent cx="5268595" cy="2126615"/>
            <wp:effectExtent l="0" t="0" r="8255" b="698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8"/>
                    <a:stretch>
                      <a:fillRect/>
                    </a:stretch>
                  </pic:blipFill>
                  <pic:spPr>
                    <a:xfrm>
                      <a:off x="0" y="0"/>
                      <a:ext cx="5268595" cy="2126615"/>
                    </a:xfrm>
                    <a:prstGeom prst="rect">
                      <a:avLst/>
                    </a:prstGeom>
                    <a:noFill/>
                    <a:ln>
                      <a:noFill/>
                    </a:ln>
                  </pic:spPr>
                </pic:pic>
              </a:graphicData>
            </a:graphic>
          </wp:inline>
        </w:drawing>
      </w:r>
    </w:p>
    <w:p w14:paraId="6EF834C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pPr>
      <w:r>
        <w:rPr>
          <w:rFonts w:hint="eastAsia" w:ascii="宋体" w:hAnsi="宋体" w:eastAsia="宋体" w:cs="宋体"/>
          <w:b w:val="0"/>
          <w:color w:val="FF0000"/>
          <w:sz w:val="24"/>
          <w:u w:val="none"/>
          <w:lang w:val="en-US" w:eastAsia="zh-CN"/>
        </w:rPr>
        <w:t>(2)基础地理数据集中缺少居民点要素。</w:t>
      </w:r>
    </w:p>
    <w:p w14:paraId="4EDB03F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pPr>
      <w:r>
        <w:drawing>
          <wp:inline distT="0" distB="0" distL="114300" distR="114300">
            <wp:extent cx="5270500" cy="2192020"/>
            <wp:effectExtent l="0" t="0" r="6350" b="825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9"/>
                    <a:stretch>
                      <a:fillRect/>
                    </a:stretch>
                  </pic:blipFill>
                  <pic:spPr>
                    <a:xfrm>
                      <a:off x="0" y="0"/>
                      <a:ext cx="5270500" cy="2192020"/>
                    </a:xfrm>
                    <a:prstGeom prst="rect">
                      <a:avLst/>
                    </a:prstGeom>
                    <a:noFill/>
                    <a:ln>
                      <a:noFill/>
                    </a:ln>
                  </pic:spPr>
                </pic:pic>
              </a:graphicData>
            </a:graphic>
          </wp:inline>
        </w:drawing>
      </w:r>
    </w:p>
    <w:p w14:paraId="56D6A53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color w:val="FF0000"/>
          <w:lang w:val="en-US"/>
        </w:rPr>
      </w:pPr>
      <w:r>
        <w:rPr>
          <w:rFonts w:hint="eastAsia" w:ascii="宋体" w:hAnsi="宋体" w:eastAsia="宋体" w:cs="宋体"/>
          <w:b w:val="0"/>
          <w:color w:val="FF0000"/>
          <w:sz w:val="24"/>
          <w:u w:val="none"/>
          <w:lang w:eastAsia="zh-CN"/>
        </w:rPr>
        <w:t>（3）HISTORY数据集</w:t>
      </w:r>
      <w:r>
        <w:rPr>
          <w:rFonts w:hint="eastAsia" w:ascii="宋体" w:hAnsi="宋体" w:eastAsia="宋体" w:cs="宋体"/>
          <w:b w:val="0"/>
          <w:color w:val="FF0000"/>
          <w:sz w:val="24"/>
          <w:u w:val="none"/>
          <w:lang w:val="en-US" w:eastAsia="zh-CN"/>
        </w:rPr>
        <w:t>中缺少</w:t>
      </w:r>
      <w:r>
        <w:rPr>
          <w:rFonts w:hint="eastAsia" w:ascii="宋体" w:hAnsi="宋体" w:eastAsia="宋体" w:cs="宋体"/>
          <w:b w:val="0"/>
          <w:color w:val="FF0000"/>
          <w:sz w:val="24"/>
          <w:u w:val="none"/>
          <w:lang w:eastAsia="zh-CN"/>
        </w:rPr>
        <w:t>土壤二普县级土种志剖面样点矢量数据、二普土壤样点数据。</w:t>
      </w:r>
      <w:r>
        <w:rPr>
          <w:rFonts w:hint="eastAsia" w:ascii="宋体" w:hAnsi="宋体" w:eastAsia="宋体" w:cs="宋体"/>
          <w:b w:val="0"/>
          <w:color w:val="FF0000"/>
          <w:sz w:val="24"/>
          <w:u w:val="none"/>
          <w:lang w:val="en-US" w:eastAsia="zh-CN"/>
        </w:rPr>
        <w:t>已有要素数据需重新命名。</w:t>
      </w:r>
    </w:p>
    <w:p w14:paraId="6F5E648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pPr>
      <w:r>
        <w:drawing>
          <wp:inline distT="0" distB="0" distL="114300" distR="114300">
            <wp:extent cx="5270500" cy="1256030"/>
            <wp:effectExtent l="0" t="0" r="6350" b="127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0"/>
                    <a:stretch>
                      <a:fillRect/>
                    </a:stretch>
                  </pic:blipFill>
                  <pic:spPr>
                    <a:xfrm>
                      <a:off x="0" y="0"/>
                      <a:ext cx="5270500" cy="1256030"/>
                    </a:xfrm>
                    <a:prstGeom prst="rect">
                      <a:avLst/>
                    </a:prstGeom>
                    <a:noFill/>
                    <a:ln>
                      <a:noFill/>
                    </a:ln>
                  </pic:spPr>
                </pic:pic>
              </a:graphicData>
            </a:graphic>
          </wp:inline>
        </w:drawing>
      </w:r>
    </w:p>
    <w:p w14:paraId="072B85B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4</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缺少LANDUSE数据集。</w:t>
      </w:r>
    </w:p>
    <w:p w14:paraId="60C180C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val="en-US" w:eastAsia="zh-CN"/>
        </w:rPr>
        <w:t>（5）PROCESS数据集中缺少DCYD（调查样点）、重新定义坐标的土壤二普土壤剖面样点的土壤类型野外校核结果、土壤类型改变区各类地块提取结果、推测制图虚点数据、野外校核点位数据、推测的土壤三普图（矢量）、预测/推测不确定性分布图。</w:t>
      </w:r>
    </w:p>
    <w:p w14:paraId="7AACA9E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color w:val="FF0000"/>
          <w:sz w:val="24"/>
          <w:u w:val="none"/>
          <w:lang w:val="en-US" w:eastAsia="zh-CN"/>
        </w:rPr>
      </w:pPr>
      <w:r>
        <w:drawing>
          <wp:inline distT="0" distB="0" distL="114300" distR="114300">
            <wp:extent cx="5274310" cy="1478280"/>
            <wp:effectExtent l="0" t="0" r="2540" b="762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1"/>
                    <a:stretch>
                      <a:fillRect/>
                    </a:stretch>
                  </pic:blipFill>
                  <pic:spPr>
                    <a:xfrm>
                      <a:off x="0" y="0"/>
                      <a:ext cx="5274310" cy="1478280"/>
                    </a:xfrm>
                    <a:prstGeom prst="rect">
                      <a:avLst/>
                    </a:prstGeom>
                    <a:noFill/>
                    <a:ln>
                      <a:noFill/>
                    </a:ln>
                  </pic:spPr>
                </pic:pic>
              </a:graphicData>
            </a:graphic>
          </wp:inline>
        </w:drawing>
      </w:r>
    </w:p>
    <w:p w14:paraId="2C8E539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eastAsia="zh-CN"/>
        </w:rPr>
      </w:pPr>
      <w:r>
        <w:rPr>
          <w:rFonts w:hint="eastAsia" w:ascii="宋体" w:hAnsi="宋体" w:eastAsia="宋体" w:cs="宋体"/>
          <w:b w:val="0"/>
          <w:color w:val="FF0000"/>
          <w:sz w:val="24"/>
          <w:u w:val="none"/>
          <w:lang w:eastAsia="zh-CN"/>
        </w:rPr>
        <w:t>（6）RESULT数据集</w:t>
      </w:r>
      <w:r>
        <w:rPr>
          <w:rFonts w:hint="eastAsia" w:ascii="宋体" w:hAnsi="宋体" w:eastAsia="宋体" w:cs="宋体"/>
          <w:b w:val="0"/>
          <w:color w:val="FF0000"/>
          <w:sz w:val="24"/>
          <w:u w:val="none"/>
          <w:lang w:val="en-US" w:eastAsia="zh-CN"/>
        </w:rPr>
        <w:t>中</w:t>
      </w:r>
      <w:r>
        <w:rPr>
          <w:rFonts w:hint="eastAsia" w:ascii="宋体" w:hAnsi="宋体" w:eastAsia="宋体" w:cs="宋体"/>
          <w:b w:val="0"/>
          <w:color w:val="FF0000"/>
          <w:sz w:val="24"/>
          <w:u w:val="none"/>
          <w:lang w:eastAsia="zh-CN"/>
        </w:rPr>
        <w:t>土壤三普土壤类型成果图</w:t>
      </w:r>
      <w:r>
        <w:rPr>
          <w:rFonts w:hint="eastAsia" w:ascii="宋体" w:hAnsi="宋体" w:eastAsia="宋体" w:cs="宋体"/>
          <w:b w:val="0"/>
          <w:color w:val="FF0000"/>
          <w:sz w:val="24"/>
          <w:u w:val="none"/>
          <w:lang w:val="en-US" w:eastAsia="zh-CN"/>
        </w:rPr>
        <w:t>字段缺少</w:t>
      </w:r>
      <w:r>
        <w:rPr>
          <w:rFonts w:hint="eastAsia" w:ascii="宋体" w:hAnsi="宋体" w:eastAsia="宋体" w:cs="宋体"/>
          <w:b w:val="0"/>
          <w:color w:val="FF0000"/>
          <w:sz w:val="24"/>
          <w:u w:val="none"/>
          <w:lang w:eastAsia="zh-CN"/>
        </w:rPr>
        <w:t>图斑ID、县名(XM)、乡镇名(XZM)、分类校准后原土壤二普：土类(YTL)、亚类(YYL)、土属(YTS)、土种(YTZ)</w:t>
      </w:r>
      <w:r>
        <w:rPr>
          <w:rFonts w:hint="eastAsia" w:ascii="宋体" w:hAnsi="宋体" w:eastAsia="宋体" w:cs="宋体"/>
          <w:b w:val="0"/>
          <w:color w:val="FF0000"/>
          <w:sz w:val="24"/>
          <w:u w:val="none"/>
          <w:lang w:val="en-US" w:eastAsia="zh-CN"/>
        </w:rPr>
        <w:t>字段</w:t>
      </w:r>
      <w:r>
        <w:rPr>
          <w:rFonts w:hint="eastAsia" w:ascii="宋体" w:hAnsi="宋体" w:eastAsia="宋体" w:cs="宋体"/>
          <w:b w:val="0"/>
          <w:color w:val="FF0000"/>
          <w:sz w:val="24"/>
          <w:u w:val="none"/>
          <w:lang w:eastAsia="zh-CN"/>
        </w:rPr>
        <w:t>。</w:t>
      </w:r>
    </w:p>
    <w:p w14:paraId="4C48EC0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lang w:val="en-US" w:eastAsia="zh-CN"/>
        </w:rPr>
      </w:pPr>
      <w:r>
        <w:drawing>
          <wp:inline distT="0" distB="0" distL="114300" distR="114300">
            <wp:extent cx="3676650" cy="4476750"/>
            <wp:effectExtent l="0" t="0" r="0" b="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2"/>
                    <a:stretch>
                      <a:fillRect/>
                    </a:stretch>
                  </pic:blipFill>
                  <pic:spPr>
                    <a:xfrm>
                      <a:off x="0" y="0"/>
                      <a:ext cx="3676650" cy="4476750"/>
                    </a:xfrm>
                    <a:prstGeom prst="rect">
                      <a:avLst/>
                    </a:prstGeom>
                    <a:noFill/>
                    <a:ln>
                      <a:noFill/>
                    </a:ln>
                  </pic:spPr>
                </pic:pic>
              </a:graphicData>
            </a:graphic>
          </wp:inline>
        </w:drawing>
      </w:r>
    </w:p>
    <w:p w14:paraId="3061AD2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基础数据文件夹规范性</w:t>
      </w:r>
    </w:p>
    <w:p w14:paraId="072AB46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8740C3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（1）文件夹结构：包含土壤样点数据、成土环境数据</w:t>
      </w:r>
      <w:r>
        <w:rPr>
          <w:rFonts w:hint="eastAsia" w:ascii="宋体" w:hAnsi="宋体" w:eastAsia="宋体" w:cs="宋体"/>
          <w:b w:val="0"/>
          <w:sz w:val="24"/>
          <w:u w:val="none"/>
          <w:lang w:val="en-US" w:eastAsia="zh-CN"/>
        </w:rPr>
        <w:t>、</w:t>
      </w:r>
      <w:r>
        <w:rPr>
          <w:rFonts w:hint="eastAsia" w:ascii="宋体" w:hAnsi="宋体" w:eastAsia="宋体" w:cs="宋体"/>
          <w:b w:val="0"/>
          <w:sz w:val="24"/>
          <w:u w:val="none"/>
          <w:lang w:eastAsia="zh-CN"/>
        </w:rPr>
        <w:t>历史土壤调查数据</w:t>
      </w:r>
      <w:r>
        <w:rPr>
          <w:rFonts w:hint="eastAsia" w:ascii="宋体" w:hAnsi="宋体" w:eastAsia="宋体" w:cs="宋体"/>
          <w:b w:val="0"/>
          <w:sz w:val="24"/>
          <w:u w:val="none"/>
          <w:lang w:val="en-US" w:eastAsia="zh-CN"/>
        </w:rPr>
        <w:t>和其他文件夹。</w:t>
      </w:r>
    </w:p>
    <w:p w14:paraId="0BD299C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（2）土壤样点数据：包含三普土壤表层样点、剖面样点相关数据。</w:t>
      </w:r>
    </w:p>
    <w:p w14:paraId="22E1EB2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（3）成土环境数据：包含母岩母质栅格数据、地形地貌数据（DEM及派生指数）、土地利用/土地整理/植被/水文状况数据、多源遥感影像数据。</w:t>
      </w:r>
    </w:p>
    <w:p w14:paraId="5C7B72D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（4）历史土壤调查数据：包含土壤二普纸质图及相关历史资料如土壤志。</w:t>
      </w:r>
    </w:p>
    <w:p w14:paraId="441621B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42608D5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1</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缺少基础数据文件夹，文件夹内部内容无法核查。</w:t>
      </w:r>
    </w:p>
    <w:p w14:paraId="4C05967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2</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需将数据成果中的栅格数据移至</w:t>
      </w:r>
      <w:r>
        <w:rPr>
          <w:rFonts w:hint="eastAsia" w:ascii="宋体" w:hAnsi="宋体" w:eastAsia="宋体" w:cs="宋体"/>
          <w:b w:val="0"/>
          <w:color w:val="FF0000"/>
          <w:sz w:val="24"/>
          <w:u w:val="none"/>
          <w:lang w:eastAsia="zh-CN"/>
        </w:rPr>
        <w:t>成土环境数据</w:t>
      </w:r>
      <w:r>
        <w:rPr>
          <w:rFonts w:hint="eastAsia" w:ascii="宋体" w:hAnsi="宋体" w:eastAsia="宋体" w:cs="宋体"/>
          <w:b w:val="0"/>
          <w:color w:val="FF0000"/>
          <w:sz w:val="24"/>
          <w:u w:val="none"/>
          <w:lang w:val="en-US" w:eastAsia="zh-CN"/>
        </w:rPr>
        <w:t>文件夹，且文件中缺少</w:t>
      </w:r>
      <w:r>
        <w:rPr>
          <w:rFonts w:hint="eastAsia" w:ascii="宋体" w:hAnsi="宋体" w:eastAsia="宋体" w:cs="宋体"/>
          <w:b w:val="0"/>
          <w:color w:val="FF0000"/>
          <w:sz w:val="24"/>
          <w:u w:val="none"/>
          <w:lang w:eastAsia="zh-CN"/>
        </w:rPr>
        <w:t>母岩母质栅格数据、土地利用/土地整理/植被/水文状况数据。</w:t>
      </w:r>
    </w:p>
    <w:p w14:paraId="7AF39A36">
      <w:pPr>
        <w:keepNext/>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color w:val="FF0000"/>
          <w:sz w:val="24"/>
          <w:u w:val="none"/>
          <w:lang w:eastAsia="zh-CN"/>
        </w:rPr>
      </w:pPr>
      <w:r>
        <w:drawing>
          <wp:inline distT="0" distB="0" distL="114300" distR="114300">
            <wp:extent cx="5269230" cy="3583940"/>
            <wp:effectExtent l="0" t="0" r="7620" b="6985"/>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3"/>
                    <a:stretch>
                      <a:fillRect/>
                    </a:stretch>
                  </pic:blipFill>
                  <pic:spPr>
                    <a:xfrm>
                      <a:off x="0" y="0"/>
                      <a:ext cx="5269230" cy="3583940"/>
                    </a:xfrm>
                    <a:prstGeom prst="rect">
                      <a:avLst/>
                    </a:prstGeom>
                    <a:noFill/>
                    <a:ln>
                      <a:noFill/>
                    </a:ln>
                  </pic:spPr>
                </pic:pic>
              </a:graphicData>
            </a:graphic>
          </wp:inline>
        </w:drawing>
      </w:r>
    </w:p>
    <w:p w14:paraId="080B6B2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val="en-US" w:eastAsia="zh-CN"/>
        </w:rPr>
        <w:t>（3）需将补充数据中的图片数据移至历史土壤调查数据。</w:t>
      </w:r>
    </w:p>
    <w:p w14:paraId="6C96E111">
      <w:pPr>
        <w:keepNext/>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color w:val="FF0000"/>
          <w:sz w:val="24"/>
          <w:u w:val="none"/>
          <w:lang w:val="en-US" w:eastAsia="zh-CN"/>
        </w:rPr>
      </w:pPr>
      <w:r>
        <w:drawing>
          <wp:inline distT="0" distB="0" distL="114300" distR="114300">
            <wp:extent cx="5270500" cy="1745615"/>
            <wp:effectExtent l="0" t="0" r="6350" b="6985"/>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4"/>
                    <a:stretch>
                      <a:fillRect/>
                    </a:stretch>
                  </pic:blipFill>
                  <pic:spPr>
                    <a:xfrm>
                      <a:off x="0" y="0"/>
                      <a:ext cx="5270500" cy="1745615"/>
                    </a:xfrm>
                    <a:prstGeom prst="rect">
                      <a:avLst/>
                    </a:prstGeom>
                    <a:noFill/>
                    <a:ln>
                      <a:noFill/>
                    </a:ln>
                  </pic:spPr>
                </pic:pic>
              </a:graphicData>
            </a:graphic>
          </wp:inline>
        </w:drawing>
      </w:r>
    </w:p>
    <w:p w14:paraId="2F4A7CF5">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4. 过程数据文件夹规范性</w:t>
      </w:r>
    </w:p>
    <w:p w14:paraId="6F48157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06AEED0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（1）文件夹结构：包含照片、土壤推测制图tif数据、野外校核证明材料、土壤类型图野外验证材料</w:t>
      </w:r>
      <w:r>
        <w:rPr>
          <w:rFonts w:hint="eastAsia" w:ascii="宋体" w:hAnsi="宋体" w:eastAsia="宋体" w:cs="宋体"/>
          <w:b w:val="0"/>
          <w:sz w:val="24"/>
          <w:u w:val="none"/>
          <w:lang w:val="en-US" w:eastAsia="zh-CN"/>
        </w:rPr>
        <w:t>和</w:t>
      </w:r>
      <w:r>
        <w:rPr>
          <w:rFonts w:hint="eastAsia" w:ascii="宋体" w:hAnsi="宋体" w:eastAsia="宋体" w:cs="宋体"/>
          <w:b w:val="0"/>
          <w:sz w:val="24"/>
          <w:u w:val="none"/>
          <w:lang w:eastAsia="zh-CN"/>
        </w:rPr>
        <w:t>其他非矢量过程数据</w:t>
      </w:r>
      <w:r>
        <w:rPr>
          <w:rFonts w:hint="eastAsia" w:ascii="宋体" w:hAnsi="宋体" w:eastAsia="宋体" w:cs="宋体"/>
          <w:b w:val="0"/>
          <w:sz w:val="24"/>
          <w:u w:val="none"/>
          <w:lang w:val="en-US" w:eastAsia="zh-CN"/>
        </w:rPr>
        <w:t>文件夹。</w:t>
      </w:r>
    </w:p>
    <w:p w14:paraId="7B6F218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（2）照片文件夹：包含野外路线校核工作照片。</w:t>
      </w:r>
    </w:p>
    <w:p w14:paraId="7063EAB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（3）土壤推测制图tif数据：包含推测的土壤三普图.tif、不确定性分布图.tif。</w:t>
      </w:r>
    </w:p>
    <w:p w14:paraId="61EC3E2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（4）野外校核证明材料：包含土壤图野外校核路线图.jpg、野外校核记录表等。</w:t>
      </w:r>
    </w:p>
    <w:p w14:paraId="205DB8B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（5）土壤类型图野外验证材料：包含野外验证调查路线图.jpg、野外验证调查表、野外验证点位现场照片。</w:t>
      </w:r>
    </w:p>
    <w:p w14:paraId="70F7E58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（6）其他非矢量过程数据：包含二普-三普命名对应记录表、土壤类型改变区土壤类型转换规则、土壤类型支撑剖面梳理表等。</w:t>
      </w:r>
    </w:p>
    <w:p w14:paraId="6E4B299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39E2D86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1</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缺少过程数据文件夹，无法核查。</w:t>
      </w:r>
    </w:p>
    <w:p w14:paraId="0542764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val="en-US" w:eastAsia="zh-CN"/>
        </w:rPr>
        <w:t>（2）缺少</w:t>
      </w:r>
      <w:r>
        <w:rPr>
          <w:rFonts w:hint="eastAsia" w:ascii="宋体" w:hAnsi="宋体" w:eastAsia="宋体" w:cs="宋体"/>
          <w:b w:val="0"/>
          <w:color w:val="FF0000"/>
          <w:sz w:val="24"/>
          <w:u w:val="none"/>
          <w:lang w:eastAsia="zh-CN"/>
        </w:rPr>
        <w:t>野外路线校核工作照片，</w:t>
      </w:r>
      <w:r>
        <w:rPr>
          <w:rFonts w:hint="eastAsia" w:ascii="宋体" w:hAnsi="宋体" w:eastAsia="宋体" w:cs="宋体"/>
          <w:b w:val="0"/>
          <w:color w:val="FF0000"/>
          <w:sz w:val="24"/>
          <w:u w:val="none"/>
          <w:lang w:val="en-US" w:eastAsia="zh-CN"/>
        </w:rPr>
        <w:t>将该文件夹下的数据移至照片文件夹。</w:t>
      </w:r>
    </w:p>
    <w:p w14:paraId="166085A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color w:val="FF0000"/>
          <w:sz w:val="24"/>
          <w:u w:val="none"/>
          <w:lang w:val="en-US" w:eastAsia="zh-CN"/>
        </w:rPr>
      </w:pPr>
      <w:r>
        <w:drawing>
          <wp:inline distT="0" distB="0" distL="114300" distR="114300">
            <wp:extent cx="5259070" cy="2480310"/>
            <wp:effectExtent l="0" t="0" r="8255" b="5715"/>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5"/>
                    <a:stretch>
                      <a:fillRect/>
                    </a:stretch>
                  </pic:blipFill>
                  <pic:spPr>
                    <a:xfrm>
                      <a:off x="0" y="0"/>
                      <a:ext cx="5259070" cy="2480310"/>
                    </a:xfrm>
                    <a:prstGeom prst="rect">
                      <a:avLst/>
                    </a:prstGeom>
                    <a:noFill/>
                    <a:ln>
                      <a:noFill/>
                    </a:ln>
                  </pic:spPr>
                </pic:pic>
              </a:graphicData>
            </a:graphic>
          </wp:inline>
        </w:drawing>
      </w:r>
    </w:p>
    <w:p w14:paraId="0E2C2B4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3</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缺少</w:t>
      </w:r>
      <w:r>
        <w:rPr>
          <w:rFonts w:hint="eastAsia" w:ascii="宋体" w:hAnsi="宋体" w:eastAsia="宋体" w:cs="宋体"/>
          <w:b w:val="0"/>
          <w:color w:val="FF0000"/>
          <w:sz w:val="24"/>
          <w:u w:val="none"/>
          <w:lang w:eastAsia="zh-CN"/>
        </w:rPr>
        <w:t>推测的土壤三普图.tif、不确定性分布图.tif。</w:t>
      </w:r>
    </w:p>
    <w:p w14:paraId="5E30848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val="en-US" w:eastAsia="zh-CN"/>
        </w:rPr>
        <w:t>（4）将补充数据中野外校核数据移至</w:t>
      </w:r>
      <w:r>
        <w:rPr>
          <w:rFonts w:hint="eastAsia" w:ascii="宋体" w:hAnsi="宋体" w:eastAsia="宋体" w:cs="宋体"/>
          <w:b w:val="0"/>
          <w:color w:val="FF0000"/>
          <w:sz w:val="24"/>
          <w:u w:val="none"/>
          <w:lang w:eastAsia="zh-CN"/>
        </w:rPr>
        <w:t>野外校核证明材料</w:t>
      </w:r>
      <w:r>
        <w:rPr>
          <w:rFonts w:hint="eastAsia" w:ascii="宋体" w:hAnsi="宋体" w:eastAsia="宋体" w:cs="宋体"/>
          <w:b w:val="0"/>
          <w:color w:val="FF0000"/>
          <w:sz w:val="24"/>
          <w:u w:val="none"/>
          <w:lang w:val="en-US" w:eastAsia="zh-CN"/>
        </w:rPr>
        <w:t>文件夹。</w:t>
      </w:r>
    </w:p>
    <w:p w14:paraId="52CB13EB">
      <w:pPr>
        <w:keepNext/>
        <w:keepLines w:val="0"/>
        <w:pageBreakBefore w:val="0"/>
        <w:widowControl w:val="0"/>
        <w:kinsoku/>
        <w:wordWrap/>
        <w:overflowPunct/>
        <w:topLinePunct w:val="0"/>
        <w:autoSpaceDE/>
        <w:autoSpaceDN/>
        <w:bidi w:val="0"/>
        <w:adjustRightInd/>
        <w:snapToGrid/>
        <w:spacing w:line="360" w:lineRule="auto"/>
        <w:jc w:val="left"/>
        <w:textAlignment w:val="auto"/>
        <w:rPr>
          <w:color w:val="FF0000"/>
        </w:rPr>
      </w:pPr>
      <w:r>
        <w:rPr>
          <w:color w:val="FF0000"/>
        </w:rPr>
        <w:drawing>
          <wp:inline distT="0" distB="0" distL="114300" distR="114300">
            <wp:extent cx="5265420" cy="1530985"/>
            <wp:effectExtent l="0" t="0" r="1905" b="254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6"/>
                    <a:stretch>
                      <a:fillRect/>
                    </a:stretch>
                  </pic:blipFill>
                  <pic:spPr>
                    <a:xfrm>
                      <a:off x="0" y="0"/>
                      <a:ext cx="5265420" cy="1530985"/>
                    </a:xfrm>
                    <a:prstGeom prst="rect">
                      <a:avLst/>
                    </a:prstGeom>
                    <a:noFill/>
                    <a:ln>
                      <a:noFill/>
                    </a:ln>
                  </pic:spPr>
                </pic:pic>
              </a:graphicData>
            </a:graphic>
          </wp:inline>
        </w:drawing>
      </w:r>
    </w:p>
    <w:p w14:paraId="6297B139">
      <w:pPr>
        <w:keepNext/>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b w:val="0"/>
          <w:color w:val="FF0000"/>
          <w:sz w:val="24"/>
          <w:u w:val="none"/>
          <w:lang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5</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缺少</w:t>
      </w:r>
      <w:r>
        <w:rPr>
          <w:rFonts w:hint="eastAsia" w:ascii="宋体" w:hAnsi="宋体" w:eastAsia="宋体" w:cs="宋体"/>
          <w:b w:val="0"/>
          <w:color w:val="FF0000"/>
          <w:sz w:val="24"/>
          <w:u w:val="none"/>
          <w:lang w:eastAsia="zh-CN"/>
        </w:rPr>
        <w:t>土壤类型图野外验证材料。</w:t>
      </w:r>
    </w:p>
    <w:p w14:paraId="5F729F66">
      <w:pPr>
        <w:keepNext/>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6</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缺少</w:t>
      </w:r>
      <w:r>
        <w:rPr>
          <w:rFonts w:hint="eastAsia" w:ascii="宋体" w:hAnsi="宋体" w:eastAsia="宋体" w:cs="宋体"/>
          <w:b w:val="0"/>
          <w:color w:val="FF0000"/>
          <w:sz w:val="24"/>
          <w:u w:val="none"/>
          <w:lang w:eastAsia="zh-CN"/>
        </w:rPr>
        <w:t>二普-三普命名对应记录表、土壤类型支撑剖面梳理表等。</w:t>
      </w:r>
    </w:p>
    <w:p w14:paraId="7E6CB259">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5. 成果数据文件夹规范性</w:t>
      </w:r>
    </w:p>
    <w:p w14:paraId="7D8BEE4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0C7D88F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（1）文件夹结构：包含数字化图件成果</w:t>
      </w:r>
      <w:r>
        <w:rPr>
          <w:rFonts w:hint="eastAsia" w:ascii="宋体" w:hAnsi="宋体" w:eastAsia="宋体" w:cs="宋体"/>
          <w:b w:val="0"/>
          <w:sz w:val="24"/>
          <w:u w:val="none"/>
          <w:lang w:val="en-US" w:eastAsia="zh-CN"/>
        </w:rPr>
        <w:t>和</w:t>
      </w:r>
      <w:r>
        <w:rPr>
          <w:rFonts w:hint="eastAsia" w:ascii="宋体" w:hAnsi="宋体" w:eastAsia="宋体" w:cs="宋体"/>
          <w:b w:val="0"/>
          <w:sz w:val="24"/>
          <w:u w:val="none"/>
          <w:lang w:eastAsia="zh-CN"/>
        </w:rPr>
        <w:t>文字成果</w:t>
      </w:r>
      <w:r>
        <w:rPr>
          <w:rFonts w:hint="eastAsia" w:ascii="宋体" w:hAnsi="宋体" w:eastAsia="宋体" w:cs="宋体"/>
          <w:b w:val="0"/>
          <w:sz w:val="24"/>
          <w:u w:val="none"/>
          <w:lang w:val="en-US" w:eastAsia="zh-CN"/>
        </w:rPr>
        <w:t>文件夹。</w:t>
      </w:r>
    </w:p>
    <w:p w14:paraId="2935603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（2）数字化图件成果：包含土壤类型图.jpg（主成果，DPI</w:t>
      </w:r>
      <w:r>
        <w:rPr>
          <w:rFonts w:hint="eastAsia" w:ascii="宋体" w:hAnsi="宋体" w:eastAsia="宋体" w:cs="宋体"/>
          <w:b w:val="0"/>
          <w:sz w:val="24"/>
          <w:u w:val="none"/>
          <w:lang w:val="en-US" w:eastAsia="zh-CN"/>
        </w:rPr>
        <w:t>＞</w:t>
      </w:r>
      <w:r>
        <w:rPr>
          <w:rFonts w:hint="eastAsia" w:ascii="宋体" w:hAnsi="宋体" w:eastAsia="宋体" w:cs="宋体"/>
          <w:b w:val="0"/>
          <w:sz w:val="24"/>
          <w:u w:val="none"/>
          <w:lang w:eastAsia="zh-CN"/>
        </w:rPr>
        <w:t>300）。</w:t>
      </w:r>
    </w:p>
    <w:p w14:paraId="14F1726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（3）文字成果：包含土壤类型图编制工作报告/技术报告（.doc和.pdf）。</w:t>
      </w:r>
    </w:p>
    <w:p w14:paraId="47DD68F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551000A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1</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缺少成果数据文件夹，无法核查。</w:t>
      </w:r>
    </w:p>
    <w:p w14:paraId="105DC04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val="en-US" w:eastAsia="zh-CN"/>
        </w:rPr>
        <w:t>（2）缺少工作报告。</w:t>
      </w:r>
    </w:p>
    <w:p w14:paraId="22736350">
      <w:pPr>
        <w:keepNext/>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sz w:val="24"/>
          <w:u w:val="none"/>
          <w:lang w:val="en-US" w:eastAsia="zh-CN"/>
        </w:rPr>
      </w:pPr>
      <w:r>
        <w:drawing>
          <wp:inline distT="0" distB="0" distL="114300" distR="114300">
            <wp:extent cx="5262880" cy="886460"/>
            <wp:effectExtent l="0" t="0" r="4445" b="8890"/>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7"/>
                    <a:stretch>
                      <a:fillRect/>
                    </a:stretch>
                  </pic:blipFill>
                  <pic:spPr>
                    <a:xfrm>
                      <a:off x="0" y="0"/>
                      <a:ext cx="5262880" cy="886460"/>
                    </a:xfrm>
                    <a:prstGeom prst="rect">
                      <a:avLst/>
                    </a:prstGeom>
                    <a:noFill/>
                    <a:ln>
                      <a:noFill/>
                    </a:ln>
                  </pic:spPr>
                </pic:pic>
              </a:graphicData>
            </a:graphic>
          </wp:inline>
        </w:drawing>
      </w:r>
    </w:p>
    <w:p w14:paraId="62FA2C5C">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3" w:name="_Toc18472"/>
      <w:r>
        <w:rPr>
          <w:rFonts w:hint="eastAsia" w:ascii="宋体" w:hAnsi="宋体" w:eastAsia="宋体" w:cs="宋体"/>
          <w:b/>
          <w:sz w:val="28"/>
          <w:u w:val="none"/>
          <w:lang w:eastAsia="zh-CN"/>
        </w:rPr>
        <w:t>（二）核心数据成果核查</w:t>
      </w:r>
      <w:bookmarkEnd w:id="3"/>
    </w:p>
    <w:p w14:paraId="00DDC3FE">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基础地理与历史数据</w:t>
      </w:r>
    </w:p>
    <w:p w14:paraId="43B03AE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56FD8D5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（1）基础地理数据：是否包含行政区、居民点、道路、水系等矢量要素。</w:t>
      </w:r>
    </w:p>
    <w:p w14:paraId="2177943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（2）土壤三普数据：是否包含土壤剖面调查数据、土壤表层调查数据。</w:t>
      </w:r>
    </w:p>
    <w:p w14:paraId="468851E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（3）历史土壤数据：是否包含土壤二普县级土种志剖面矢量数据、土壤二普县级土壤图矢量数据、分类校准更新后的土壤二普县级土壤图矢量数据；是否包含土壤二普县级土种志、土壤志或普查报告等。</w:t>
      </w:r>
    </w:p>
    <w:p w14:paraId="5A4BB1E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0ED3D1D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1</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缺少居民点要素。</w:t>
      </w:r>
    </w:p>
    <w:p w14:paraId="116BCB8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eastAsia="zh-CN"/>
        </w:rPr>
      </w:pPr>
      <w:r>
        <w:rPr>
          <w:rFonts w:hint="eastAsia" w:ascii="宋体" w:hAnsi="宋体" w:eastAsia="宋体" w:cs="宋体"/>
          <w:b w:val="0"/>
          <w:color w:val="FF0000"/>
          <w:sz w:val="24"/>
          <w:u w:val="none"/>
          <w:lang w:val="en-US" w:eastAsia="zh-CN"/>
        </w:rPr>
        <w:t>（2）缺少</w:t>
      </w:r>
      <w:r>
        <w:rPr>
          <w:rFonts w:hint="eastAsia" w:ascii="宋体" w:hAnsi="宋体" w:eastAsia="宋体" w:cs="宋体"/>
          <w:b w:val="0"/>
          <w:color w:val="FF0000"/>
          <w:sz w:val="24"/>
          <w:u w:val="none"/>
          <w:lang w:eastAsia="zh-CN"/>
        </w:rPr>
        <w:t>土壤剖面调查数据、土壤表层调查数据。</w:t>
      </w:r>
    </w:p>
    <w:p w14:paraId="5D94A95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3</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缺少</w:t>
      </w:r>
      <w:r>
        <w:rPr>
          <w:rFonts w:hint="eastAsia" w:ascii="宋体" w:hAnsi="宋体" w:eastAsia="宋体" w:cs="宋体"/>
          <w:b w:val="0"/>
          <w:color w:val="FF0000"/>
          <w:sz w:val="24"/>
          <w:u w:val="none"/>
          <w:lang w:eastAsia="zh-CN"/>
        </w:rPr>
        <w:t>土壤二普县级土种志剖面矢量数据。</w:t>
      </w:r>
    </w:p>
    <w:p w14:paraId="22531CFF">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成土环境与过程数据</w:t>
      </w:r>
    </w:p>
    <w:p w14:paraId="7B2D480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28F37BF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（1）成土环境数据：是否提供母岩母质栅格数据、DEM栅格数据、DEM派生指数数据（30m分辨率）、土地利用类型数据、土地整理数据、植被数据、水文状况数据、多源遥感影像数据。</w:t>
      </w:r>
    </w:p>
    <w:p w14:paraId="0B9DA58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（2）二普土壤图室内校核：是否提供室内校核后的二普土壤图。</w:t>
      </w:r>
    </w:p>
    <w:p w14:paraId="722D140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（3）土壤类型改变区提取：是否提供可能改变区图层。</w:t>
      </w:r>
    </w:p>
    <w:p w14:paraId="5C6466E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土壤类型推测制图：是否提供典型虚拟点、三普剖面样点、野外校核点；是否提供栅格土种预测结果、栅格不确定性分布结果、土种预测结果矢量化图层；是否有环境数据重要性排序、Kappa系数等验证模型精度。</w:t>
      </w:r>
    </w:p>
    <w:p w14:paraId="2353253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186A2AF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1</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缺少</w:t>
      </w:r>
      <w:r>
        <w:rPr>
          <w:rFonts w:hint="eastAsia" w:ascii="宋体" w:hAnsi="宋体" w:eastAsia="宋体" w:cs="宋体"/>
          <w:b w:val="0"/>
          <w:color w:val="FF0000"/>
          <w:sz w:val="24"/>
          <w:u w:val="none"/>
          <w:lang w:eastAsia="zh-CN"/>
        </w:rPr>
        <w:t>母岩母质栅格数据、土地利用类型数据、土地整理数据。</w:t>
      </w:r>
    </w:p>
    <w:p w14:paraId="7E605F9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2</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缺少可能改变区图层。</w:t>
      </w:r>
    </w:p>
    <w:p w14:paraId="7F7A52B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3</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缺少</w:t>
      </w:r>
      <w:r>
        <w:rPr>
          <w:rFonts w:hint="eastAsia" w:ascii="宋体" w:hAnsi="宋体" w:eastAsia="宋体" w:cs="宋体"/>
          <w:b w:val="0"/>
          <w:color w:val="FF0000"/>
          <w:sz w:val="24"/>
          <w:u w:val="none"/>
          <w:lang w:eastAsia="zh-CN"/>
        </w:rPr>
        <w:t>典型虚拟点、栅格土种预测结果、栅格不确定性分布结果</w:t>
      </w:r>
      <w:r>
        <w:rPr>
          <w:rFonts w:hint="eastAsia" w:ascii="宋体" w:hAnsi="宋体" w:eastAsia="宋体" w:cs="宋体"/>
          <w:b w:val="0"/>
          <w:color w:val="FF0000"/>
          <w:sz w:val="24"/>
          <w:u w:val="none"/>
          <w:lang w:val="en-US" w:eastAsia="zh-CN"/>
        </w:rPr>
        <w:t>等数据</w:t>
      </w:r>
      <w:r>
        <w:rPr>
          <w:rFonts w:hint="eastAsia" w:ascii="宋体" w:hAnsi="宋体" w:eastAsia="宋体" w:cs="宋体"/>
          <w:b w:val="0"/>
          <w:color w:val="FF0000"/>
          <w:sz w:val="24"/>
          <w:u w:val="none"/>
          <w:lang w:eastAsia="zh-CN"/>
        </w:rPr>
        <w:t>。</w:t>
      </w:r>
    </w:p>
    <w:p w14:paraId="3F53D853">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野外校核与验证成果</w:t>
      </w:r>
    </w:p>
    <w:p w14:paraId="2243BB4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C79E5F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（1）野外校核路线：是否至少有三条路线；路线是否覆盖土壤类型可能改变区域；路线是否穿过各类可能改变区的代表性图斑中心；路线是否穿过室内校核有疑问的图斑。</w:t>
      </w:r>
    </w:p>
    <w:p w14:paraId="544C42F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（2）土壤类型转换规则：是否制定土壤类型转换规则表。</w:t>
      </w:r>
    </w:p>
    <w:p w14:paraId="4389870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（3）有疑图斑校核：可能变化区与疑问图斑是否按野外校核结果进行修订。</w:t>
      </w:r>
    </w:p>
    <w:p w14:paraId="4C49CA7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（4）野外路线校核工作照片：校核点位数量与上交的图片资料数量是否一致。</w:t>
      </w:r>
    </w:p>
    <w:p w14:paraId="5C39D15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（5）野外验证结果：每条路线穿过的土壤图斑中是否随机选取10个图斑（3条路线共30个图斑）进行验证。</w:t>
      </w:r>
    </w:p>
    <w:p w14:paraId="18AD8EF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056A143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1</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缺少数据，无法核查路线可靠性。</w:t>
      </w:r>
    </w:p>
    <w:p w14:paraId="0443865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val="en-US" w:eastAsia="zh-CN"/>
        </w:rPr>
        <w:t>（2）缺少数据，无法核查有疑图斑。</w:t>
      </w:r>
    </w:p>
    <w:p w14:paraId="0E9B958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3</w:t>
      </w:r>
      <w:r>
        <w:rPr>
          <w:rFonts w:hint="eastAsia" w:ascii="宋体" w:hAnsi="宋体" w:eastAsia="宋体" w:cs="宋体"/>
          <w:b w:val="0"/>
          <w:color w:val="FF0000"/>
          <w:sz w:val="24"/>
          <w:u w:val="none"/>
          <w:lang w:eastAsia="zh-CN"/>
        </w:rPr>
        <w:t>）校核点位数量与上交的图片资料数量</w:t>
      </w:r>
      <w:r>
        <w:rPr>
          <w:rFonts w:hint="eastAsia" w:ascii="宋体" w:hAnsi="宋体" w:eastAsia="宋体" w:cs="宋体"/>
          <w:b w:val="0"/>
          <w:color w:val="FF0000"/>
          <w:sz w:val="24"/>
          <w:u w:val="none"/>
          <w:lang w:val="en-US" w:eastAsia="zh-CN"/>
        </w:rPr>
        <w:t>不</w:t>
      </w:r>
      <w:r>
        <w:rPr>
          <w:rFonts w:hint="eastAsia" w:ascii="宋体" w:hAnsi="宋体" w:eastAsia="宋体" w:cs="宋体"/>
          <w:b w:val="0"/>
          <w:color w:val="FF0000"/>
          <w:sz w:val="24"/>
          <w:u w:val="none"/>
          <w:lang w:eastAsia="zh-CN"/>
        </w:rPr>
        <w:t>一致。</w:t>
      </w:r>
    </w:p>
    <w:p w14:paraId="27D083B2">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val="0"/>
          <w:color w:val="FF0000"/>
          <w:sz w:val="24"/>
          <w:u w:val="none"/>
          <w:lang w:eastAsia="zh-CN"/>
        </w:rPr>
      </w:pPr>
      <w:r>
        <w:rPr>
          <w:rFonts w:hint="eastAsia" w:ascii="宋体" w:hAnsi="宋体" w:eastAsia="宋体" w:cs="宋体"/>
          <w:b/>
          <w:sz w:val="24"/>
          <w:u w:val="none"/>
          <w:lang w:val="en-US" w:eastAsia="zh-CN"/>
        </w:rPr>
        <w:t>4</w:t>
      </w:r>
      <w:r>
        <w:rPr>
          <w:rFonts w:hint="eastAsia" w:ascii="宋体" w:hAnsi="宋体" w:eastAsia="宋体" w:cs="宋体"/>
          <w:b/>
          <w:sz w:val="24"/>
          <w:u w:val="none"/>
          <w:lang w:eastAsia="zh-CN"/>
        </w:rPr>
        <w:t xml:space="preserve">. </w:t>
      </w:r>
      <w:r>
        <w:rPr>
          <w:rFonts w:hint="eastAsia" w:ascii="宋体" w:hAnsi="宋体" w:eastAsia="宋体" w:cs="宋体"/>
          <w:b/>
          <w:sz w:val="24"/>
          <w:u w:val="none"/>
          <w:lang w:val="en-US" w:eastAsia="zh-CN"/>
        </w:rPr>
        <w:t>土壤分类与制图结果</w:t>
      </w:r>
    </w:p>
    <w:p w14:paraId="33A555D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1</w:t>
      </w:r>
      <w:r>
        <w:rPr>
          <w:rFonts w:hint="eastAsia" w:ascii="宋体" w:hAnsi="宋体" w:eastAsia="宋体" w:cs="宋体"/>
          <w:b w:val="0"/>
          <w:color w:val="FF0000"/>
          <w:sz w:val="24"/>
          <w:u w:val="none"/>
          <w:lang w:eastAsia="zh-CN"/>
        </w:rPr>
        <w:t>）壤质夹砾泥砂质潮褐土、壤质</w:t>
      </w:r>
      <w:r>
        <w:rPr>
          <w:rFonts w:hint="eastAsia" w:ascii="宋体" w:hAnsi="宋体" w:eastAsia="宋体" w:cs="宋体"/>
          <w:b w:val="0"/>
          <w:color w:val="FF0000"/>
          <w:sz w:val="24"/>
          <w:u w:val="none"/>
          <w:lang w:val="en-US" w:eastAsia="zh-CN"/>
        </w:rPr>
        <w:t>底</w:t>
      </w:r>
      <w:r>
        <w:rPr>
          <w:rFonts w:hint="eastAsia" w:ascii="宋体" w:hAnsi="宋体" w:eastAsia="宋体" w:cs="宋体"/>
          <w:b w:val="0"/>
          <w:color w:val="FF0000"/>
          <w:sz w:val="24"/>
          <w:u w:val="none"/>
          <w:lang w:eastAsia="zh-CN"/>
        </w:rPr>
        <w:t>砾泥砂质潮褐土、重砾砂质石灰性冲积新积土、均砂壤质泥砂质潮褐土、轻砾砂壤质薄层麻砂质褐土性土、轻砾砂壤质薄层麻砂质棕壤性土、壤质体砾泥砂质潮褐土、壤质体砾浅潮泥田、砂壤质体砾泥砂质潮褐土、重砾砂壤质薄层麻砂质褐土性土</w:t>
      </w:r>
      <w:r>
        <w:rPr>
          <w:rFonts w:hint="eastAsia" w:ascii="宋体" w:hAnsi="宋体" w:eastAsia="宋体" w:cs="宋体"/>
          <w:b w:val="0"/>
          <w:color w:val="FF0000"/>
          <w:sz w:val="24"/>
          <w:u w:val="none"/>
          <w:lang w:val="en-US" w:eastAsia="zh-CN"/>
        </w:rPr>
        <w:t>不在省级土种类型清单中。</w:t>
      </w:r>
    </w:p>
    <w:p w14:paraId="708243F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val="en-US" w:eastAsia="zh-CN"/>
        </w:rPr>
        <w:t>（2）土种不在省级分类清单中。</w:t>
      </w:r>
    </w:p>
    <w:p w14:paraId="6530D0A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color w:val="FF0000"/>
          <w:sz w:val="24"/>
          <w:u w:val="none"/>
          <w:lang w:val="en-US" w:eastAsia="zh-CN"/>
        </w:rPr>
      </w:pPr>
      <w:r>
        <w:drawing>
          <wp:inline distT="0" distB="0" distL="114300" distR="114300">
            <wp:extent cx="5262880" cy="3713480"/>
            <wp:effectExtent l="0" t="0" r="4445" b="1270"/>
            <wp:docPr id="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a:picLocks noChangeAspect="1"/>
                    </pic:cNvPicPr>
                  </pic:nvPicPr>
                  <pic:blipFill>
                    <a:blip r:embed="rId18"/>
                    <a:stretch>
                      <a:fillRect/>
                    </a:stretch>
                  </pic:blipFill>
                  <pic:spPr>
                    <a:xfrm>
                      <a:off x="0" y="0"/>
                      <a:ext cx="5262880" cy="3713480"/>
                    </a:xfrm>
                    <a:prstGeom prst="rect">
                      <a:avLst/>
                    </a:prstGeom>
                    <a:noFill/>
                    <a:ln>
                      <a:noFill/>
                    </a:ln>
                  </pic:spPr>
                </pic:pic>
              </a:graphicData>
            </a:graphic>
          </wp:inline>
        </w:drawing>
      </w:r>
    </w:p>
    <w:p w14:paraId="221F457C">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u w:val="none"/>
          <w:lang w:eastAsia="zh-CN"/>
        </w:rPr>
      </w:pPr>
      <w:bookmarkStart w:id="4" w:name="_Toc14635"/>
      <w:r>
        <w:rPr>
          <w:rFonts w:hint="eastAsia" w:ascii="黑体" w:hAnsi="黑体" w:eastAsia="黑体" w:cs="黑体"/>
          <w:b/>
          <w:sz w:val="30"/>
          <w:u w:val="none"/>
          <w:lang w:eastAsia="zh-CN"/>
        </w:rPr>
        <w:t>二、图件成果</w:t>
      </w:r>
      <w:bookmarkEnd w:id="4"/>
    </w:p>
    <w:p w14:paraId="2A622DDA">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5" w:name="_Toc15312"/>
      <w:r>
        <w:rPr>
          <w:rFonts w:hint="eastAsia" w:ascii="宋体" w:hAnsi="宋体" w:eastAsia="宋体" w:cs="宋体"/>
          <w:b/>
          <w:sz w:val="28"/>
          <w:u w:val="none"/>
          <w:lang w:eastAsia="zh-CN"/>
        </w:rPr>
        <w:t>（一）图件规范性审查</w:t>
      </w:r>
      <w:bookmarkEnd w:id="5"/>
    </w:p>
    <w:p w14:paraId="22D71147">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图件格式与图面要素</w:t>
      </w:r>
    </w:p>
    <w:p w14:paraId="3406790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220F384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（1）图件格式为JPG，DPI大于300。</w:t>
      </w:r>
    </w:p>
    <w:p w14:paraId="24E4C36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（2）图名、图例、注记、比例尺、指北针、地理要素、土壤类型分布断面图、土壤类型与土地利用类型面积统计表、位置示意图、制图人员信息等要素齐全。</w:t>
      </w:r>
    </w:p>
    <w:p w14:paraId="4921BB4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（3）参照《第三次全国国土调查技术规程》（TD/T 1055-2019）进行背景要素符号样式设计和绘制。</w:t>
      </w:r>
    </w:p>
    <w:p w14:paraId="2EB80BD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（4）基础地理要素包括地形、水系、居民点、交通线和境界线等齐全。</w:t>
      </w:r>
    </w:p>
    <w:p w14:paraId="6A39C1A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（5）成图比例尺为1：5万；最好以线段比例尺表示。</w:t>
      </w:r>
    </w:p>
    <w:p w14:paraId="7DF1931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（6）县级、地市级土壤制图上图单元到土种。</w:t>
      </w:r>
    </w:p>
    <w:p w14:paraId="10733DE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36FF049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1</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缺少位置示意图。</w:t>
      </w:r>
    </w:p>
    <w:p w14:paraId="6356817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val="en-US" w:eastAsia="zh-CN"/>
        </w:rPr>
        <w:t>（2）缺少水系、居民点、交通线要素。</w:t>
      </w:r>
    </w:p>
    <w:p w14:paraId="1FF9457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val="en-US" w:eastAsia="zh-CN"/>
        </w:rPr>
        <w:t>（3）缺少线段比例尺。</w:t>
      </w:r>
    </w:p>
    <w:p w14:paraId="0A720F3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w:t>
      </w:r>
      <w:r>
        <w:drawing>
          <wp:inline distT="0" distB="0" distL="114300" distR="114300">
            <wp:extent cx="4143375" cy="962025"/>
            <wp:effectExtent l="0" t="0" r="0" b="0"/>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19"/>
                    <a:stretch>
                      <a:fillRect/>
                    </a:stretch>
                  </pic:blipFill>
                  <pic:spPr>
                    <a:xfrm>
                      <a:off x="0" y="0"/>
                      <a:ext cx="4143375" cy="962025"/>
                    </a:xfrm>
                    <a:prstGeom prst="rect">
                      <a:avLst/>
                    </a:prstGeom>
                    <a:noFill/>
                    <a:ln>
                      <a:noFill/>
                    </a:ln>
                  </pic:spPr>
                </pic:pic>
              </a:graphicData>
            </a:graphic>
          </wp:inline>
        </w:drawing>
      </w:r>
    </w:p>
    <w:p w14:paraId="69BA8B81">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6" w:name="_Toc26692"/>
      <w:r>
        <w:rPr>
          <w:rFonts w:hint="eastAsia" w:ascii="宋体" w:hAnsi="宋体" w:eastAsia="宋体" w:cs="宋体"/>
          <w:b/>
          <w:sz w:val="28"/>
          <w:u w:val="none"/>
          <w:lang w:eastAsia="zh-CN"/>
        </w:rPr>
        <w:t>（二）基础地理要素核查</w:t>
      </w:r>
      <w:bookmarkEnd w:id="6"/>
    </w:p>
    <w:p w14:paraId="19290D12">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基础地理要素</w:t>
      </w:r>
    </w:p>
    <w:p w14:paraId="177C02E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1662363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（1）地形：等高距一般平原20~50m；丘陵50~100m；山区100~200m。</w:t>
      </w:r>
    </w:p>
    <w:p w14:paraId="378515C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（2）水系：河流、湖泊、水库、水渠是否标识。</w:t>
      </w:r>
    </w:p>
    <w:p w14:paraId="580182B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（3）居民点：建成区以完整面状图斑表示；较小的乡镇、村级可以用点状符号表示。</w:t>
      </w:r>
    </w:p>
    <w:p w14:paraId="71BCC9A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（4）境界线：参照自然资源部地图技术审查中心的标准地图，正确表示县界、市界、省界。</w:t>
      </w:r>
    </w:p>
    <w:p w14:paraId="1CBF7C5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（5）符号化：非土壤制图单元的制图符号按国家基本比例尺地图图示国家标准进行符号化（GB/T 20257.3—2017）。</w:t>
      </w:r>
    </w:p>
    <w:p w14:paraId="1361974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（6）色标：按照《土壤制图 1：25000 1：50000 1：100000 中国土壤图用色和图例规范》。</w:t>
      </w:r>
    </w:p>
    <w:p w14:paraId="4D00A48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781C7A2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1</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缺少水系、居民点要素。</w:t>
      </w:r>
    </w:p>
    <w:p w14:paraId="10B39AB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val="en-US" w:eastAsia="zh-CN"/>
        </w:rPr>
        <w:t>（2）地图中有晕线，图例未展示。</w:t>
      </w:r>
    </w:p>
    <w:p w14:paraId="65C35EE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color w:val="FF0000"/>
          <w:sz w:val="24"/>
          <w:u w:val="none"/>
          <w:lang w:val="en-US" w:eastAsia="zh-CN"/>
        </w:rPr>
      </w:pPr>
      <w:r>
        <w:drawing>
          <wp:inline distT="0" distB="0" distL="114300" distR="114300">
            <wp:extent cx="4297045" cy="4168140"/>
            <wp:effectExtent l="0" t="0" r="8255" b="3810"/>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20"/>
                    <a:stretch>
                      <a:fillRect/>
                    </a:stretch>
                  </pic:blipFill>
                  <pic:spPr>
                    <a:xfrm>
                      <a:off x="0" y="0"/>
                      <a:ext cx="4297045" cy="4168140"/>
                    </a:xfrm>
                    <a:prstGeom prst="rect">
                      <a:avLst/>
                    </a:prstGeom>
                    <a:noFill/>
                    <a:ln>
                      <a:noFill/>
                    </a:ln>
                  </pic:spPr>
                </pic:pic>
              </a:graphicData>
            </a:graphic>
          </wp:inline>
        </w:drawing>
      </w:r>
    </w:p>
    <w:p w14:paraId="176738ED">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7" w:name="_Toc25965"/>
      <w:r>
        <w:rPr>
          <w:rFonts w:hint="eastAsia" w:ascii="宋体" w:hAnsi="宋体" w:eastAsia="宋体" w:cs="宋体"/>
          <w:b/>
          <w:sz w:val="28"/>
          <w:u w:val="none"/>
          <w:lang w:eastAsia="zh-CN"/>
        </w:rPr>
        <w:t>（三）注记核查</w:t>
      </w:r>
      <w:bookmarkEnd w:id="7"/>
    </w:p>
    <w:p w14:paraId="0ED18179">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注记要素</w:t>
      </w:r>
    </w:p>
    <w:p w14:paraId="0197719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5B3D1FA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（1）土壤类型按照分类层次进行标记，不宜跨越4个及以上分类层级。</w:t>
      </w:r>
    </w:p>
    <w:p w14:paraId="7AFAEDA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（2）顺序号可采用罗马数字、阿拉伯数字和小写字母分别标记，并在图例中对顺序号进行说明。</w:t>
      </w:r>
    </w:p>
    <w:p w14:paraId="7A161D1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（3）对于图斑较小的情况，采用引线标记；面积分布范围过大的制图单元，可以进行多次标记。</w:t>
      </w:r>
    </w:p>
    <w:p w14:paraId="2A3149E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（4）政府驻地、铁路站场、民用机场、公路与铁路、河流、湖泊、水库、干渠、国家公园、自然保护区、自然公园等重要地物名称是否注记。</w:t>
      </w:r>
    </w:p>
    <w:p w14:paraId="55ECEC2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（5）注记文字种类不超过4种，汉字优先采用宋体，可选用黑体、楷体、仿宋、隶书；英文和数字优先采用Times New Roman，可选用Arial Black。注记方向一般为正向，字头朝北。注记排列方式按照实际情况从水平字列、垂直字列、雁行字列和屈曲字列中选择。</w:t>
      </w:r>
    </w:p>
    <w:p w14:paraId="76B8E04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0CF56B4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1</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缺少河流等水系要素与注记。</w:t>
      </w:r>
    </w:p>
    <w:p w14:paraId="1E884451">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8" w:name="_Toc18263"/>
      <w:r>
        <w:rPr>
          <w:rFonts w:hint="eastAsia" w:ascii="宋体" w:hAnsi="宋体" w:eastAsia="宋体" w:cs="宋体"/>
          <w:b/>
          <w:sz w:val="28"/>
          <w:u w:val="none"/>
          <w:lang w:eastAsia="zh-CN"/>
        </w:rPr>
        <w:t>（四）图面配置与整饰</w:t>
      </w:r>
      <w:bookmarkEnd w:id="8"/>
    </w:p>
    <w:p w14:paraId="58C954D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土壤类型与土地利用类型面积统计表</w:t>
      </w:r>
    </w:p>
    <w:p w14:paraId="57FA11F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270AB26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（1）面积统计表对各土种不同农用地土地利用现状类型进行了面积和占比统计。</w:t>
      </w:r>
    </w:p>
    <w:p w14:paraId="4C3F2B4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（2）辖区面积与2023年国土变更调查的数据一致，要进行平差。</w:t>
      </w:r>
    </w:p>
    <w:p w14:paraId="43AF1BD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76D3BD5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val="en-US" w:eastAsia="zh-CN"/>
        </w:rPr>
        <w:t>经审查无误。。</w:t>
      </w:r>
    </w:p>
    <w:p w14:paraId="43C77153">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土壤类型分布断面图</w:t>
      </w:r>
    </w:p>
    <w:p w14:paraId="0871883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5087788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（1）断面图断面选择合理，贯穿全域。</w:t>
      </w:r>
    </w:p>
    <w:p w14:paraId="17902D7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（2）断面图标注了关键地点名称、断面方向、土种名称，并且对应了地形地貌和成土母质。</w:t>
      </w:r>
    </w:p>
    <w:p w14:paraId="33762C5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5ED1B36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1</w:t>
      </w:r>
      <w:r>
        <w:rPr>
          <w:rFonts w:hint="eastAsia" w:ascii="宋体" w:hAnsi="宋体" w:eastAsia="宋体" w:cs="宋体"/>
          <w:b w:val="0"/>
          <w:color w:val="FF0000"/>
          <w:sz w:val="24"/>
          <w:u w:val="none"/>
          <w:lang w:eastAsia="zh-CN"/>
        </w:rPr>
        <w:t>）断面图</w:t>
      </w:r>
      <w:r>
        <w:rPr>
          <w:rFonts w:hint="eastAsia" w:ascii="宋体" w:hAnsi="宋体" w:eastAsia="宋体" w:cs="宋体"/>
          <w:b w:val="0"/>
          <w:color w:val="FF0000"/>
          <w:sz w:val="24"/>
          <w:u w:val="none"/>
          <w:lang w:val="en-US" w:eastAsia="zh-CN"/>
        </w:rPr>
        <w:t>未</w:t>
      </w:r>
      <w:r>
        <w:rPr>
          <w:rFonts w:hint="eastAsia" w:ascii="宋体" w:hAnsi="宋体" w:eastAsia="宋体" w:cs="宋体"/>
          <w:b w:val="0"/>
          <w:color w:val="FF0000"/>
          <w:sz w:val="24"/>
          <w:u w:val="none"/>
          <w:lang w:eastAsia="zh-CN"/>
        </w:rPr>
        <w:t>标注关键地点名称、断面方向、土种名称</w:t>
      </w:r>
      <w:r>
        <w:rPr>
          <w:rFonts w:hint="eastAsia" w:ascii="宋体" w:hAnsi="宋体" w:eastAsia="宋体" w:cs="宋体"/>
          <w:b w:val="0"/>
          <w:color w:val="FF0000"/>
          <w:sz w:val="24"/>
          <w:u w:val="none"/>
          <w:lang w:val="en-US" w:eastAsia="zh-CN"/>
        </w:rPr>
        <w:t>与</w:t>
      </w:r>
      <w:r>
        <w:rPr>
          <w:rFonts w:hint="eastAsia" w:ascii="宋体" w:hAnsi="宋体" w:eastAsia="宋体" w:cs="宋体"/>
          <w:b w:val="0"/>
          <w:color w:val="FF0000"/>
          <w:sz w:val="24"/>
          <w:u w:val="none"/>
          <w:lang w:eastAsia="zh-CN"/>
        </w:rPr>
        <w:t>对应</w:t>
      </w:r>
      <w:r>
        <w:rPr>
          <w:rFonts w:hint="eastAsia" w:ascii="宋体" w:hAnsi="宋体" w:eastAsia="宋体" w:cs="宋体"/>
          <w:b w:val="0"/>
          <w:color w:val="FF0000"/>
          <w:sz w:val="24"/>
          <w:u w:val="none"/>
          <w:lang w:val="en-US" w:eastAsia="zh-CN"/>
        </w:rPr>
        <w:t>的</w:t>
      </w:r>
      <w:r>
        <w:rPr>
          <w:rFonts w:hint="eastAsia" w:ascii="宋体" w:hAnsi="宋体" w:eastAsia="宋体" w:cs="宋体"/>
          <w:b w:val="0"/>
          <w:color w:val="FF0000"/>
          <w:sz w:val="24"/>
          <w:u w:val="none"/>
          <w:lang w:eastAsia="zh-CN"/>
        </w:rPr>
        <w:t>地形地貌和成土母质。</w:t>
      </w:r>
    </w:p>
    <w:p w14:paraId="0093CFA5">
      <w:pPr>
        <w:keepNext/>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color w:val="FF0000"/>
          <w:sz w:val="24"/>
          <w:u w:val="none"/>
          <w:lang w:eastAsia="zh-CN"/>
        </w:rPr>
      </w:pPr>
      <w:r>
        <w:drawing>
          <wp:inline distT="0" distB="0" distL="114300" distR="114300">
            <wp:extent cx="5267960" cy="2644140"/>
            <wp:effectExtent l="0" t="0" r="8890" b="3810"/>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21"/>
                    <a:stretch>
                      <a:fillRect/>
                    </a:stretch>
                  </pic:blipFill>
                  <pic:spPr>
                    <a:xfrm>
                      <a:off x="0" y="0"/>
                      <a:ext cx="5267960" cy="2644140"/>
                    </a:xfrm>
                    <a:prstGeom prst="rect">
                      <a:avLst/>
                    </a:prstGeom>
                    <a:noFill/>
                    <a:ln>
                      <a:noFill/>
                    </a:ln>
                  </pic:spPr>
                </pic:pic>
              </a:graphicData>
            </a:graphic>
          </wp:inline>
        </w:drawing>
      </w:r>
    </w:p>
    <w:p w14:paraId="540BFB66">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图例制作与图面配置</w:t>
      </w:r>
    </w:p>
    <w:p w14:paraId="5FE8A88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66DF510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（1）图例用土壤类型代码、分类名称、颜色和几何图形表示制图单元；包括地形、农业利用等内容，能够反应与土壤形成分布有关的自然因素和农业利用状况。</w:t>
      </w:r>
    </w:p>
    <w:p w14:paraId="33323A3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（2）图名按要求命名；制图时间、单位等文字说明位于图幅右下方/外轮廓右下方；图廓直线表示，外粗内细，有清晰可见的经纬度坐标注记。</w:t>
      </w:r>
    </w:p>
    <w:p w14:paraId="4B683C7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6D42A63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1</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图廓不符合外粗内细的要求，无清晰可见的经纬度坐标注记。</w:t>
      </w:r>
    </w:p>
    <w:p w14:paraId="09E3115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drawing>
          <wp:inline distT="0" distB="0" distL="114300" distR="114300">
            <wp:extent cx="5271770" cy="1085850"/>
            <wp:effectExtent l="0" t="0" r="0" b="0"/>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22"/>
                    <a:srcRect t="25836" b="37287"/>
                    <a:stretch>
                      <a:fillRect/>
                    </a:stretch>
                  </pic:blipFill>
                  <pic:spPr>
                    <a:xfrm>
                      <a:off x="0" y="0"/>
                      <a:ext cx="5271770" cy="1085850"/>
                    </a:xfrm>
                    <a:prstGeom prst="rect">
                      <a:avLst/>
                    </a:prstGeom>
                    <a:noFill/>
                    <a:ln>
                      <a:noFill/>
                    </a:ln>
                  </pic:spPr>
                </pic:pic>
              </a:graphicData>
            </a:graphic>
          </wp:inline>
        </w:drawing>
      </w:r>
    </w:p>
    <w:p w14:paraId="17A4B73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u w:val="none"/>
          <w:lang w:eastAsia="zh-CN"/>
        </w:rPr>
      </w:pPr>
      <w:bookmarkStart w:id="9" w:name="_Toc12952"/>
      <w:r>
        <w:rPr>
          <w:rFonts w:hint="eastAsia" w:ascii="黑体" w:hAnsi="黑体" w:eastAsia="黑体" w:cs="黑体"/>
          <w:b/>
          <w:sz w:val="30"/>
          <w:u w:val="none"/>
          <w:lang w:eastAsia="zh-CN"/>
        </w:rPr>
        <w:t>三、文本成果</w:t>
      </w:r>
      <w:bookmarkEnd w:id="9"/>
    </w:p>
    <w:p w14:paraId="1C0405B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10" w:name="_Toc9799"/>
      <w:r>
        <w:rPr>
          <w:rFonts w:hint="eastAsia" w:ascii="宋体" w:hAnsi="宋体" w:eastAsia="宋体" w:cs="宋体"/>
          <w:b/>
          <w:sz w:val="28"/>
          <w:u w:val="none"/>
          <w:lang w:eastAsia="zh-CN"/>
        </w:rPr>
        <w:t>（一）土壤类型制图技术报告</w:t>
      </w:r>
      <w:bookmarkEnd w:id="10"/>
    </w:p>
    <w:p w14:paraId="545941FC">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全文规范审查</w:t>
      </w:r>
    </w:p>
    <w:p w14:paraId="1F3984A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665E0F6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（1）目录规范：是否设有图、表目录。</w:t>
      </w:r>
    </w:p>
    <w:p w14:paraId="7A8602A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单位规范：计量单位是否全文统一；土壤分层单位是否全文统一为cm；土地面积单位为亩的数值是否保留到整数，单位为万亩时是否保留两位小数；土壤属性指标值是否保留1位小数（砂、粉、黏等质地类型指标值可保留到整数）。</w:t>
      </w:r>
    </w:p>
    <w:p w14:paraId="73751E2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标题规范：目录字体是否统一；标题级别设置是否正确；章节标题为小二号宋体加粗居中；一级标题为三号黑体；二级标题为四号宋体加粗；三级标题为小四号黑体；四级标题为小四号宋体加粗；标题段前段后各0.5倍行距。</w:t>
      </w:r>
    </w:p>
    <w:p w14:paraId="7AB25A4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（4）制图规范：图名是否准确；图件的设计制作是否主题突出，清晰易读且美观大方。</w:t>
      </w:r>
    </w:p>
    <w:p w14:paraId="7D65CE3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（5）制表规范：是否存在重复表格；表名是否准确。</w:t>
      </w:r>
    </w:p>
    <w:p w14:paraId="6C93440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（6）正文规范：正文是否为小四号宋体，图名、表名五号黑体；正文是否为单倍行距；全文涉及的数字及英文字母是否一律用Times New Roman字体。</w:t>
      </w:r>
    </w:p>
    <w:p w14:paraId="2DAD6FA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（7）质地规范：土种命名时，是否采用质地5级；土体质地构型与命名是否准确。</w:t>
      </w:r>
    </w:p>
    <w:p w14:paraId="59DA36C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6CD0193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1</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缺少图、表目录。</w:t>
      </w:r>
    </w:p>
    <w:p w14:paraId="4461135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val="en-US" w:eastAsia="zh-CN"/>
        </w:rPr>
        <w:t>（2）二级标为四号宋体加粗，</w:t>
      </w:r>
      <w:r>
        <w:rPr>
          <w:rFonts w:hint="eastAsia" w:ascii="宋体" w:hAnsi="宋体" w:eastAsia="宋体" w:cs="宋体"/>
          <w:b w:val="0"/>
          <w:color w:val="FF0000"/>
          <w:sz w:val="24"/>
          <w:u w:val="none"/>
          <w:lang w:eastAsia="zh-CN"/>
        </w:rPr>
        <w:t>三级标题为小四号黑体，</w:t>
      </w:r>
      <w:r>
        <w:rPr>
          <w:rFonts w:hint="eastAsia" w:ascii="宋体" w:hAnsi="宋体" w:eastAsia="宋体" w:cs="宋体"/>
          <w:b w:val="0"/>
          <w:color w:val="FF0000"/>
          <w:sz w:val="24"/>
          <w:u w:val="none"/>
          <w:lang w:val="en-US" w:eastAsia="zh-CN"/>
        </w:rPr>
        <w:t>标题段前段后0.5行倍行距。</w:t>
      </w:r>
    </w:p>
    <w:p w14:paraId="135611D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val="en-US" w:eastAsia="zh-CN"/>
        </w:rPr>
        <w:t>（3）</w:t>
      </w:r>
      <w:r>
        <w:rPr>
          <w:rFonts w:hint="eastAsia" w:ascii="宋体" w:hAnsi="宋体" w:eastAsia="宋体" w:cs="宋体"/>
          <w:b w:val="0"/>
          <w:color w:val="FF0000"/>
          <w:sz w:val="24"/>
          <w:u w:val="none"/>
          <w:lang w:eastAsia="zh-CN"/>
        </w:rPr>
        <w:t>正文为小四号宋体，</w:t>
      </w:r>
      <w:r>
        <w:rPr>
          <w:rFonts w:hint="eastAsia" w:ascii="宋体" w:hAnsi="宋体" w:eastAsia="宋体" w:cs="宋体"/>
          <w:b w:val="0"/>
          <w:color w:val="FF0000"/>
          <w:sz w:val="24"/>
          <w:u w:val="none"/>
          <w:lang w:val="en-US" w:eastAsia="zh-CN"/>
        </w:rPr>
        <w:t>表名、图名五号黑体，正文单倍行间距。</w:t>
      </w:r>
    </w:p>
    <w:p w14:paraId="2C4DACC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章节专项问题审查</w:t>
      </w:r>
    </w:p>
    <w:p w14:paraId="26C31FE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3678F4F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（1）第一章 土壤分类：是否在土种级别进行了针对本县区的三普土壤分类和二普土壤分类（规则）对照；是否进行了本县区土壤系统分类与发生学分类的对照。</w:t>
      </w:r>
    </w:p>
    <w:p w14:paraId="194207D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（2）第二章 土壤类型与变化：是否对本县区的主要土壤类型、数量和分布进行了规律性总结；是否对土壤类型的变化进行了分门别类的详细阐述。</w:t>
      </w:r>
    </w:p>
    <w:p w14:paraId="27877E3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（3）第三章 土壤类型图编制：</w:t>
      </w:r>
    </w:p>
    <w:p w14:paraId="2CBFC22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a. 是否以不同校核内容为分项，对室内校核结果进行量化和效用阐述；</w:t>
      </w:r>
    </w:p>
    <w:p w14:paraId="31196D2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b. 是否在野外校核路线和校核点设计描述中回应了室内校核结果；</w:t>
      </w:r>
    </w:p>
    <w:p w14:paraId="3A04A28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c. 是否在推测制图部分给出虚点的选择原则和虚点对土壤类型代表性的证明示例；</w:t>
      </w:r>
    </w:p>
    <w:p w14:paraId="01EACFC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d. 是否在推测制图部分给出环境变量的重要性排序及合理性评述；</w:t>
      </w:r>
    </w:p>
    <w:p w14:paraId="430CBD6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e. 推测制图的土种空间分布图和不确定性分布图是否展示并选用了正确的图例；</w:t>
      </w:r>
    </w:p>
    <w:p w14:paraId="2E7D8D1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f. 是否对推测制图的效果进行评述，且突出最优和最劣情况；</w:t>
      </w:r>
    </w:p>
    <w:p w14:paraId="33A30ED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g. 是否详述了土壤推测制图结果在土壤类型制图中的具体应用情况；</w:t>
      </w:r>
    </w:p>
    <w:p w14:paraId="59AFCAA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h. 是否结合室内校核、野外校核和推测制图结果，明确给出土壤类型改变区提取和类型预判的依据；</w:t>
      </w:r>
    </w:p>
    <w:p w14:paraId="438D7F2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i. 是否明确说明野外验证路线设计的思路和验证的量化结果；</w:t>
      </w:r>
    </w:p>
    <w:p w14:paraId="345BC93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j. 是否对本县区二普和三普土壤分布格局进行了定性、定量比较和变化原因分析。</w:t>
      </w:r>
    </w:p>
    <w:p w14:paraId="0180C92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68E9983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1</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未</w:t>
      </w:r>
      <w:r>
        <w:rPr>
          <w:rFonts w:hint="eastAsia" w:ascii="宋体" w:hAnsi="宋体" w:eastAsia="宋体" w:cs="宋体"/>
          <w:b w:val="0"/>
          <w:color w:val="FF0000"/>
          <w:sz w:val="24"/>
          <w:u w:val="none"/>
          <w:lang w:eastAsia="zh-CN"/>
        </w:rPr>
        <w:t>对本县区二普和三普土壤分布格局进行定性、定量比较和变化原因分析。</w:t>
      </w:r>
    </w:p>
    <w:p w14:paraId="0BF0E705">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11" w:name="_Toc12692"/>
      <w:r>
        <w:rPr>
          <w:rFonts w:hint="eastAsia" w:ascii="宋体" w:hAnsi="宋体" w:eastAsia="宋体" w:cs="宋体"/>
          <w:b/>
          <w:sz w:val="28"/>
          <w:u w:val="none"/>
          <w:lang w:eastAsia="zh-CN"/>
        </w:rPr>
        <w:t>（二）土壤类型制图工作报告</w:t>
      </w:r>
      <w:bookmarkEnd w:id="11"/>
    </w:p>
    <w:p w14:paraId="74797682">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全文规范审查</w:t>
      </w:r>
    </w:p>
    <w:p w14:paraId="4878216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354A4E6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参照技术报告全文规范中的（1）至（7）条，检查工作报告是否符合相应格式要求。</w:t>
      </w:r>
    </w:p>
    <w:p w14:paraId="7282926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4C33291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1</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缺少工作报告，无法核查。</w:t>
      </w:r>
    </w:p>
    <w:p w14:paraId="645F772D">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章节专项问题审查</w:t>
      </w:r>
    </w:p>
    <w:p w14:paraId="25FFC13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456F593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（1）质量控制章节：</w:t>
      </w:r>
    </w:p>
    <w:p w14:paraId="3D1A306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（2）结论与建议：</w:t>
      </w:r>
    </w:p>
    <w:p w14:paraId="291F26A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22B41BA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1</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缺少工作报告，无法核查。</w:t>
      </w:r>
    </w:p>
    <w:p w14:paraId="6A539F8E">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sz w:val="24"/>
          <w:szCs w:val="24"/>
          <w:lang w:val="en-US" w:eastAsia="zh-CN"/>
        </w:rPr>
      </w:pPr>
    </w:p>
    <w:p w14:paraId="4CA1A17A">
      <w:pPr>
        <w:rPr>
          <w:rFonts w:hint="default"/>
          <w:sz w:val="24"/>
          <w:szCs w:val="24"/>
          <w:lang w:val="en-US" w:eastAsia="zh-CN"/>
        </w:rPr>
      </w:pPr>
      <w:r>
        <w:rPr>
          <w:rFonts w:hint="default"/>
          <w:sz w:val="24"/>
          <w:szCs w:val="24"/>
          <w:lang w:val="en-US" w:eastAsia="zh-CN"/>
        </w:rPr>
        <w:br w:type="page"/>
      </w:r>
    </w:p>
    <w:p w14:paraId="3E74B82B">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r>
        <w:rPr>
          <w:rFonts w:hint="eastAsia"/>
          <w:sz w:val="32"/>
          <w:szCs w:val="32"/>
          <w:lang w:val="en-US" w:eastAsia="zh-CN"/>
        </w:rPr>
        <w:t>第二部分：土壤属性图成果质控意见</w:t>
      </w:r>
    </w:p>
    <w:p w14:paraId="3298E80A">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数据库成果</w:t>
      </w:r>
    </w:p>
    <w:p w14:paraId="3D29F998">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（一）</w:t>
      </w:r>
      <w:r>
        <w:rPr>
          <w:rFonts w:hint="default" w:ascii="Times New Roman" w:hAnsi="Times New Roman" w:eastAsia="宋体" w:cs="Times New Roman"/>
          <w:b/>
          <w:bCs/>
          <w:sz w:val="24"/>
          <w:szCs w:val="24"/>
          <w:lang w:val="en-US" w:eastAsia="zh-CN"/>
        </w:rPr>
        <w:t>数据库结构：</w:t>
      </w:r>
    </w:p>
    <w:p w14:paraId="32BBCAE1">
      <w:pPr>
        <w:numPr>
          <w:ilvl w:val="0"/>
          <w:numId w:val="0"/>
        </w:numPr>
        <w:spacing w:line="360" w:lineRule="auto"/>
        <w:jc w:val="both"/>
      </w:pPr>
      <w:r>
        <w:rPr>
          <w:rFonts w:hint="eastAsia" w:ascii="Times New Roman" w:hAnsi="Times New Roman" w:eastAsia="宋体" w:cs="Times New Roman"/>
          <w:b w:val="0"/>
          <w:bCs w:val="0"/>
          <w:sz w:val="24"/>
          <w:szCs w:val="24"/>
          <w:lang w:val="en-US" w:eastAsia="zh-CN"/>
        </w:rPr>
        <w:t>1.</w:t>
      </w:r>
      <w:r>
        <w:rPr>
          <w:rFonts w:hint="default" w:ascii="Times New Roman" w:hAnsi="Times New Roman" w:eastAsia="宋体" w:cs="Times New Roman"/>
          <w:b w:val="0"/>
          <w:bCs w:val="0"/>
          <w:sz w:val="24"/>
          <w:szCs w:val="24"/>
          <w:lang w:val="en-US" w:eastAsia="zh-CN"/>
        </w:rPr>
        <w:t>按目录结构整理数据库，数据库内容是否完整。</w:t>
      </w:r>
    </w:p>
    <w:p w14:paraId="416D1AE9">
      <w:pPr>
        <w:numPr>
          <w:ilvl w:val="0"/>
          <w:numId w:val="0"/>
        </w:numPr>
        <w:spacing w:line="360" w:lineRule="auto"/>
        <w:ind w:firstLine="240" w:firstLineChars="100"/>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文件夹命名错误，数字化成果后应跟土壤属性图子文件夹；基础数据包括环境变量、训练集及验证集、元数据；成果数据包括数字化图件成果、土壤属性专题数据集以及文字成果。</w:t>
      </w:r>
    </w:p>
    <w:p w14:paraId="7A78682B">
      <w:pPr>
        <w:numPr>
          <w:ilvl w:val="0"/>
          <w:numId w:val="0"/>
        </w:numPr>
        <w:spacing w:line="360" w:lineRule="auto"/>
        <w:ind w:firstLine="240" w:firstLineChars="100"/>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请根据下图示例修改</w:t>
      </w:r>
    </w:p>
    <w:p w14:paraId="12566E14">
      <w:pPr>
        <w:numPr>
          <w:ilvl w:val="0"/>
          <w:numId w:val="0"/>
        </w:numPr>
        <w:spacing w:line="360" w:lineRule="auto"/>
        <w:ind w:firstLine="240" w:firstLineChars="100"/>
        <w:jc w:val="both"/>
        <w:rPr>
          <w:rFonts w:hint="eastAsia" w:ascii="Times New Roman" w:hAnsi="Times New Roman" w:eastAsia="宋体" w:cs="Times New Roman"/>
          <w:b w:val="0"/>
          <w:bCs w:val="0"/>
          <w:color w:val="FF0000"/>
          <w:sz w:val="24"/>
          <w:szCs w:val="24"/>
          <w:lang w:val="en-US" w:eastAsia="zh-CN"/>
        </w:rPr>
      </w:pPr>
      <w:r>
        <w:drawing>
          <wp:inline distT="0" distB="0" distL="114300" distR="114300">
            <wp:extent cx="5267325" cy="1478915"/>
            <wp:effectExtent l="0" t="0" r="0" b="6985"/>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23"/>
                    <a:stretch>
                      <a:fillRect/>
                    </a:stretch>
                  </pic:blipFill>
                  <pic:spPr>
                    <a:xfrm>
                      <a:off x="0" y="0"/>
                      <a:ext cx="5267325" cy="1478915"/>
                    </a:xfrm>
                    <a:prstGeom prst="rect">
                      <a:avLst/>
                    </a:prstGeom>
                    <a:noFill/>
                    <a:ln>
                      <a:noFill/>
                    </a:ln>
                  </pic:spPr>
                </pic:pic>
              </a:graphicData>
            </a:graphic>
          </wp:inline>
        </w:drawing>
      </w:r>
    </w:p>
    <w:p w14:paraId="35AE8F95">
      <w:pPr>
        <w:numPr>
          <w:ilvl w:val="0"/>
          <w:numId w:val="0"/>
        </w:numPr>
        <w:spacing w:line="360" w:lineRule="auto"/>
        <w:ind w:firstLine="240" w:firstLineChars="100"/>
        <w:jc w:val="both"/>
        <w:rPr>
          <w:rFonts w:hint="default" w:ascii="Times New Roman" w:hAnsi="Times New Roman" w:eastAsia="宋体" w:cs="Times New Roman"/>
          <w:b/>
          <w:bCs/>
          <w:sz w:val="24"/>
          <w:szCs w:val="24"/>
          <w:lang w:val="en-US" w:eastAsia="zh-CN"/>
        </w:rPr>
      </w:pPr>
      <w:r>
        <w:drawing>
          <wp:inline distT="0" distB="0" distL="114300" distR="114300">
            <wp:extent cx="3655060" cy="2155825"/>
            <wp:effectExtent l="0" t="0" r="2540" b="635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24"/>
                    <a:stretch>
                      <a:fillRect/>
                    </a:stretch>
                  </pic:blipFill>
                  <pic:spPr>
                    <a:xfrm>
                      <a:off x="0" y="0"/>
                      <a:ext cx="3655060" cy="2155825"/>
                    </a:xfrm>
                    <a:prstGeom prst="rect">
                      <a:avLst/>
                    </a:prstGeom>
                    <a:noFill/>
                    <a:ln>
                      <a:noFill/>
                    </a:ln>
                  </pic:spPr>
                </pic:pic>
              </a:graphicData>
            </a:graphic>
          </wp:inline>
        </w:drawing>
      </w:r>
    </w:p>
    <w:p w14:paraId="6A7A67D9">
      <w:pPr>
        <w:numPr>
          <w:ilvl w:val="0"/>
          <w:numId w:val="0"/>
        </w:numPr>
        <w:spacing w:line="360" w:lineRule="auto"/>
        <w:ind w:firstLine="240" w:firstLineChars="100"/>
        <w:jc w:val="both"/>
        <w:rPr>
          <w:rFonts w:hint="default"/>
          <w:lang w:val="en-US" w:eastAsia="zh-CN"/>
        </w:rPr>
      </w:pPr>
      <w:r>
        <w:drawing>
          <wp:inline distT="0" distB="0" distL="114300" distR="114300">
            <wp:extent cx="3695700" cy="2324735"/>
            <wp:effectExtent l="0" t="0" r="0" b="8890"/>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r:embed="rId25"/>
                    <a:stretch>
                      <a:fillRect/>
                    </a:stretch>
                  </pic:blipFill>
                  <pic:spPr>
                    <a:xfrm>
                      <a:off x="0" y="0"/>
                      <a:ext cx="3695700" cy="2324735"/>
                    </a:xfrm>
                    <a:prstGeom prst="rect">
                      <a:avLst/>
                    </a:prstGeom>
                    <a:noFill/>
                    <a:ln>
                      <a:noFill/>
                    </a:ln>
                  </pic:spPr>
                </pic:pic>
              </a:graphicData>
            </a:graphic>
          </wp:inline>
        </w:drawing>
      </w:r>
    </w:p>
    <w:p w14:paraId="7BA01C17">
      <w:pPr>
        <w:numPr>
          <w:ilvl w:val="0"/>
          <w:numId w:val="0"/>
        </w:numPr>
        <w:spacing w:line="360" w:lineRule="auto"/>
        <w:ind w:firstLine="241" w:firstLineChars="100"/>
        <w:jc w:val="both"/>
        <w:rPr>
          <w:rFonts w:hint="default"/>
          <w:lang w:val="en-US" w:eastAsia="zh-CN"/>
        </w:rPr>
      </w:pPr>
      <w:r>
        <w:rPr>
          <w:rFonts w:hint="default" w:ascii="Times New Roman" w:hAnsi="Times New Roman" w:eastAsia="宋体" w:cs="Times New Roman"/>
          <w:b/>
          <w:bCs/>
          <w:sz w:val="24"/>
          <w:szCs w:val="24"/>
          <w:lang w:val="en-US" w:eastAsia="zh-CN"/>
        </w:rPr>
        <w:drawing>
          <wp:inline distT="0" distB="0" distL="114300" distR="114300">
            <wp:extent cx="4815840" cy="822960"/>
            <wp:effectExtent l="0" t="0" r="3810" b="5715"/>
            <wp:docPr id="22" name="图片 22" descr="f897d25db7f27e0cc6f085cd04eb1b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f897d25db7f27e0cc6f085cd04eb1b7a"/>
                    <pic:cNvPicPr>
                      <a:picLocks noChangeAspect="1"/>
                    </pic:cNvPicPr>
                  </pic:nvPicPr>
                  <pic:blipFill>
                    <a:blip r:embed="rId26"/>
                    <a:stretch>
                      <a:fillRect/>
                    </a:stretch>
                  </pic:blipFill>
                  <pic:spPr>
                    <a:xfrm>
                      <a:off x="0" y="0"/>
                      <a:ext cx="4815840" cy="822960"/>
                    </a:xfrm>
                    <a:prstGeom prst="rect">
                      <a:avLst/>
                    </a:prstGeom>
                  </pic:spPr>
                </pic:pic>
              </a:graphicData>
            </a:graphic>
          </wp:inline>
        </w:drawing>
      </w:r>
    </w:p>
    <w:p w14:paraId="3F00CAF3">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bCs/>
          <w:sz w:val="24"/>
          <w:szCs w:val="24"/>
          <w:lang w:val="en-US" w:eastAsia="zh-CN"/>
        </w:rPr>
        <w:t>（二）</w:t>
      </w:r>
      <w:r>
        <w:rPr>
          <w:rFonts w:hint="default" w:ascii="Times New Roman" w:hAnsi="Times New Roman" w:eastAsia="宋体" w:cs="Times New Roman"/>
          <w:b w:val="0"/>
          <w:bCs w:val="0"/>
          <w:sz w:val="24"/>
          <w:szCs w:val="24"/>
          <w:lang w:val="en-US" w:eastAsia="zh-CN"/>
        </w:rPr>
        <w:t>提交成果的名称是否规范</w:t>
      </w:r>
      <w:r>
        <w:rPr>
          <w:rFonts w:hint="eastAsia" w:ascii="Times New Roman" w:hAnsi="Times New Roman" w:eastAsia="宋体" w:cs="Times New Roman"/>
          <w:b w:val="0"/>
          <w:bCs w:val="0"/>
          <w:sz w:val="24"/>
          <w:szCs w:val="24"/>
          <w:lang w:val="en-US" w:eastAsia="zh-CN"/>
        </w:rPr>
        <w:t>：</w:t>
      </w:r>
    </w:p>
    <w:p w14:paraId="28EAD75D">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w:t>
      </w:r>
      <w:r>
        <w:rPr>
          <w:rFonts w:hint="default" w:ascii="Times New Roman" w:hAnsi="Times New Roman" w:eastAsia="宋体" w:cs="Times New Roman"/>
          <w:b w:val="0"/>
          <w:bCs w:val="0"/>
          <w:sz w:val="24"/>
          <w:szCs w:val="24"/>
          <w:lang w:val="en-US" w:eastAsia="zh-CN"/>
        </w:rPr>
        <w:t>提交的成果与目录结构中的文件名称要求是否一致。</w:t>
      </w:r>
    </w:p>
    <w:p w14:paraId="57A8DBE6">
      <w:pPr>
        <w:numPr>
          <w:ilvl w:val="0"/>
          <w:numId w:val="0"/>
        </w:numPr>
        <w:spacing w:line="360" w:lineRule="auto"/>
        <w:jc w:val="both"/>
        <w:rPr>
          <w:rFonts w:hint="default"/>
          <w:lang w:val="en-US" w:eastAsia="zh-CN"/>
        </w:rPr>
      </w:pPr>
      <w:r>
        <w:rPr>
          <w:rFonts w:hint="eastAsia" w:ascii="Times New Roman" w:hAnsi="Times New Roman" w:eastAsia="宋体" w:cs="Times New Roman"/>
          <w:b w:val="0"/>
          <w:bCs w:val="0"/>
          <w:color w:val="FF0000"/>
          <w:sz w:val="24"/>
          <w:szCs w:val="24"/>
          <w:lang w:val="en-US" w:eastAsia="zh-CN"/>
        </w:rPr>
        <w:t>无元数据，请补充</w:t>
      </w:r>
    </w:p>
    <w:p w14:paraId="71F3E073">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制图过程（属性表需重新修改，缺少太多）</w:t>
      </w:r>
    </w:p>
    <w:p w14:paraId="22589CF4">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（一）</w:t>
      </w:r>
      <w:r>
        <w:rPr>
          <w:rFonts w:hint="default" w:ascii="Times New Roman" w:hAnsi="Times New Roman" w:eastAsia="宋体" w:cs="Times New Roman"/>
          <w:b/>
          <w:bCs/>
          <w:sz w:val="24"/>
          <w:szCs w:val="24"/>
          <w:lang w:val="en-US" w:eastAsia="zh-CN"/>
        </w:rPr>
        <w:t>三普样点</w:t>
      </w:r>
    </w:p>
    <w:p w14:paraId="595566F1">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w:t>
      </w:r>
      <w:r>
        <w:rPr>
          <w:rFonts w:hint="default" w:ascii="Times New Roman" w:hAnsi="Times New Roman" w:eastAsia="宋体" w:cs="Times New Roman"/>
          <w:b w:val="0"/>
          <w:bCs w:val="0"/>
          <w:sz w:val="24"/>
          <w:szCs w:val="24"/>
          <w:lang w:val="en-US" w:eastAsia="zh-CN"/>
        </w:rPr>
        <w:t>数据库中提交入模属性样点矢量数据（shp格式）</w:t>
      </w:r>
    </w:p>
    <w:p w14:paraId="5EB9367D">
      <w:pPr>
        <w:numPr>
          <w:ilvl w:val="0"/>
          <w:numId w:val="0"/>
        </w:numPr>
        <w:spacing w:line="360" w:lineRule="auto"/>
        <w:ind w:firstLine="480" w:firstLineChars="200"/>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否。</w:t>
      </w:r>
    </w:p>
    <w:p w14:paraId="7A54D125">
      <w:pPr>
        <w:numPr>
          <w:ilvl w:val="0"/>
          <w:numId w:val="0"/>
        </w:numPr>
        <w:spacing w:line="360" w:lineRule="auto"/>
        <w:ind w:firstLine="480" w:firstLineChars="200"/>
        <w:jc w:val="both"/>
        <w:rPr>
          <w:rFonts w:hint="default" w:ascii="Times New Roman" w:hAnsi="Times New Roman" w:eastAsia="宋体" w:cs="Times New Roman"/>
          <w:b w:val="0"/>
          <w:bCs w:val="0"/>
          <w:color w:val="FF0000"/>
          <w:sz w:val="24"/>
          <w:szCs w:val="24"/>
          <w:lang w:val="en-US" w:eastAsia="zh-CN"/>
        </w:rPr>
      </w:pPr>
      <w:r>
        <w:drawing>
          <wp:inline distT="0" distB="0" distL="114300" distR="114300">
            <wp:extent cx="4453255" cy="2643505"/>
            <wp:effectExtent l="0" t="0" r="4445" b="4445"/>
            <wp:docPr id="2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4"/>
                    <pic:cNvPicPr>
                      <a:picLocks noChangeAspect="1"/>
                    </pic:cNvPicPr>
                  </pic:nvPicPr>
                  <pic:blipFill>
                    <a:blip r:embed="rId27"/>
                    <a:stretch>
                      <a:fillRect/>
                    </a:stretch>
                  </pic:blipFill>
                  <pic:spPr>
                    <a:xfrm>
                      <a:off x="0" y="0"/>
                      <a:ext cx="4453255" cy="2643505"/>
                    </a:xfrm>
                    <a:prstGeom prst="rect">
                      <a:avLst/>
                    </a:prstGeom>
                    <a:noFill/>
                    <a:ln>
                      <a:noFill/>
                    </a:ln>
                  </pic:spPr>
                </pic:pic>
              </a:graphicData>
            </a:graphic>
          </wp:inline>
        </w:drawing>
      </w:r>
    </w:p>
    <w:p w14:paraId="337D3911">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w:t>
      </w:r>
      <w:r>
        <w:rPr>
          <w:rFonts w:hint="default" w:ascii="Times New Roman" w:hAnsi="Times New Roman" w:eastAsia="宋体" w:cs="Times New Roman"/>
          <w:b w:val="0"/>
          <w:bCs w:val="0"/>
          <w:sz w:val="24"/>
          <w:szCs w:val="24"/>
          <w:lang w:val="en-US" w:eastAsia="zh-CN"/>
        </w:rPr>
        <w:t>样点经纬度是否为定位经纬度、CGCS2000坐标系。</w:t>
      </w:r>
    </w:p>
    <w:p w14:paraId="0FFD61B8">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是。</w:t>
      </w:r>
    </w:p>
    <w:p w14:paraId="5253FCEB">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w:t>
      </w:r>
      <w:r>
        <w:rPr>
          <w:rFonts w:hint="default" w:ascii="Times New Roman" w:hAnsi="Times New Roman" w:eastAsia="宋体" w:cs="Times New Roman"/>
          <w:b w:val="0"/>
          <w:bCs w:val="0"/>
          <w:sz w:val="24"/>
          <w:szCs w:val="24"/>
          <w:lang w:val="en-US" w:eastAsia="zh-CN"/>
        </w:rPr>
        <w:t>剖面样点土壤属性值是否根据土层厚度进行加权平均处理（0-20cm）</w:t>
      </w:r>
    </w:p>
    <w:p w14:paraId="485A4E6A">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color w:val="FF0000"/>
          <w:sz w:val="24"/>
          <w:szCs w:val="24"/>
          <w:lang w:val="en-US" w:eastAsia="zh-CN"/>
        </w:rPr>
        <w:t>否。</w:t>
      </w:r>
    </w:p>
    <w:p w14:paraId="53608D27">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w:t>
      </w:r>
      <w:r>
        <w:rPr>
          <w:rFonts w:hint="default" w:ascii="Times New Roman" w:hAnsi="Times New Roman" w:eastAsia="宋体" w:cs="Times New Roman"/>
          <w:b w:val="0"/>
          <w:bCs w:val="0"/>
          <w:sz w:val="24"/>
          <w:szCs w:val="24"/>
          <w:lang w:val="en-US" w:eastAsia="zh-CN"/>
        </w:rPr>
        <w:t>入模样点是否针对每个土壤属性指标划分训练集与验证集。</w:t>
      </w:r>
    </w:p>
    <w:p w14:paraId="5B332198">
      <w:pPr>
        <w:numPr>
          <w:ilvl w:val="0"/>
          <w:numId w:val="0"/>
        </w:numPr>
        <w:spacing w:line="360" w:lineRule="auto"/>
        <w:ind w:firstLine="480" w:firstLineChars="200"/>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否。</w:t>
      </w:r>
    </w:p>
    <w:p w14:paraId="0BDA622C">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（二）</w:t>
      </w:r>
      <w:r>
        <w:rPr>
          <w:rFonts w:hint="default" w:ascii="Times New Roman" w:hAnsi="Times New Roman" w:eastAsia="宋体" w:cs="Times New Roman"/>
          <w:b/>
          <w:bCs/>
          <w:sz w:val="24"/>
          <w:szCs w:val="24"/>
          <w:lang w:val="en-US" w:eastAsia="zh-CN"/>
        </w:rPr>
        <w:t>历史样点</w:t>
      </w:r>
    </w:p>
    <w:p w14:paraId="283105EA">
      <w:pPr>
        <w:widowControl w:val="0"/>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w:t>
      </w:r>
      <w:r>
        <w:rPr>
          <w:rFonts w:hint="default" w:ascii="Times New Roman" w:hAnsi="Times New Roman" w:eastAsia="宋体" w:cs="Times New Roman"/>
          <w:b w:val="0"/>
          <w:bCs w:val="0"/>
          <w:sz w:val="24"/>
          <w:szCs w:val="24"/>
          <w:lang w:val="en-US" w:eastAsia="zh-CN"/>
        </w:rPr>
        <w:t>要求土壤二普、测土配方施肥（采集时间应为2008-2010年）、耕地地力监测样点数据，三者至少有一个。</w:t>
      </w:r>
    </w:p>
    <w:p w14:paraId="3DE448AE">
      <w:pPr>
        <w:widowControl w:val="0"/>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sz w:val="24"/>
          <w:szCs w:val="24"/>
          <w:lang w:val="en-US" w:eastAsia="zh-CN"/>
        </w:rPr>
        <w:t xml:space="preserve">   </w:t>
      </w:r>
      <w:r>
        <w:rPr>
          <w:rFonts w:hint="eastAsia" w:ascii="Times New Roman" w:hAnsi="Times New Roman" w:eastAsia="宋体" w:cs="Times New Roman"/>
          <w:b w:val="0"/>
          <w:bCs w:val="0"/>
          <w:color w:val="FF0000"/>
          <w:sz w:val="24"/>
          <w:szCs w:val="24"/>
          <w:lang w:val="en-US" w:eastAsia="zh-CN"/>
        </w:rPr>
        <w:t>无历史样点</w:t>
      </w:r>
    </w:p>
    <w:p w14:paraId="009D37A6">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w:t>
      </w:r>
      <w:r>
        <w:rPr>
          <w:rFonts w:hint="default" w:ascii="Times New Roman" w:hAnsi="Times New Roman" w:eastAsia="宋体" w:cs="Times New Roman"/>
          <w:b w:val="0"/>
          <w:bCs w:val="0"/>
          <w:sz w:val="24"/>
          <w:szCs w:val="24"/>
          <w:lang w:val="en-US" w:eastAsia="zh-CN"/>
        </w:rPr>
        <w:t>是否将历史样点数据转为矢量（shp）格式并生成相应的栅格数据（Geotiff）</w:t>
      </w:r>
    </w:p>
    <w:p w14:paraId="6EF4D762">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查看数据库中的历史样点数据集，并查看是否存在相应的栅格数据，栅格数据和样点数据是否完整。缺少数据直接指出，数据不完整截图指出。</w:t>
      </w:r>
    </w:p>
    <w:p w14:paraId="3E3EDB5D">
      <w:pPr>
        <w:numPr>
          <w:ilvl w:val="0"/>
          <w:numId w:val="0"/>
        </w:numPr>
        <w:spacing w:line="360" w:lineRule="auto"/>
        <w:ind w:firstLine="240" w:firstLineChars="1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 xml:space="preserve"> </w:t>
      </w:r>
      <w:r>
        <w:rPr>
          <w:rFonts w:hint="eastAsia" w:ascii="Times New Roman" w:hAnsi="Times New Roman" w:eastAsia="宋体" w:cs="Times New Roman"/>
          <w:b w:val="0"/>
          <w:bCs w:val="0"/>
          <w:color w:val="FF0000"/>
          <w:sz w:val="24"/>
          <w:szCs w:val="24"/>
          <w:lang w:val="en-US" w:eastAsia="zh-CN"/>
        </w:rPr>
        <w:t>无历史样点</w:t>
      </w:r>
    </w:p>
    <w:p w14:paraId="1D8EDC6C">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w:t>
      </w:r>
      <w:r>
        <w:rPr>
          <w:rFonts w:hint="default" w:ascii="Times New Roman" w:hAnsi="Times New Roman" w:eastAsia="宋体" w:cs="Times New Roman"/>
          <w:b w:val="0"/>
          <w:bCs w:val="0"/>
          <w:sz w:val="24"/>
          <w:szCs w:val="24"/>
          <w:lang w:val="en-US" w:eastAsia="zh-CN"/>
        </w:rPr>
        <w:t>土壤pH、有机质、全氮、有效磷、速效钾等关键土壤属性的历史样点数据和栅格数据是否完整准确。</w:t>
      </w:r>
    </w:p>
    <w:p w14:paraId="3D7A0C00">
      <w:pPr>
        <w:numPr>
          <w:ilvl w:val="0"/>
          <w:numId w:val="0"/>
        </w:numPr>
        <w:spacing w:line="360" w:lineRule="auto"/>
        <w:ind w:firstLine="480" w:firstLineChars="200"/>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无历史样点</w:t>
      </w:r>
    </w:p>
    <w:p w14:paraId="57210E80">
      <w:pPr>
        <w:numPr>
          <w:ilvl w:val="0"/>
          <w:numId w:val="4"/>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环境变量</w:t>
      </w:r>
    </w:p>
    <w:p w14:paraId="11A25CEB">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1.坐标系需要统一，统一使用三度带且所有环境变量在同一分带下</w:t>
      </w:r>
    </w:p>
    <w:p w14:paraId="3EBB8FBC">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2AD3969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2.审核入模环境变量图层数据是否为栅格（Geotiff）格式</w:t>
      </w:r>
    </w:p>
    <w:p w14:paraId="67AC9E5F">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7B4EB469">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3.坐标与投影是否为CGCS2000坐标系和高斯-克吕格投影，空间分辨率是否统一为30米</w:t>
      </w:r>
    </w:p>
    <w:p w14:paraId="21C39A0D">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144F174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4.各个环境变量图层在空间上是否严格匹配（栅格四至一一对应、像素空间完全吻合）</w:t>
      </w:r>
    </w:p>
    <w:p w14:paraId="6559DC67">
      <w:pPr>
        <w:numPr>
          <w:ilvl w:val="0"/>
          <w:numId w:val="0"/>
        </w:numPr>
        <w:spacing w:line="360" w:lineRule="auto"/>
        <w:ind w:firstLine="480" w:firstLineChars="200"/>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否，重新修改</w:t>
      </w:r>
    </w:p>
    <w:p w14:paraId="1C87E938">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drawing>
          <wp:inline distT="0" distB="0" distL="114300" distR="114300">
            <wp:extent cx="5273040" cy="2617470"/>
            <wp:effectExtent l="0" t="0" r="3810" b="1905"/>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28"/>
                    <a:stretch>
                      <a:fillRect/>
                    </a:stretch>
                  </pic:blipFill>
                  <pic:spPr>
                    <a:xfrm>
                      <a:off x="0" y="0"/>
                      <a:ext cx="5273040" cy="2617470"/>
                    </a:xfrm>
                    <a:prstGeom prst="rect">
                      <a:avLst/>
                    </a:prstGeom>
                    <a:noFill/>
                    <a:ln>
                      <a:noFill/>
                    </a:ln>
                  </pic:spPr>
                </pic:pic>
              </a:graphicData>
            </a:graphic>
          </wp:inline>
        </w:drawing>
      </w:r>
    </w:p>
    <w:p w14:paraId="52EE9C6E">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5.环境变量图层是否按照国土三调县级行政边界（2023年度）进行剪裁处理</w:t>
      </w:r>
    </w:p>
    <w:p w14:paraId="62E7C9F7">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color w:val="FF0000"/>
          <w:sz w:val="24"/>
          <w:szCs w:val="24"/>
          <w:lang w:val="en-US" w:eastAsia="zh-CN"/>
        </w:rPr>
        <w:t>否，未按照研究区裁剪。</w:t>
      </w:r>
    </w:p>
    <w:p w14:paraId="1F97D833">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drawing>
          <wp:inline distT="0" distB="0" distL="114300" distR="114300">
            <wp:extent cx="5273040" cy="3810635"/>
            <wp:effectExtent l="0" t="0" r="3810" b="8890"/>
            <wp:docPr id="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
                    <pic:cNvPicPr>
                      <a:picLocks noChangeAspect="1"/>
                    </pic:cNvPicPr>
                  </pic:nvPicPr>
                  <pic:blipFill>
                    <a:blip r:embed="rId29"/>
                    <a:stretch>
                      <a:fillRect/>
                    </a:stretch>
                  </pic:blipFill>
                  <pic:spPr>
                    <a:xfrm>
                      <a:off x="0" y="0"/>
                      <a:ext cx="5273040" cy="3810635"/>
                    </a:xfrm>
                    <a:prstGeom prst="rect">
                      <a:avLst/>
                    </a:prstGeom>
                    <a:noFill/>
                    <a:ln>
                      <a:noFill/>
                    </a:ln>
                  </pic:spPr>
                </pic:pic>
              </a:graphicData>
            </a:graphic>
          </wp:inline>
        </w:drawing>
      </w:r>
    </w:p>
    <w:p w14:paraId="0D8893B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6.环境变量制备的年限需要在报告中说明</w:t>
      </w:r>
    </w:p>
    <w:p w14:paraId="31D04199">
      <w:pPr>
        <w:numPr>
          <w:ilvl w:val="0"/>
          <w:numId w:val="0"/>
        </w:numPr>
        <w:spacing w:line="360" w:lineRule="auto"/>
        <w:ind w:firstLine="480" w:firstLineChars="200"/>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未发现环境变量制备的具体年限。</w:t>
      </w:r>
    </w:p>
    <w:p w14:paraId="5DE4ACF4">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7.土地利用这一环境变量图层是否使用2023年度国土变更调查数据.</w:t>
      </w:r>
    </w:p>
    <w:p w14:paraId="3570F298">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将土地利用环境变量与2023年三调数据进行数据属性表对照。是哑变量则一一对应检查</w:t>
      </w:r>
    </w:p>
    <w:p w14:paraId="68D82E77">
      <w:pPr>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bCs/>
          <w:sz w:val="24"/>
          <w:szCs w:val="24"/>
          <w:lang w:val="en-US" w:eastAsia="zh-CN"/>
        </w:rPr>
        <w:t xml:space="preserve">    </w:t>
      </w:r>
      <w:r>
        <w:rPr>
          <w:rFonts w:hint="eastAsia" w:ascii="Times New Roman" w:hAnsi="Times New Roman" w:eastAsia="宋体" w:cs="Times New Roman"/>
          <w:b w:val="0"/>
          <w:bCs w:val="0"/>
          <w:color w:val="FF0000"/>
          <w:sz w:val="24"/>
          <w:szCs w:val="24"/>
          <w:lang w:val="en-US" w:eastAsia="zh-CN"/>
        </w:rPr>
        <w:t>环境变量中地类图斑需要重新命名并修改格式，无法与DLTB2023进行比较。</w:t>
      </w:r>
    </w:p>
    <w:p w14:paraId="42FCAF83">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（四）环境变量制备规范要求</w:t>
      </w:r>
    </w:p>
    <w:p w14:paraId="2337769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1.审核环境变量类型是否包括主要成土要素（气候、母质、地形、植被、土地利用）</w:t>
      </w:r>
    </w:p>
    <w:p w14:paraId="3FD3A1DC">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2771BDAE">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w:t>
      </w:r>
      <w:r>
        <w:rPr>
          <w:rFonts w:hint="default" w:ascii="Times New Roman" w:hAnsi="Times New Roman" w:eastAsia="宋体" w:cs="Times New Roman"/>
          <w:b w:val="0"/>
          <w:bCs w:val="0"/>
          <w:sz w:val="24"/>
          <w:szCs w:val="24"/>
          <w:lang w:val="en-US" w:eastAsia="zh-CN"/>
        </w:rPr>
        <w:t>审核气候、植被环境变量的制备是否采用长时间序列数据</w:t>
      </w:r>
    </w:p>
    <w:p w14:paraId="752A936D">
      <w:pPr>
        <w:numPr>
          <w:ilvl w:val="0"/>
          <w:numId w:val="0"/>
        </w:numPr>
        <w:spacing w:line="360" w:lineRule="auto"/>
        <w:ind w:firstLine="480" w:firstLineChars="200"/>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否，报告中未发现长时间序列数据。</w:t>
      </w:r>
    </w:p>
    <w:p w14:paraId="7440579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3.审核土地利用现状图、土壤类型图、母岩母质图等类别型变量是否进行数值化处理。</w:t>
      </w:r>
    </w:p>
    <w:p w14:paraId="41A9DE78">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color w:val="FF0000"/>
          <w:sz w:val="24"/>
          <w:szCs w:val="24"/>
          <w:lang w:val="en-US" w:eastAsia="zh-CN"/>
        </w:rPr>
        <w:t>否。</w:t>
      </w:r>
    </w:p>
    <w:p w14:paraId="78A72792">
      <w:pPr>
        <w:numPr>
          <w:ilvl w:val="0"/>
          <w:numId w:val="5"/>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环境变量图层数据的空间分布是否准确合理，是否存在明显的条带状或斑点噪声</w:t>
      </w:r>
    </w:p>
    <w:p w14:paraId="6EA47456">
      <w:pPr>
        <w:numPr>
          <w:ilvl w:val="0"/>
          <w:numId w:val="0"/>
        </w:numPr>
        <w:spacing w:line="360" w:lineRule="auto"/>
        <w:ind w:firstLine="480" w:firstLineChars="200"/>
        <w:jc w:val="both"/>
        <w:rPr>
          <w:rFonts w:hint="default"/>
          <w:sz w:val="28"/>
          <w:szCs w:val="28"/>
          <w:lang w:val="en-US" w:eastAsia="zh-CN"/>
        </w:rPr>
      </w:pPr>
      <w:r>
        <w:rPr>
          <w:rFonts w:hint="eastAsia" w:ascii="Times New Roman" w:hAnsi="Times New Roman" w:eastAsia="宋体" w:cs="Times New Roman"/>
          <w:b w:val="0"/>
          <w:bCs w:val="0"/>
          <w:sz w:val="24"/>
          <w:szCs w:val="24"/>
          <w:lang w:val="en-US" w:eastAsia="zh-CN"/>
        </w:rPr>
        <w:t>否。</w:t>
      </w:r>
    </w:p>
    <w:p w14:paraId="7A445F56">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（五）入模环境变量的选取合理性</w:t>
      </w:r>
    </w:p>
    <w:p w14:paraId="4E200C99">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1.速磷速钾的环境变量重要性排序中将自然因素排在前面</w:t>
      </w:r>
    </w:p>
    <w:p w14:paraId="2FB46FBA">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color w:val="FF0000"/>
          <w:sz w:val="24"/>
          <w:szCs w:val="24"/>
          <w:lang w:val="en-US" w:eastAsia="zh-CN"/>
        </w:rPr>
        <w:t>否，没有排序表。</w:t>
      </w:r>
    </w:p>
    <w:p w14:paraId="75C0EF0A">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2.入模环境变量存在共线性、用土壤属性作为环境变量</w:t>
      </w:r>
    </w:p>
    <w:p w14:paraId="6FBABCEC">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 xml:space="preserve"> 是。</w:t>
      </w:r>
    </w:p>
    <w:p w14:paraId="525626EA">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（六）制图模型或方法选择合理</w:t>
      </w:r>
    </w:p>
    <w:p w14:paraId="41ECB1E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1.山区选取普通克里格或全域采用IDW进行属性制图.</w:t>
      </w:r>
    </w:p>
    <w:p w14:paraId="20F56E2A">
      <w:pPr>
        <w:numPr>
          <w:ilvl w:val="0"/>
          <w:numId w:val="0"/>
        </w:numPr>
        <w:spacing w:line="360" w:lineRule="auto"/>
        <w:ind w:firstLine="480" w:firstLineChars="200"/>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否，未采用普通克里格</w:t>
      </w:r>
    </w:p>
    <w:p w14:paraId="34ABB7AF">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2.耕层厚度采用以点带面、机器学习方法进行制图</w:t>
      </w:r>
    </w:p>
    <w:p w14:paraId="233E7498">
      <w:pPr>
        <w:numPr>
          <w:ilvl w:val="0"/>
          <w:numId w:val="0"/>
        </w:numPr>
        <w:spacing w:line="360" w:lineRule="auto"/>
        <w:ind w:firstLine="480" w:firstLineChars="200"/>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否，请修改更新。</w:t>
      </w:r>
    </w:p>
    <w:p w14:paraId="4C7BC518">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（七）</w:t>
      </w:r>
      <w:r>
        <w:rPr>
          <w:rFonts w:hint="default" w:ascii="Times New Roman" w:hAnsi="Times New Roman" w:eastAsia="宋体" w:cs="Times New Roman"/>
          <w:b/>
          <w:bCs/>
          <w:sz w:val="24"/>
          <w:szCs w:val="24"/>
          <w:lang w:val="en-US" w:eastAsia="zh-CN"/>
        </w:rPr>
        <w:t>制图结果验证评价</w:t>
      </w:r>
    </w:p>
    <w:p w14:paraId="5B36699C">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1.精度评价指标(用R2、RMSE)过高或过低</w:t>
      </w:r>
    </w:p>
    <w:p w14:paraId="50D3ABBF">
      <w:pPr>
        <w:numPr>
          <w:ilvl w:val="0"/>
          <w:numId w:val="0"/>
        </w:numPr>
        <w:spacing w:line="360" w:lineRule="auto"/>
        <w:ind w:firstLine="480" w:firstLineChars="200"/>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参考下图：</w:t>
      </w:r>
    </w:p>
    <w:p w14:paraId="5C321BCF">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drawing>
          <wp:inline distT="0" distB="0" distL="114300" distR="114300">
            <wp:extent cx="5266690" cy="2056130"/>
            <wp:effectExtent l="0" t="0" r="635" b="1270"/>
            <wp:docPr id="26" name="图片 26" descr="c2fc32bcfc20b44300de710444e3e1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c2fc32bcfc20b44300de710444e3e13b"/>
                    <pic:cNvPicPr>
                      <a:picLocks noChangeAspect="1"/>
                    </pic:cNvPicPr>
                  </pic:nvPicPr>
                  <pic:blipFill>
                    <a:blip r:embed="rId30"/>
                    <a:stretch>
                      <a:fillRect/>
                    </a:stretch>
                  </pic:blipFill>
                  <pic:spPr>
                    <a:xfrm>
                      <a:off x="0" y="0"/>
                      <a:ext cx="5266690" cy="2056130"/>
                    </a:xfrm>
                    <a:prstGeom prst="rect">
                      <a:avLst/>
                    </a:prstGeom>
                  </pic:spPr>
                </pic:pic>
              </a:graphicData>
            </a:graphic>
          </wp:inline>
        </w:drawing>
      </w:r>
    </w:p>
    <w:p w14:paraId="0D563EF9">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2.报告中是否存在制图结果的验证评价和分析</w:t>
      </w:r>
    </w:p>
    <w:p w14:paraId="1086D26E">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20C57BDD">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（八）数字化图件成果</w:t>
      </w:r>
    </w:p>
    <w:p w14:paraId="63F25E37">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1.乡镇统计表不能只统计耕地的结果</w:t>
      </w:r>
    </w:p>
    <w:p w14:paraId="3ACB4A3E">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5FECC4A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2.乡镇耕地统计结果应该和分地类统计的耕地结果能对齐</w:t>
      </w:r>
    </w:p>
    <w:p w14:paraId="3F1CF7DF">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5E0B79B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3.数据分级标准是否使用九大农区的标准</w:t>
      </w:r>
    </w:p>
    <w:p w14:paraId="6202761B">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color w:val="FF0000"/>
          <w:sz w:val="24"/>
          <w:szCs w:val="24"/>
          <w:lang w:val="en-US" w:eastAsia="zh-CN"/>
        </w:rPr>
        <w:t>请根据以下表格修改</w:t>
      </w:r>
      <w:r>
        <w:rPr>
          <w:rFonts w:hint="eastAsia" w:ascii="Times New Roman" w:hAnsi="Times New Roman" w:eastAsia="宋体" w:cs="Times New Roman"/>
          <w:b w:val="0"/>
          <w:bCs w:val="0"/>
          <w:sz w:val="24"/>
          <w:szCs w:val="24"/>
          <w:lang w:val="en-US" w:eastAsia="zh-CN"/>
        </w:rPr>
        <w:t>。</w:t>
      </w:r>
    </w:p>
    <w:p w14:paraId="2BDDE034">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drawing>
          <wp:inline distT="0" distB="0" distL="114300" distR="114300">
            <wp:extent cx="5415915" cy="6706235"/>
            <wp:effectExtent l="0" t="0" r="3810" b="8890"/>
            <wp:docPr id="2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8"/>
                    <pic:cNvPicPr>
                      <a:picLocks noChangeAspect="1"/>
                    </pic:cNvPicPr>
                  </pic:nvPicPr>
                  <pic:blipFill>
                    <a:blip r:embed="rId31"/>
                    <a:stretch>
                      <a:fillRect/>
                    </a:stretch>
                  </pic:blipFill>
                  <pic:spPr>
                    <a:xfrm>
                      <a:off x="0" y="0"/>
                      <a:ext cx="5415915" cy="6706235"/>
                    </a:xfrm>
                    <a:prstGeom prst="rect">
                      <a:avLst/>
                    </a:prstGeom>
                    <a:noFill/>
                    <a:ln>
                      <a:noFill/>
                    </a:ln>
                  </pic:spPr>
                </pic:pic>
              </a:graphicData>
            </a:graphic>
          </wp:inline>
        </w:drawing>
      </w:r>
    </w:p>
    <w:p w14:paraId="1980D868">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4.分级图缺少注记</w:t>
      </w:r>
    </w:p>
    <w:p w14:paraId="4CBD47C7">
      <w:pPr>
        <w:numPr>
          <w:ilvl w:val="0"/>
          <w:numId w:val="0"/>
        </w:numPr>
        <w:spacing w:line="360" w:lineRule="auto"/>
        <w:ind w:firstLine="480" w:firstLineChars="200"/>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否，按照下图修改</w:t>
      </w:r>
    </w:p>
    <w:p w14:paraId="2EA91114">
      <w:pPr>
        <w:numPr>
          <w:ilvl w:val="0"/>
          <w:numId w:val="0"/>
        </w:numPr>
        <w:spacing w:line="360" w:lineRule="auto"/>
        <w:ind w:firstLine="480" w:firstLineChars="200"/>
        <w:jc w:val="both"/>
        <w:rPr>
          <w:rFonts w:hint="eastAsia" w:ascii="Times New Roman" w:hAnsi="Times New Roman" w:eastAsia="宋体" w:cs="Times New Roman"/>
          <w:b w:val="0"/>
          <w:bCs w:val="0"/>
          <w:color w:val="FF0000"/>
          <w:sz w:val="24"/>
          <w:szCs w:val="24"/>
          <w:lang w:val="en-US" w:eastAsia="zh-CN"/>
        </w:rPr>
      </w:pPr>
      <w:r>
        <w:drawing>
          <wp:inline distT="0" distB="0" distL="114300" distR="114300">
            <wp:extent cx="5272405" cy="3119120"/>
            <wp:effectExtent l="0" t="0" r="4445" b="5080"/>
            <wp:docPr id="2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0"/>
                    <pic:cNvPicPr>
                      <a:picLocks noChangeAspect="1"/>
                    </pic:cNvPicPr>
                  </pic:nvPicPr>
                  <pic:blipFill>
                    <a:blip r:embed="rId32"/>
                    <a:stretch>
                      <a:fillRect/>
                    </a:stretch>
                  </pic:blipFill>
                  <pic:spPr>
                    <a:xfrm>
                      <a:off x="0" y="0"/>
                      <a:ext cx="5272405" cy="3119120"/>
                    </a:xfrm>
                    <a:prstGeom prst="rect">
                      <a:avLst/>
                    </a:prstGeom>
                    <a:noFill/>
                    <a:ln>
                      <a:noFill/>
                    </a:ln>
                  </pic:spPr>
                </pic:pic>
              </a:graphicData>
            </a:graphic>
          </wp:inline>
        </w:drawing>
      </w:r>
    </w:p>
    <w:p w14:paraId="49C954D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5.耕层质地按12级分级的标准进行上图，颜色按GB 45298-2025的标准上图，酸碱度同步参考</w:t>
      </w:r>
    </w:p>
    <w:p w14:paraId="621EA4A5">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请根据要求修改</w:t>
      </w:r>
    </w:p>
    <w:p w14:paraId="5ECC19BE">
      <w:pPr>
        <w:numPr>
          <w:ilvl w:val="0"/>
          <w:numId w:val="0"/>
        </w:numPr>
        <w:spacing w:line="360" w:lineRule="auto"/>
        <w:jc w:val="both"/>
      </w:pPr>
      <w:r>
        <w:drawing>
          <wp:inline distT="0" distB="0" distL="114300" distR="114300">
            <wp:extent cx="5269230" cy="4081780"/>
            <wp:effectExtent l="0" t="0" r="7620" b="4445"/>
            <wp:docPr id="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4"/>
                    <pic:cNvPicPr>
                      <a:picLocks noChangeAspect="1"/>
                    </pic:cNvPicPr>
                  </pic:nvPicPr>
                  <pic:blipFill>
                    <a:blip r:embed="rId33"/>
                    <a:stretch>
                      <a:fillRect/>
                    </a:stretch>
                  </pic:blipFill>
                  <pic:spPr>
                    <a:xfrm>
                      <a:off x="0" y="0"/>
                      <a:ext cx="5269230" cy="4081780"/>
                    </a:xfrm>
                    <a:prstGeom prst="rect">
                      <a:avLst/>
                    </a:prstGeom>
                    <a:noFill/>
                    <a:ln>
                      <a:noFill/>
                    </a:ln>
                  </pic:spPr>
                </pic:pic>
              </a:graphicData>
            </a:graphic>
          </wp:inline>
        </w:drawing>
      </w:r>
    </w:p>
    <w:p w14:paraId="2A665B5F">
      <w:pPr>
        <w:numPr>
          <w:ilvl w:val="0"/>
          <w:numId w:val="0"/>
        </w:numPr>
        <w:spacing w:line="360" w:lineRule="auto"/>
        <w:jc w:val="both"/>
        <w:rPr>
          <w:rFonts w:hint="default"/>
          <w:lang w:val="en-US" w:eastAsia="zh-CN"/>
        </w:rPr>
      </w:pPr>
      <w:r>
        <w:drawing>
          <wp:inline distT="0" distB="0" distL="114300" distR="114300">
            <wp:extent cx="5269230" cy="4949190"/>
            <wp:effectExtent l="0" t="0" r="7620" b="3810"/>
            <wp:docPr id="3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5"/>
                    <pic:cNvPicPr>
                      <a:picLocks noChangeAspect="1"/>
                    </pic:cNvPicPr>
                  </pic:nvPicPr>
                  <pic:blipFill>
                    <a:blip r:embed="rId34"/>
                    <a:stretch>
                      <a:fillRect/>
                    </a:stretch>
                  </pic:blipFill>
                  <pic:spPr>
                    <a:xfrm>
                      <a:off x="0" y="0"/>
                      <a:ext cx="5269230" cy="4949190"/>
                    </a:xfrm>
                    <a:prstGeom prst="rect">
                      <a:avLst/>
                    </a:prstGeom>
                    <a:noFill/>
                    <a:ln>
                      <a:noFill/>
                    </a:ln>
                  </pic:spPr>
                </pic:pic>
              </a:graphicData>
            </a:graphic>
          </wp:inline>
        </w:drawing>
      </w:r>
    </w:p>
    <w:p w14:paraId="1B2299C7">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图面表达</w:t>
      </w:r>
    </w:p>
    <w:p w14:paraId="44B61B80">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（一）图件制作是否符合规范</w:t>
      </w:r>
    </w:p>
    <w:p w14:paraId="0C55D45A">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图面内容配置、要素搭配、图例等是否完全符合技术规范；图名、比例尺等图廓信息是否符合规范；配色是否符合规范；是否符合A3图幅要求；基础地理要素标注是否符合规范；</w:t>
      </w:r>
    </w:p>
    <w:p w14:paraId="769C8116">
      <w:pPr>
        <w:numPr>
          <w:ilvl w:val="0"/>
          <w:numId w:val="0"/>
        </w:numPr>
        <w:spacing w:line="360" w:lineRule="auto"/>
        <w:jc w:val="both"/>
        <w:rPr>
          <w:rFonts w:hint="default"/>
          <w:b/>
          <w:bCs/>
          <w:sz w:val="24"/>
          <w:szCs w:val="24"/>
          <w:lang w:val="en-US" w:eastAsia="zh-CN"/>
        </w:rPr>
      </w:pPr>
      <w:r>
        <w:rPr>
          <w:rFonts w:hint="eastAsia" w:ascii="Times New Roman" w:hAnsi="Times New Roman" w:eastAsia="宋体" w:cs="Times New Roman"/>
          <w:b w:val="0"/>
          <w:bCs w:val="0"/>
          <w:color w:val="FF0000"/>
          <w:sz w:val="24"/>
          <w:szCs w:val="24"/>
          <w:lang w:val="en-US" w:eastAsia="zh-CN"/>
        </w:rPr>
        <w:t>否，请按照要求修改，同上。</w:t>
      </w:r>
    </w:p>
    <w:p w14:paraId="4141304B">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（二）图件信息缺失</w:t>
      </w:r>
    </w:p>
    <w:p w14:paraId="568F0B2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缺少面积统计表或面积统计表不完整（在属性图中）；坐标、投影、高程基准、署名等图廓信息是否完整。</w:t>
      </w:r>
    </w:p>
    <w:p w14:paraId="29F3C8B5">
      <w:pPr>
        <w:numPr>
          <w:ilvl w:val="0"/>
          <w:numId w:val="0"/>
        </w:numPr>
        <w:spacing w:line="360" w:lineRule="auto"/>
        <w:jc w:val="both"/>
        <w:rPr>
          <w:rFonts w:hint="default"/>
          <w:b/>
          <w:bCs/>
          <w:sz w:val="24"/>
          <w:szCs w:val="24"/>
          <w:lang w:val="en-US" w:eastAsia="zh-CN"/>
        </w:rPr>
      </w:pPr>
      <w:r>
        <w:rPr>
          <w:rFonts w:hint="eastAsia" w:ascii="Times New Roman" w:hAnsi="Times New Roman" w:eastAsia="宋体" w:cs="Times New Roman"/>
          <w:b w:val="0"/>
          <w:bCs w:val="0"/>
          <w:color w:val="FF0000"/>
          <w:sz w:val="24"/>
          <w:szCs w:val="24"/>
          <w:lang w:val="en-US" w:eastAsia="zh-CN"/>
        </w:rPr>
        <w:t>否，请按照要求修改，同上。</w:t>
      </w:r>
    </w:p>
    <w:p w14:paraId="77A89F1E">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（三）图件缺失</w:t>
      </w:r>
    </w:p>
    <w:p w14:paraId="7E4512DF">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color w:val="FF0000"/>
          <w:sz w:val="24"/>
          <w:szCs w:val="24"/>
          <w:lang w:val="en-US" w:eastAsia="zh-CN"/>
        </w:rPr>
        <w:t>否，请按照要求修改，同上。</w:t>
      </w:r>
    </w:p>
    <w:p w14:paraId="69438D24">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（四）其他</w:t>
      </w:r>
    </w:p>
    <w:p w14:paraId="2D675007">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美观性，易读性，着色。图面清晰度、图件信息清晰度。</w:t>
      </w:r>
    </w:p>
    <w:p w14:paraId="07645F23">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p>
    <w:p w14:paraId="0F21FDF3">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报告-制图过程</w:t>
      </w:r>
    </w:p>
    <w:p w14:paraId="228760C7">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（一）技术路线与规范</w:t>
      </w:r>
    </w:p>
    <w:p w14:paraId="75EE3E68">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1.属性制图技术路线图是否缺失或过于简单</w:t>
      </w:r>
    </w:p>
    <w:p w14:paraId="2E1E110E">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不缺失。</w:t>
      </w:r>
    </w:p>
    <w:p w14:paraId="50F954FF">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2.属性制图技术路线内容阐述是否完整或清晰</w:t>
      </w:r>
    </w:p>
    <w:p w14:paraId="1CD1DC6A">
      <w:pPr>
        <w:numPr>
          <w:ilvl w:val="0"/>
          <w:numId w:val="0"/>
        </w:numPr>
        <w:spacing w:line="360" w:lineRule="auto"/>
        <w:jc w:val="both"/>
        <w:rPr>
          <w:rFonts w:ascii="宋体" w:hAnsi="宋体" w:eastAsia="宋体" w:cs="宋体"/>
          <w:sz w:val="24"/>
          <w:szCs w:val="24"/>
        </w:rPr>
      </w:pPr>
      <w:r>
        <w:rPr>
          <w:rFonts w:ascii="宋体" w:hAnsi="宋体" w:eastAsia="宋体" w:cs="宋体"/>
          <w:sz w:val="24"/>
          <w:szCs w:val="24"/>
        </w:rPr>
        <w:t>仅局部细分操作缺少极致细化，整体完全满足三普成果报告编制要求，不存在阐述残缺、逻辑混乱、内容模糊问题</w:t>
      </w:r>
    </w:p>
    <w:p w14:paraId="629922D1">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（二）数据收集与处理不规范</w:t>
      </w:r>
    </w:p>
    <w:p w14:paraId="6B9B1420">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1.数据的来源、时间跨度、格式等说明是否充分</w:t>
      </w:r>
    </w:p>
    <w:p w14:paraId="27E8A828">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数据来源的时间、调查流程、检测方法、插值模型、数据局限性说明严重不充分，缺少精确采样年份、调查周期、实验标准、空间建模参数、数据误差说明，无法完整溯源数据生成全流程</w:t>
      </w:r>
    </w:p>
    <w:p w14:paraId="1C510E80">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2.土壤样点空间分布图是否缺失</w:t>
      </w:r>
    </w:p>
    <w:p w14:paraId="05E28DE8">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color w:val="FF0000"/>
          <w:sz w:val="24"/>
          <w:szCs w:val="24"/>
          <w:lang w:val="en-US" w:eastAsia="zh-CN"/>
        </w:rPr>
        <w:t>本报告缺失土壤样点空间分布图</w:t>
      </w:r>
    </w:p>
    <w:p w14:paraId="078B39F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3.环境变量制备过程未说明或说明不具体</w:t>
      </w:r>
    </w:p>
    <w:p w14:paraId="2043BB61">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不符合第三次全国土壤普查制图技术规范对环境因子制备需详细记录操作流程、参数的编制要求，属于说明不充分、细节严重缺失</w:t>
      </w:r>
    </w:p>
    <w:p w14:paraId="7A286CD2">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4.数据处理过程是否合理</w:t>
      </w:r>
    </w:p>
    <w:p w14:paraId="23CE2F45">
      <w:pPr>
        <w:numPr>
          <w:ilvl w:val="0"/>
          <w:numId w:val="0"/>
        </w:numPr>
        <w:spacing w:line="360" w:lineRule="auto"/>
        <w:jc w:val="both"/>
        <w:rPr>
          <w:rFonts w:hint="eastAsia"/>
          <w:b/>
          <w:bCs/>
          <w:sz w:val="24"/>
          <w:szCs w:val="24"/>
          <w:lang w:val="en-US" w:eastAsia="zh-CN"/>
        </w:rPr>
      </w:pPr>
      <w:r>
        <w:rPr>
          <w:rFonts w:hint="eastAsia" w:ascii="Times New Roman" w:hAnsi="Times New Roman" w:eastAsia="宋体" w:cs="Times New Roman"/>
          <w:b w:val="0"/>
          <w:bCs w:val="0"/>
          <w:color w:val="FF0000"/>
          <w:sz w:val="24"/>
          <w:szCs w:val="24"/>
          <w:lang w:val="en-US" w:eastAsia="zh-CN"/>
        </w:rPr>
        <w:t>整体处理逻辑框架符合第三次全国土壤普查数字制图技术规范，大流程方向合理。</w:t>
      </w:r>
      <w:r>
        <w:rPr>
          <w:rFonts w:hint="eastAsia"/>
          <w:b/>
          <w:bCs/>
          <w:sz w:val="24"/>
          <w:szCs w:val="24"/>
          <w:lang w:val="en-US" w:eastAsia="zh-CN"/>
        </w:rPr>
        <w:t>（三）制图模型确定是否合理</w:t>
      </w:r>
    </w:p>
    <w:p w14:paraId="4546CDE6">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1.模型优选是否进行了多种方法对比</w:t>
      </w:r>
    </w:p>
    <w:p w14:paraId="21EF9950">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559546D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2.环境变量的筛选方法和过程说明</w:t>
      </w:r>
    </w:p>
    <w:p w14:paraId="52DD7D69">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2B225B18">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w:t>
      </w:r>
      <w:r>
        <w:rPr>
          <w:rFonts w:hint="default"/>
          <w:b/>
          <w:bCs/>
          <w:sz w:val="24"/>
          <w:szCs w:val="24"/>
          <w:lang w:val="en-US" w:eastAsia="zh-CN"/>
        </w:rPr>
        <w:t>结果验证与分析</w:t>
      </w:r>
      <w:r>
        <w:rPr>
          <w:rFonts w:hint="eastAsia"/>
          <w:b/>
          <w:bCs/>
          <w:sz w:val="24"/>
          <w:szCs w:val="24"/>
          <w:lang w:val="en-US" w:eastAsia="zh-CN"/>
        </w:rPr>
        <w:t>是否</w:t>
      </w:r>
      <w:r>
        <w:rPr>
          <w:rFonts w:hint="default"/>
          <w:b/>
          <w:bCs/>
          <w:sz w:val="24"/>
          <w:szCs w:val="24"/>
          <w:lang w:val="en-US" w:eastAsia="zh-CN"/>
        </w:rPr>
        <w:t>充分</w:t>
      </w:r>
    </w:p>
    <w:p w14:paraId="7AAD46AF">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1.属性与环境的关联性（驱动因素）是否进行分析展示</w:t>
      </w:r>
    </w:p>
    <w:p w14:paraId="51777AF5">
      <w:pPr>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rPr>
          <w:rFonts w:hint="default" w:ascii="Times New Roman" w:hAnsi="Times New Roman" w:eastAsia="宋体" w:cs="Times New Roman"/>
          <w:b w:val="0"/>
          <w:bCs w:val="0"/>
          <w:color w:val="FF0000"/>
          <w:sz w:val="24"/>
          <w:szCs w:val="24"/>
          <w:lang w:val="en-US" w:eastAsia="zh-CN"/>
        </w:rPr>
        <w:t>报告开展了土壤属性与环境驱动因素关联性分析，配有量化数据支撑，但可视化展示不足、驱动机制深度分析欠缺</w:t>
      </w:r>
    </w:p>
    <w:p w14:paraId="660A07D8">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2.精度评价指标是否过于单一(仅用R2、RMSE验证)</w:t>
      </w:r>
    </w:p>
    <w:p w14:paraId="0C4BB62E">
      <w:pPr>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无分级精度验证，评价指标过于单一。</w:t>
      </w:r>
    </w:p>
    <w:p w14:paraId="48CFE9BC">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3.土壤属性图是否进行空间分布分析</w:t>
      </w:r>
    </w:p>
    <w:p w14:paraId="67DCC9B2">
      <w:pPr>
        <w:numPr>
          <w:ilvl w:val="0"/>
          <w:numId w:val="0"/>
        </w:numPr>
        <w:spacing w:line="360" w:lineRule="auto"/>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是。</w:t>
      </w:r>
    </w:p>
    <w:p w14:paraId="2AA25D65">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报告-现状分析</w:t>
      </w:r>
    </w:p>
    <w:p w14:paraId="39DDD968">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（一）数据准确性与一致性</w:t>
      </w:r>
    </w:p>
    <w:p w14:paraId="68F1633A">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1.样点统计与制图统计数据差异是否显著</w:t>
      </w:r>
    </w:p>
    <w:p w14:paraId="44D9D7AB">
      <w:pPr>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rPr>
          <w:rFonts w:hint="default" w:ascii="Times New Roman" w:hAnsi="Times New Roman" w:eastAsia="宋体" w:cs="Times New Roman"/>
          <w:b w:val="0"/>
          <w:bCs w:val="0"/>
          <w:color w:val="FF0000"/>
          <w:sz w:val="24"/>
          <w:szCs w:val="24"/>
          <w:lang w:val="en-US" w:eastAsia="zh-CN"/>
        </w:rPr>
        <w:t>土壤质地、pH、大量氮磷钾养分、缓效钾：样点统计和制图统计分级面积占比差异显著；</w:t>
      </w:r>
    </w:p>
    <w:p w14:paraId="1764D75F">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color w:val="FF0000"/>
          <w:sz w:val="24"/>
          <w:szCs w:val="24"/>
          <w:lang w:val="en-US" w:eastAsia="zh-CN"/>
        </w:rPr>
        <w:t>耕作层厚度、土壤容重、全盐量、有效铁：全域属性单一，两类统计差异微弱，不显著；</w:t>
      </w:r>
    </w:p>
    <w:p w14:paraId="2BE7812C">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2.数据是否错误或存疑，部分指标单位是否有误（亩或万亩）</w:t>
      </w:r>
    </w:p>
    <w:p w14:paraId="0515BC1C">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10FC3435">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3.现状数据是否缺少分级表、中微量元素数据等</w:t>
      </w:r>
    </w:p>
    <w:p w14:paraId="7F3E4DE7">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不缺少</w:t>
      </w:r>
    </w:p>
    <w:p w14:paraId="7340F7CB">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4.报告中的图表和现状数据是否匹配</w:t>
      </w:r>
    </w:p>
    <w:p w14:paraId="70FD9ED0">
      <w:pPr>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rPr>
          <w:rFonts w:hint="default" w:ascii="Times New Roman" w:hAnsi="Times New Roman" w:eastAsia="宋体" w:cs="Times New Roman"/>
          <w:b w:val="0"/>
          <w:bCs w:val="0"/>
          <w:color w:val="FF0000"/>
          <w:sz w:val="24"/>
          <w:szCs w:val="24"/>
          <w:lang w:val="en-US" w:eastAsia="zh-CN"/>
        </w:rPr>
        <w:t>绝大多数文字现状描述、样点统计、制图面积数据和对应分级分布图匹配；仅土壤质地（砂 / 粉 / 黏粒） 存在图表视觉与统计占比明显脱节，其余指标图表、文字、数据表逻辑自洽、相互印证</w:t>
      </w:r>
    </w:p>
    <w:p w14:paraId="508AE070">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（二）土壤属性分级与规范是否一致</w:t>
      </w:r>
    </w:p>
    <w:p w14:paraId="4192E3D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1.属性数据分级标准与规范不一致、分级不规范</w:t>
      </w:r>
    </w:p>
    <w:p w14:paraId="53965646">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规范。</w:t>
      </w:r>
    </w:p>
    <w:p w14:paraId="0017BD73">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2.土壤分类系统不统一（未用三普土属名称）</w:t>
      </w:r>
    </w:p>
    <w:p w14:paraId="40DDBD63">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统一。</w:t>
      </w:r>
    </w:p>
    <w:p w14:paraId="0577FDEE">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（三）现状分析深度与完整性不足</w:t>
      </w:r>
    </w:p>
    <w:p w14:paraId="08EAC1AE">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1.成因分析不深入或不合理</w:t>
      </w:r>
    </w:p>
    <w:p w14:paraId="3D0FACC6">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合理。</w:t>
      </w:r>
    </w:p>
    <w:p w14:paraId="038B03E5">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2.属性指标的土地利用类型、土壤类型分类分区差异对比不充分（各乡镇间进行对比）</w:t>
      </w:r>
    </w:p>
    <w:p w14:paraId="155A3B3A">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充分。</w:t>
      </w:r>
    </w:p>
    <w:p w14:paraId="07EB75E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3.现状指标分析不完整（缺物理指标、中微量元素等）</w:t>
      </w:r>
    </w:p>
    <w:p w14:paraId="5DBC314F">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完整。</w:t>
      </w:r>
    </w:p>
    <w:p w14:paraId="1CDFDC49">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（四）属性关联分析与实用性不足</w:t>
      </w:r>
    </w:p>
    <w:p w14:paraId="6FD7C20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1.现状土壤属性间关联分析不足</w:t>
      </w:r>
    </w:p>
    <w:p w14:paraId="226DF1DE">
      <w:pPr>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分析维度单一，需完善。</w:t>
      </w:r>
    </w:p>
    <w:p w14:paraId="2E31D9E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2.关联分析方法不规范</w:t>
      </w:r>
    </w:p>
    <w:p w14:paraId="7D14EC61">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规范。</w:t>
      </w:r>
    </w:p>
    <w:p w14:paraId="176CAF81">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3.未针对性提出土壤培肥改良措施，乡镇土壤属性分析仅呈现数据，未结合当地土壤问题给出解决方案</w:t>
      </w:r>
    </w:p>
    <w:p w14:paraId="29FE3F4B">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无乡镇专属针对性措施。</w:t>
      </w:r>
    </w:p>
    <w:p w14:paraId="31286588">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报告-历史变化及成因</w:t>
      </w:r>
    </w:p>
    <w:p w14:paraId="5668EF12">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（一）历史变化对比不符合导引要求</w:t>
      </w:r>
    </w:p>
    <w:p w14:paraId="6ED37E4E">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1.是否结合历史数据（二普、测土配方等）进行历史变化对比</w:t>
      </w:r>
    </w:p>
    <w:p w14:paraId="06EF4655">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报告结合测土配方施肥历史数据开展了系统对比，但缺少第二次全国土壤普查（二普）历史数据，历史对比素材不完整</w:t>
      </w:r>
    </w:p>
    <w:p w14:paraId="3F1CE72B">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2.历史变化分析不充分或缺失、剖析不深入</w:t>
      </w:r>
    </w:p>
    <w:p w14:paraId="0D5EE8C6">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需完善</w:t>
      </w:r>
    </w:p>
    <w:p w14:paraId="43AAD664">
      <w:pPr>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rPr>
          <w:rFonts w:hint="default" w:ascii="Times New Roman" w:hAnsi="Times New Roman" w:eastAsia="宋体" w:cs="Times New Roman"/>
          <w:b w:val="0"/>
          <w:bCs w:val="0"/>
          <w:color w:val="FF0000"/>
          <w:sz w:val="24"/>
          <w:szCs w:val="24"/>
          <w:lang w:val="en-US" w:eastAsia="zh-CN"/>
        </w:rPr>
        <w:t>覆盖缺失：超 2/3 土壤理化、中微量指标无历史时序对比，二普数据仅作底图，无定量长周期分析；</w:t>
      </w:r>
    </w:p>
    <w:p w14:paraId="5D2C2E98">
      <w:pPr>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rPr>
          <w:rFonts w:hint="default" w:ascii="Times New Roman" w:hAnsi="Times New Roman" w:eastAsia="宋体" w:cs="Times New Roman"/>
          <w:b w:val="0"/>
          <w:bCs w:val="0"/>
          <w:color w:val="FF0000"/>
          <w:sz w:val="24"/>
          <w:szCs w:val="24"/>
          <w:lang w:val="en-US" w:eastAsia="zh-CN"/>
        </w:rPr>
        <w:t>空间缺失：仅全县平均，无分乡镇、分土地利用、分地貌分层历史对比；</w:t>
      </w:r>
    </w:p>
    <w:p w14:paraId="4A230907">
      <w:pPr>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rPr>
          <w:rFonts w:hint="default" w:ascii="Times New Roman" w:hAnsi="Times New Roman" w:eastAsia="宋体" w:cs="Times New Roman"/>
          <w:b w:val="0"/>
          <w:bCs w:val="0"/>
          <w:color w:val="FF0000"/>
          <w:sz w:val="24"/>
          <w:szCs w:val="24"/>
          <w:lang w:val="en-US" w:eastAsia="zh-CN"/>
        </w:rPr>
        <w:t>机理浅层：成因只简单罗列，缺少量化支撑、多因子耦合剖析，自然因素长期演变分析空白；</w:t>
      </w:r>
    </w:p>
    <w:p w14:paraId="7643529B">
      <w:pPr>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rPr>
          <w:rFonts w:hint="default" w:ascii="Times New Roman" w:hAnsi="Times New Roman" w:eastAsia="宋体" w:cs="Times New Roman"/>
          <w:b w:val="0"/>
          <w:bCs w:val="0"/>
          <w:color w:val="FF0000"/>
          <w:sz w:val="24"/>
          <w:szCs w:val="24"/>
          <w:lang w:val="en-US" w:eastAsia="zh-CN"/>
        </w:rPr>
        <w:t>应用脱节：时空不结合、历史变化未对接分区改良措施，缺乏风险预判；</w:t>
      </w:r>
    </w:p>
    <w:p w14:paraId="51BA4265">
      <w:pPr>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rPr>
          <w:rFonts w:hint="default" w:ascii="Times New Roman" w:hAnsi="Times New Roman" w:eastAsia="宋体" w:cs="Times New Roman"/>
          <w:b w:val="0"/>
          <w:bCs w:val="0"/>
          <w:color w:val="FF0000"/>
          <w:sz w:val="24"/>
          <w:szCs w:val="24"/>
          <w:lang w:val="en-US" w:eastAsia="zh-CN"/>
        </w:rPr>
        <w:t>严谨性不足：未校正不同时期样本、检测标准差异，对比数据可比性未论证。</w:t>
      </w:r>
    </w:p>
    <w:p w14:paraId="1C20D27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3.对比分析的土壤属性指标分析缺失或不完整</w:t>
      </w:r>
    </w:p>
    <w:p w14:paraId="2DD4D161">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指标覆盖残缺：超半数理化、中微量指标无历史、分地类、分土属对比，未达到三普成果指标全覆盖要求；</w:t>
      </w:r>
    </w:p>
    <w:p w14:paraId="6C4687A1">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对比维度单一：仅有全县全域简单均值对比，缺少时序、乡镇、土类、肥力分组、指标耦合多维度交叉对比；</w:t>
      </w:r>
    </w:p>
    <w:p w14:paraId="5CE62F12">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4.仅文字分析、缺少图表统计对比</w:t>
      </w:r>
    </w:p>
    <w:p w14:paraId="1A8ED440">
      <w:pPr>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rPr>
          <w:rFonts w:hint="eastAsia"/>
          <w:b/>
          <w:bCs/>
          <w:sz w:val="24"/>
          <w:szCs w:val="24"/>
          <w:lang w:val="en-US" w:eastAsia="zh-CN"/>
        </w:rPr>
        <w:t xml:space="preserve"> </w:t>
      </w:r>
      <w:r>
        <w:rPr>
          <w:rFonts w:hint="eastAsia" w:ascii="Times New Roman" w:hAnsi="Times New Roman" w:eastAsia="宋体" w:cs="Times New Roman"/>
          <w:b w:val="0"/>
          <w:bCs w:val="0"/>
          <w:color w:val="FF0000"/>
          <w:sz w:val="24"/>
          <w:szCs w:val="24"/>
          <w:lang w:val="en-US" w:eastAsia="zh-CN"/>
        </w:rPr>
        <w:t>否。</w:t>
      </w:r>
    </w:p>
    <w:p w14:paraId="35ADFF3A">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（二）成因分析未按导引要求</w:t>
      </w:r>
    </w:p>
    <w:p w14:paraId="2A8E6BCA">
      <w:pPr>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需完善</w:t>
      </w:r>
    </w:p>
    <w:p w14:paraId="3BAA297B">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（三）结果分析表述不准确</w:t>
      </w:r>
    </w:p>
    <w:p w14:paraId="24C2D964">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数据类表述：严格区分样点统计、制图面积统计两套口径，修正均值、占比、区间矛盾文字，统一亩单位表述，补充数值限定语；</w:t>
      </w:r>
    </w:p>
    <w:p w14:paraId="5100AB2C">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专业术语：统一三普土壤分级、养分单位、CEC / 缓效钾等概念定义，纠正酸碱度、质地不规范口语；</w:t>
      </w:r>
    </w:p>
    <w:p w14:paraId="45F57FD9">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模型解读：修正 R² 精度夸大、模型一刀切表述，完善 RMSE 误差专业解读；</w:t>
      </w:r>
    </w:p>
    <w:p w14:paraId="19F33800">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因果分析：补充自然 + 人为双驱动因子，增加分区变化约束，注明历史数据对比局限性；</w:t>
      </w:r>
    </w:p>
    <w:p w14:paraId="19709631">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空间描述：修正与专题图、土地利用均值冲突的错误文字，乡镇差异增加量化数据支撑；</w:t>
      </w:r>
    </w:p>
    <w:p w14:paraId="573F0848">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机理与评价：弱化绝对化协同 / 拮抗结论，完善养分丰缺国标分级依据，细化障碍土壤精准表述。</w:t>
      </w:r>
    </w:p>
    <w:p w14:paraId="3F3AA12D">
      <w:pPr>
        <w:numPr>
          <w:ilvl w:val="0"/>
          <w:numId w:val="6"/>
        </w:numPr>
        <w:spacing w:line="360" w:lineRule="auto"/>
        <w:jc w:val="both"/>
        <w:rPr>
          <w:rFonts w:hint="eastAsia"/>
          <w:b/>
          <w:bCs/>
          <w:sz w:val="24"/>
          <w:szCs w:val="24"/>
          <w:lang w:val="en-US" w:eastAsia="zh-CN"/>
        </w:rPr>
      </w:pPr>
      <w:r>
        <w:rPr>
          <w:rFonts w:hint="eastAsia"/>
          <w:b/>
          <w:bCs/>
          <w:sz w:val="24"/>
          <w:szCs w:val="24"/>
          <w:lang w:val="en-US" w:eastAsia="zh-CN"/>
        </w:rPr>
        <w:t>其他</w:t>
      </w:r>
    </w:p>
    <w:p w14:paraId="709A1FB5">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无</w:t>
      </w:r>
    </w:p>
    <w:p w14:paraId="4DCE4E0D">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报告质量</w:t>
      </w:r>
    </w:p>
    <w:p w14:paraId="374DDA4F">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（一）撰写与总结问题</w:t>
      </w:r>
    </w:p>
    <w:p w14:paraId="3B3F4A18">
      <w:pPr>
        <w:numPr>
          <w:ilvl w:val="0"/>
          <w:numId w:val="0"/>
        </w:numPr>
        <w:spacing w:line="360" w:lineRule="auto"/>
        <w:ind w:firstLine="720" w:firstLineChars="3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基本符合</w:t>
      </w:r>
    </w:p>
    <w:p w14:paraId="605A2651">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（二）分析不足</w:t>
      </w:r>
    </w:p>
    <w:p w14:paraId="3241471B">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方法层面：机器学习论证、驱动因子量化、技术可视化不足，低精度指标优化方案缺失；</w:t>
      </w:r>
    </w:p>
    <w:p w14:paraId="63F82897">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数据层面：两套统计口径混用，指标统计覆盖面不足，历史时序数据残缺，数据可比性未论证；</w:t>
      </w:r>
    </w:p>
    <w:p w14:paraId="728E8869">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图表层面：仅有原始数据表，无可视化对比图，图文多处矛盾，辅助分析附图缺失；</w:t>
      </w:r>
    </w:p>
    <w:p w14:paraId="0E060A54">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分析层面：时序、空间、指标耦合、产业专项四大对比均残缺，机理剖析浅层，文字表述存在多处专业偏差；</w:t>
      </w:r>
    </w:p>
    <w:p w14:paraId="01388AA8">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应用层面：未贴合县域山地、林果特色产业开展分区研判，改良措施笼统，成果实用性弱；</w:t>
      </w:r>
    </w:p>
    <w:p w14:paraId="460BC86A">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规范层面：未完全满足三普县级制图成果指标全覆盖、图文配套、分区分析、长周期演变对比编制要求。</w:t>
      </w:r>
    </w:p>
    <w:p w14:paraId="22255AAA">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（三）统计表与规范性问题</w:t>
      </w:r>
    </w:p>
    <w:p w14:paraId="63474B4E">
      <w:pPr>
        <w:numPr>
          <w:ilvl w:val="0"/>
          <w:numId w:val="0"/>
        </w:numPr>
        <w:spacing w:line="360" w:lineRule="auto"/>
        <w:ind w:firstLine="720" w:firstLineChars="3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基本符合</w:t>
      </w:r>
    </w:p>
    <w:p w14:paraId="259EF2D6">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（四）分析报告未按导引或规范要求</w:t>
      </w:r>
    </w:p>
    <w:p w14:paraId="44BD51F3">
      <w:pPr>
        <w:numPr>
          <w:ilvl w:val="0"/>
          <w:numId w:val="0"/>
        </w:numPr>
        <w:spacing w:line="360" w:lineRule="auto"/>
        <w:ind w:firstLine="720" w:firstLineChars="300"/>
        <w:jc w:val="both"/>
        <w:rPr>
          <w:rFonts w:hint="eastAsia"/>
          <w:b/>
          <w:bCs/>
          <w:sz w:val="24"/>
          <w:szCs w:val="24"/>
          <w:lang w:val="en-US" w:eastAsia="zh-CN"/>
        </w:rPr>
      </w:pPr>
      <w:r>
        <w:rPr>
          <w:rFonts w:hint="eastAsia" w:ascii="Times New Roman" w:hAnsi="Times New Roman" w:eastAsia="宋体" w:cs="Times New Roman"/>
          <w:b w:val="0"/>
          <w:bCs w:val="0"/>
          <w:sz w:val="24"/>
          <w:szCs w:val="24"/>
          <w:lang w:val="en-US" w:eastAsia="zh-CN"/>
        </w:rPr>
        <w:t>基本符合</w:t>
      </w:r>
    </w:p>
    <w:p w14:paraId="4C51B231">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（五）现状分析不深入</w:t>
      </w:r>
    </w:p>
    <w:p w14:paraId="4DD7DA70">
      <w:pPr>
        <w:numPr>
          <w:ilvl w:val="0"/>
          <w:numId w:val="0"/>
        </w:numPr>
        <w:spacing w:line="360" w:lineRule="auto"/>
        <w:ind w:firstLine="720" w:firstLineChars="3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24DE8D4A">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一票否决</w:t>
      </w:r>
    </w:p>
    <w:p w14:paraId="27AE1FF6">
      <w:pPr>
        <w:numPr>
          <w:ilvl w:val="0"/>
          <w:numId w:val="7"/>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剔除样点过多，且无明确的逐个样点剔除说明</w:t>
      </w:r>
    </w:p>
    <w:p w14:paraId="003E3E79">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无明显错误</w:t>
      </w:r>
    </w:p>
    <w:p w14:paraId="7DC06A0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b/>
          <w:bCs/>
          <w:sz w:val="24"/>
          <w:szCs w:val="24"/>
          <w:lang w:val="en-US" w:eastAsia="zh-CN"/>
        </w:rPr>
        <w:t>（二）</w:t>
      </w:r>
      <w:r>
        <w:rPr>
          <w:rFonts w:hint="eastAsia" w:ascii="Times New Roman" w:hAnsi="Times New Roman" w:eastAsia="宋体" w:cs="Times New Roman"/>
          <w:b w:val="0"/>
          <w:bCs w:val="0"/>
          <w:sz w:val="24"/>
          <w:szCs w:val="24"/>
          <w:lang w:val="en-US" w:eastAsia="zh-CN"/>
        </w:rPr>
        <w:t>环境变量制备仅包括部分成土要素，未针对指标特征筛选环境变量，造成入模环境变量不合理</w:t>
      </w:r>
    </w:p>
    <w:p w14:paraId="4F5FF7F2">
      <w:pPr>
        <w:numPr>
          <w:ilvl w:val="0"/>
          <w:numId w:val="0"/>
        </w:numPr>
        <w:spacing w:line="360" w:lineRule="auto"/>
        <w:jc w:val="both"/>
        <w:rPr>
          <w:rFonts w:hint="eastAsia"/>
          <w:b/>
          <w:bCs/>
          <w:sz w:val="24"/>
          <w:szCs w:val="24"/>
          <w:lang w:val="en-US" w:eastAsia="zh-CN"/>
        </w:rPr>
      </w:pPr>
      <w:r>
        <w:rPr>
          <w:rFonts w:hint="eastAsia" w:ascii="Times New Roman" w:hAnsi="Times New Roman" w:eastAsia="宋体" w:cs="Times New Roman"/>
          <w:b w:val="0"/>
          <w:bCs w:val="0"/>
          <w:sz w:val="24"/>
          <w:szCs w:val="24"/>
          <w:lang w:val="en-US" w:eastAsia="zh-CN"/>
        </w:rPr>
        <w:t>无明显错误</w:t>
      </w:r>
    </w:p>
    <w:p w14:paraId="0A4B8D0A">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b/>
          <w:bCs/>
          <w:sz w:val="24"/>
          <w:szCs w:val="24"/>
          <w:lang w:val="en-US" w:eastAsia="zh-CN"/>
        </w:rPr>
        <w:t>（三）</w:t>
      </w:r>
      <w:r>
        <w:rPr>
          <w:rFonts w:hint="eastAsia" w:ascii="Times New Roman" w:hAnsi="Times New Roman" w:eastAsia="宋体" w:cs="Times New Roman"/>
          <w:b w:val="0"/>
          <w:bCs w:val="0"/>
          <w:sz w:val="24"/>
          <w:szCs w:val="24"/>
          <w:lang w:val="en-US" w:eastAsia="zh-CN"/>
        </w:rPr>
        <w:t>山地丘陵区采用普通克里格或IDW模型</w:t>
      </w:r>
    </w:p>
    <w:p w14:paraId="48EED104">
      <w:pPr>
        <w:numPr>
          <w:ilvl w:val="0"/>
          <w:numId w:val="0"/>
        </w:numPr>
        <w:spacing w:line="360" w:lineRule="auto"/>
        <w:jc w:val="both"/>
        <w:rPr>
          <w:rFonts w:hint="eastAsia"/>
          <w:b/>
          <w:bCs/>
          <w:sz w:val="24"/>
          <w:szCs w:val="24"/>
          <w:lang w:val="en-US" w:eastAsia="zh-CN"/>
        </w:rPr>
      </w:pPr>
      <w:r>
        <w:rPr>
          <w:rFonts w:hint="eastAsia" w:ascii="Times New Roman" w:hAnsi="Times New Roman" w:eastAsia="宋体" w:cs="Times New Roman"/>
          <w:b w:val="0"/>
          <w:bCs w:val="0"/>
          <w:sz w:val="24"/>
          <w:szCs w:val="24"/>
          <w:lang w:val="en-US" w:eastAsia="zh-CN"/>
        </w:rPr>
        <w:t>无明显错误</w:t>
      </w:r>
    </w:p>
    <w:p w14:paraId="2072AC6D">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b/>
          <w:bCs/>
          <w:sz w:val="24"/>
          <w:szCs w:val="24"/>
          <w:lang w:val="en-US" w:eastAsia="zh-CN"/>
        </w:rPr>
        <w:t>（四）</w:t>
      </w:r>
      <w:r>
        <w:rPr>
          <w:rFonts w:hint="eastAsia" w:ascii="Times New Roman" w:hAnsi="Times New Roman" w:eastAsia="宋体" w:cs="Times New Roman"/>
          <w:b w:val="0"/>
          <w:bCs w:val="0"/>
          <w:sz w:val="24"/>
          <w:szCs w:val="24"/>
          <w:lang w:val="en-US" w:eastAsia="zh-CN"/>
        </w:rPr>
        <w:t>制图结果空间分布明显与实际不符（如DEM高，PH低的规律）</w:t>
      </w:r>
    </w:p>
    <w:p w14:paraId="4A7CB3A9">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无明显错误</w:t>
      </w:r>
    </w:p>
    <w:p w14:paraId="3BF9E990">
      <w:pPr>
        <w:keepNext w:val="0"/>
        <w:keepLines w:val="0"/>
        <w:pageBreakBefore w:val="0"/>
        <w:widowControl w:val="0"/>
        <w:kinsoku/>
        <w:wordWrap/>
        <w:overflowPunct/>
        <w:topLinePunct w:val="0"/>
        <w:autoSpaceDE/>
        <w:autoSpaceDN/>
        <w:bidi w:val="0"/>
        <w:adjustRightInd/>
        <w:snapToGrid/>
        <w:jc w:val="both"/>
        <w:textAlignment w:val="auto"/>
        <w:rPr>
          <w:rFonts w:hint="eastAsia"/>
          <w:sz w:val="32"/>
          <w:szCs w:val="32"/>
          <w:lang w:val="en-US" w:eastAsia="zh-CN"/>
        </w:rPr>
      </w:pPr>
    </w:p>
    <w:p w14:paraId="1FEDDE2D">
      <w:pPr>
        <w:rPr>
          <w:rFonts w:hint="eastAsia"/>
          <w:sz w:val="32"/>
          <w:szCs w:val="32"/>
          <w:lang w:val="en-US" w:eastAsia="zh-CN"/>
        </w:rPr>
      </w:pPr>
      <w:r>
        <w:rPr>
          <w:rFonts w:hint="eastAsia"/>
          <w:sz w:val="32"/>
          <w:szCs w:val="32"/>
          <w:lang w:val="en-US" w:eastAsia="zh-CN"/>
        </w:rPr>
        <w:br w:type="page"/>
      </w:r>
    </w:p>
    <w:p w14:paraId="56E6C250">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r>
        <w:rPr>
          <w:rFonts w:hint="eastAsia"/>
          <w:sz w:val="32"/>
          <w:szCs w:val="32"/>
          <w:lang w:val="en-US" w:eastAsia="zh-CN"/>
        </w:rPr>
        <w:t>第三部分：土壤退化、障碍与改良成果质控意见</w:t>
      </w:r>
    </w:p>
    <w:p w14:paraId="70937E64">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r>
        <w:rPr>
          <w:rFonts w:hint="eastAsia"/>
          <w:sz w:val="32"/>
          <w:szCs w:val="32"/>
          <w:lang w:val="en-US" w:eastAsia="zh-CN"/>
        </w:rPr>
        <w:t>第四部分：土壤农业利用适宜性评价成果质控意见</w:t>
      </w:r>
    </w:p>
    <w:p w14:paraId="266B0D62">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r>
        <w:rPr>
          <w:rFonts w:hint="eastAsia"/>
          <w:sz w:val="32"/>
          <w:szCs w:val="32"/>
          <w:lang w:val="en-US" w:eastAsia="zh-CN"/>
        </w:rPr>
        <w:t>第五部分：耕地质量等级评价成果质控意见</w:t>
      </w:r>
    </w:p>
    <w:p w14:paraId="21E24481">
      <w:pPr>
        <w:keepNext w:val="0"/>
        <w:keepLines w:val="0"/>
        <w:pageBreakBefore w:val="0"/>
        <w:widowControl w:val="0"/>
        <w:kinsoku/>
        <w:wordWrap/>
        <w:overflowPunct/>
        <w:topLinePunct w:val="0"/>
        <w:autoSpaceDE/>
        <w:autoSpaceDN/>
        <w:bidi w:val="0"/>
        <w:adjustRightInd/>
        <w:snapToGrid/>
        <w:jc w:val="center"/>
        <w:textAlignment w:val="auto"/>
        <w:rPr>
          <w:rFonts w:hint="default"/>
          <w:sz w:val="32"/>
          <w:szCs w:val="32"/>
          <w:lang w:val="en-US" w:eastAsia="zh-CN"/>
        </w:rPr>
      </w:pPr>
      <w:r>
        <w:rPr>
          <w:rFonts w:hint="eastAsia"/>
          <w:sz w:val="32"/>
          <w:szCs w:val="32"/>
          <w:lang w:val="en-US" w:eastAsia="zh-CN"/>
        </w:rPr>
        <w:t>第六部分：土特产品土壤适宜性评价成果质控意见</w:t>
      </w:r>
    </w:p>
    <w:p w14:paraId="0CEBA02B">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200247B" w:usb2="00000009" w:usb3="00000000" w:csb0="200001FF" w:csb1="00000000"/>
  </w:font>
  <w:font w:name="+中文正文">
    <w:altName w:val="ESRI AMFM Electric"/>
    <w:panose1 w:val="00000000000000000000"/>
    <w:charset w:val="00"/>
    <w:family w:val="auto"/>
    <w:pitch w:val="default"/>
    <w:sig w:usb0="00000000" w:usb1="00000000" w:usb2="00000000" w:usb3="00000000" w:csb0="00000000" w:csb1="00000000"/>
  </w:font>
  <w:font w:name="+西文正文">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EAE951"/>
    <w:multiLevelType w:val="singleLevel"/>
    <w:tmpl w:val="94EAE951"/>
    <w:lvl w:ilvl="0" w:tentative="0">
      <w:start w:val="1"/>
      <w:numFmt w:val="chineseCounting"/>
      <w:suff w:val="nothing"/>
      <w:lvlText w:val="%1、"/>
      <w:lvlJc w:val="left"/>
      <w:rPr>
        <w:rFonts w:hint="eastAsia"/>
      </w:rPr>
    </w:lvl>
  </w:abstractNum>
  <w:abstractNum w:abstractNumId="1">
    <w:nsid w:val="976DCCE4"/>
    <w:multiLevelType w:val="singleLevel"/>
    <w:tmpl w:val="976DCCE4"/>
    <w:lvl w:ilvl="0" w:tentative="0">
      <w:start w:val="1"/>
      <w:numFmt w:val="chineseCounting"/>
      <w:suff w:val="nothing"/>
      <w:lvlText w:val="（%1）"/>
      <w:lvlJc w:val="left"/>
      <w:rPr>
        <w:rFonts w:hint="eastAsia"/>
      </w:rPr>
    </w:lvl>
  </w:abstractNum>
  <w:abstractNum w:abstractNumId="2">
    <w:nsid w:val="BFC5C279"/>
    <w:multiLevelType w:val="singleLevel"/>
    <w:tmpl w:val="BFC5C279"/>
    <w:lvl w:ilvl="0" w:tentative="0">
      <w:start w:val="1"/>
      <w:numFmt w:val="chineseCounting"/>
      <w:suff w:val="nothing"/>
      <w:lvlText w:val="（%1）"/>
      <w:lvlJc w:val="left"/>
      <w:rPr>
        <w:rFonts w:hint="eastAsia"/>
      </w:rPr>
    </w:lvl>
  </w:abstractNum>
  <w:abstractNum w:abstractNumId="3">
    <w:nsid w:val="CFAB4ED3"/>
    <w:multiLevelType w:val="singleLevel"/>
    <w:tmpl w:val="CFAB4ED3"/>
    <w:lvl w:ilvl="0" w:tentative="0">
      <w:start w:val="4"/>
      <w:numFmt w:val="decimal"/>
      <w:lvlText w:val="%1."/>
      <w:lvlJc w:val="left"/>
      <w:pPr>
        <w:tabs>
          <w:tab w:val="left" w:pos="312"/>
        </w:tabs>
      </w:pPr>
    </w:lvl>
  </w:abstractNum>
  <w:abstractNum w:abstractNumId="4">
    <w:nsid w:val="40E1F2E8"/>
    <w:multiLevelType w:val="singleLevel"/>
    <w:tmpl w:val="40E1F2E8"/>
    <w:lvl w:ilvl="0" w:tentative="0">
      <w:start w:val="1"/>
      <w:numFmt w:val="chineseCounting"/>
      <w:suff w:val="nothing"/>
      <w:lvlText w:val="%1、"/>
      <w:lvlJc w:val="left"/>
      <w:rPr>
        <w:rFonts w:hint="eastAsia"/>
      </w:rPr>
    </w:lvl>
  </w:abstractNum>
  <w:abstractNum w:abstractNumId="5">
    <w:nsid w:val="4794ADAA"/>
    <w:multiLevelType w:val="singleLevel"/>
    <w:tmpl w:val="4794ADAA"/>
    <w:lvl w:ilvl="0" w:tentative="0">
      <w:start w:val="4"/>
      <w:numFmt w:val="chineseCounting"/>
      <w:suff w:val="nothing"/>
      <w:lvlText w:val="（%1）"/>
      <w:lvlJc w:val="left"/>
      <w:rPr>
        <w:rFonts w:hint="eastAsia"/>
      </w:rPr>
    </w:lvl>
  </w:abstractNum>
  <w:abstractNum w:abstractNumId="6">
    <w:nsid w:val="602A2685"/>
    <w:multiLevelType w:val="singleLevel"/>
    <w:tmpl w:val="602A2685"/>
    <w:lvl w:ilvl="0" w:tentative="0">
      <w:start w:val="3"/>
      <w:numFmt w:val="chineseCounting"/>
      <w:suff w:val="nothing"/>
      <w:lvlText w:val="（%1）"/>
      <w:lvlJc w:val="left"/>
      <w:rPr>
        <w:rFonts w:hint="eastAsia"/>
      </w:rPr>
    </w:lvl>
  </w:abstractNum>
  <w:num w:numId="1">
    <w:abstractNumId w:val="0"/>
  </w:num>
  <w:num w:numId="2">
    <w:abstractNumId w:val="2"/>
  </w:num>
  <w:num w:numId="3">
    <w:abstractNumId w:val="4"/>
  </w:num>
  <w:num w:numId="4">
    <w:abstractNumId w:val="6"/>
  </w:num>
  <w:num w:numId="5">
    <w:abstractNumId w:val="3"/>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5D27D5"/>
    <w:rsid w:val="02CB036C"/>
    <w:rsid w:val="06DC7D74"/>
    <w:rsid w:val="17F16BC0"/>
    <w:rsid w:val="18797770"/>
    <w:rsid w:val="20A538E9"/>
    <w:rsid w:val="22D65B11"/>
    <w:rsid w:val="23645C20"/>
    <w:rsid w:val="26495C86"/>
    <w:rsid w:val="27CB7F20"/>
    <w:rsid w:val="289B4DD5"/>
    <w:rsid w:val="28B07B5A"/>
    <w:rsid w:val="2A680FA1"/>
    <w:rsid w:val="2AB6770F"/>
    <w:rsid w:val="3F704E97"/>
    <w:rsid w:val="4434435E"/>
    <w:rsid w:val="527C43A3"/>
    <w:rsid w:val="5C990189"/>
    <w:rsid w:val="5D4A7966"/>
    <w:rsid w:val="5D880006"/>
    <w:rsid w:val="628F3190"/>
    <w:rsid w:val="67E601AA"/>
    <w:rsid w:val="68F44B17"/>
    <w:rsid w:val="735D27D5"/>
    <w:rsid w:val="75652C8D"/>
    <w:rsid w:val="7E20467A"/>
    <w:rsid w:val="7FF86E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560" w:firstLineChars="200"/>
      <w:jc w:val="both"/>
    </w:pPr>
    <w:rPr>
      <w:rFonts w:ascii="Times New Roman" w:hAnsi="Times New Roman" w:eastAsia="宋体" w:cstheme="minorBidi"/>
      <w:kern w:val="2"/>
      <w:sz w:val="24"/>
      <w:szCs w:val="24"/>
      <w:lang w:val="en-US" w:eastAsia="zh-CN" w:bidi="ar-SA"/>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toc 3"/>
    <w:basedOn w:val="1"/>
    <w:next w:val="1"/>
    <w:qFormat/>
    <w:uiPriority w:val="0"/>
    <w:pPr>
      <w:ind w:left="840" w:leftChars="400"/>
    </w:pPr>
  </w:style>
  <w:style w:type="paragraph" w:styleId="3">
    <w:name w:val="toc 1"/>
    <w:basedOn w:val="1"/>
    <w:next w:val="1"/>
    <w:qFormat/>
    <w:uiPriority w:val="0"/>
  </w:style>
  <w:style w:type="paragraph" w:styleId="4">
    <w:name w:val="toc 2"/>
    <w:basedOn w:val="1"/>
    <w:next w:val="1"/>
    <w:qFormat/>
    <w:uiPriority w:val="0"/>
    <w:pPr>
      <w:ind w:left="420" w:leftChars="200"/>
    </w:p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jpe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32</Pages>
  <Words>10031</Words>
  <Characters>10566</Characters>
  <Lines>0</Lines>
  <Paragraphs>0</Paragraphs>
  <TotalTime>3</TotalTime>
  <ScaleCrop>false</ScaleCrop>
  <LinksUpToDate>false</LinksUpToDate>
  <CharactersWithSpaces>10715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2026-07-09T11:10:00Z</dcterms:created>
  <dc:creator>颖</dc:creator>
  <cp:lastModifiedBy>落寞</cp:lastModifiedBy>
  <dcterms:modified xsi:type="dcterms:W3CDTF">2026-07-19T13:06:08Z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272DD8FB8E904B8BB6B2278846B25BB5_13</vt:lpwstr>
  </property>
  <property fmtid="{D5CDD505-2E9C-101B-9397-08002B2CF9AE}" pid="4" name="KSOTemplateDocerSaveRecord">
    <vt:lpwstr>eyJoZGlkIjoiMTQ4ZWQ0NDI3NzZiMGJmZTBjZjRkMmUxOWE3Y2Y2NWQiLCJ1c2VySWQiOiI2MTUwODE3MDUifQ==</vt:lpwstr>
  </property>
</Properties>
</file>