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72"/>
          <w:szCs w:val="72"/>
        </w:rPr>
        <w:t xml:space="preserve">RegOS</w:t>
      </w:r>
    </w:p>
    <w:p>
      <w:pPr>
        <w:spacing w:after="200"/>
        <w:jc w:val="center"/>
      </w:pPr>
      <w:r>
        <w:rPr>
          <w:rFonts w:ascii="Arial" w:cs="Arial" w:eastAsia="Arial" w:hAnsi="Arial"/>
          <w:color w:val="2E5984"/>
          <w:sz w:val="32"/>
          <w:szCs w:val="32"/>
        </w:rPr>
        <w:t xml:space="preserve">Regulatory Compliance Operating System</w:t>
      </w:r>
    </w:p>
    <w:p>
      <w:pPr>
        <w:spacing w:after="600"/>
        <w:jc w:val="center"/>
      </w:pPr>
      <w:r>
        <w:rPr>
          <w:rFonts w:ascii="Arial" w:cs="Arial" w:eastAsia="Arial" w:hAnsi="Arial"/>
          <w:color w:val="5A5A5A"/>
          <w:sz w:val="28"/>
          <w:szCs w:val="28"/>
        </w:rPr>
        <w:t xml:space="preserve">Complete Infrastructure Architecture</w:t>
      </w:r>
    </w:p>
    <w:p>
      <w:pPr>
        <w:spacing w:after="100"/>
        <w:jc w:val="center"/>
      </w:pPr>
      <w:r>
        <w:rPr>
          <w:rFonts w:ascii="Arial" w:cs="Arial" w:eastAsia="Arial" w:hAnsi="Arial"/>
          <w:b/>
          <w:bCs/>
          <w:color w:val="1B3A5C"/>
          <w:sz w:val="24"/>
          <w:szCs w:val="24"/>
        </w:rPr>
        <w:t xml:space="preserve">APAS AI</w:t>
      </w:r>
    </w:p>
    <w:p>
      <w:pPr>
        <w:spacing w:after="100"/>
        <w:jc w:val="center"/>
      </w:pPr>
      <w:r>
        <w:rPr>
          <w:rFonts w:ascii="Arial" w:cs="Arial" w:eastAsia="Arial" w:hAnsi="Arial"/>
          <w:color w:val="5A5A5A"/>
          <w:sz w:val="22"/>
          <w:szCs w:val="22"/>
        </w:rPr>
        <w:t xml:space="preserve">March 11, 2026</w:t>
      </w:r>
    </w:p>
    <w:p>
      <w:pPr>
        <w:spacing w:after="100"/>
        <w:jc w:val="center"/>
      </w:pPr>
      <w:r>
        <w:rPr>
          <w:rFonts w:ascii="Arial" w:cs="Arial" w:eastAsia="Arial" w:hAnsi="Arial"/>
          <w:b/>
          <w:bCs/>
          <w:color w:val="CC0000"/>
          <w:sz w:val="20"/>
          <w:szCs w:val="20"/>
        </w:rPr>
        <w:t xml:space="preserve">CONFIDENTIAL</w:t>
      </w:r>
    </w:p>
    <w:p>
      <w:r>
        <w:br w:type="page"/>
      </w:r>
    </w:p>
    <w:p>
      <w:pPr>
        <w:pStyle w:val="Heading1"/>
        <w:spacing w:after="200" w:before="360"/>
      </w:pPr>
      <w:r>
        <w:rPr>
          <w:rFonts w:ascii="Arial" w:cs="Arial" w:eastAsia="Arial" w:hAnsi="Arial"/>
          <w:b/>
          <w:bCs/>
          <w:color w:val="1B3A5C"/>
          <w:sz w:val="32"/>
          <w:szCs w:val="32"/>
        </w:rPr>
        <w:t xml:space="preserve">1. Deployment Layer</w:t>
      </w:r>
    </w:p>
    <w:p>
      <w:pPr>
        <w:spacing w:after="160"/>
      </w:pPr>
      <w:r>
        <w:rPr>
          <w:rFonts w:ascii="Arial" w:cs="Arial" w:eastAsia="Arial" w:hAnsi="Arial"/>
          <w:sz w:val="22"/>
          <w:szCs w:val="22"/>
        </w:rPr>
        <w:t xml:space="preserve">RegOS runs as a forked Open WebUI instance inside a single Docker container, built from a custom multi-stage Dockerfile. The deployment is orchestrated via Docker Compose.</w:t>
      </w:r>
    </w:p>
    <w:p>
      <w:pPr>
        <w:pStyle w:val="Heading2"/>
        <w:spacing w:after="160" w:before="280"/>
      </w:pPr>
      <w:r>
        <w:rPr>
          <w:rFonts w:ascii="Arial" w:cs="Arial" w:eastAsia="Arial" w:hAnsi="Arial"/>
          <w:b/>
          <w:bCs/>
          <w:color w:val="2E5984"/>
          <w:sz w:val="26"/>
          <w:szCs w:val="26"/>
        </w:rPr>
        <w:t xml:space="preserve">1.1 Docker Container</w:t>
      </w:r>
    </w:p>
    <w:p>
      <w:pPr>
        <w:spacing w:after="160"/>
      </w:pPr>
      <w:r>
        <w:rPr>
          <w:rFonts w:ascii="Arial" w:cs="Arial" w:eastAsia="Arial" w:hAnsi="Arial"/>
          <w:sz w:val="22"/>
          <w:szCs w:val="22"/>
        </w:rPr>
        <w:t xml:space="preserve">The Docker Compose configuration maps host port 3000 to container port 8080. A named Docker volume (open-webui) is mounted at /app/backend/data, which stores all persistent state: SQLite databases, uploaded files, model configurations, and embedding caches. This volume survives container rebuilds, meaning you can tear down and rebuild the container without losing data.</w:t>
      </w:r>
    </w:p>
    <w:p>
      <w:pPr>
        <w:pStyle w:val="Heading3"/>
        <w:spacing w:after="120" w:before="200"/>
      </w:pPr>
      <w:r>
        <w:rPr>
          <w:rFonts w:ascii="Arial" w:cs="Arial" w:eastAsia="Arial" w:hAnsi="Arial"/>
          <w:b/>
          <w:bCs/>
          <w:color w:val="3D7AB5"/>
          <w:sz w:val="22"/>
          <w:szCs w:val="22"/>
        </w:rPr>
        <w:t xml:space="preserve">Container Build Process</w:t>
      </w:r>
    </w:p>
    <w:p>
      <w:pPr>
        <w:spacing w:after="160"/>
      </w:pPr>
      <w:r>
        <w:rPr>
          <w:rFonts w:ascii="Arial" w:cs="Arial" w:eastAsia="Arial" w:hAnsi="Arial"/>
          <w:sz w:val="22"/>
          <w:szCs w:val="22"/>
        </w:rPr>
        <w:t xml:space="preserve">The Dockerfile uses a two-stage build:</w:t>
      </w:r>
    </w:p>
    <w:p>
      <w:pPr>
        <w:pStyle w:val="ListParagraph"/>
        <w:numPr>
          <w:ilvl w:val="0"/>
          <w:numId w:val="2"/>
        </w:numPr>
        <w:spacing w:after="80"/>
      </w:pPr>
      <w:r>
        <w:rPr>
          <w:rFonts w:ascii="Arial" w:cs="Arial" w:eastAsia="Arial" w:hAnsi="Arial"/>
          <w:b/>
          <w:bCs/>
          <w:sz w:val="22"/>
          <w:szCs w:val="22"/>
        </w:rPr>
        <w:t xml:space="preserve">Stage 1 (Node.js 22 Alpine):</w:t>
      </w:r>
      <w:r>
        <w:rPr>
          <w:rFonts w:ascii="Arial" w:cs="Arial" w:eastAsia="Arial" w:hAnsi="Arial"/>
          <w:sz w:val="22"/>
          <w:szCs w:val="22"/>
        </w:rPr>
        <w:t xml:space="preserve"> Compiles the Svelte/SvelteKit frontend. NODE_OPTIONS is set to --max-old-space-size=4096 to prevent out-of-memory errors during build.</w:t>
      </w:r>
    </w:p>
    <w:p>
      <w:pPr>
        <w:pStyle w:val="ListParagraph"/>
        <w:numPr>
          <w:ilvl w:val="0"/>
          <w:numId w:val="2"/>
        </w:numPr>
        <w:spacing w:after="80"/>
      </w:pPr>
      <w:r>
        <w:rPr>
          <w:rFonts w:ascii="Arial" w:cs="Arial" w:eastAsia="Arial" w:hAnsi="Arial"/>
          <w:b/>
          <w:bCs/>
          <w:sz w:val="22"/>
          <w:szCs w:val="22"/>
        </w:rPr>
        <w:t xml:space="preserve">Stage 2 (Python 3.11 Slim Bookworm):</w:t>
      </w:r>
      <w:r>
        <w:rPr>
          <w:rFonts w:ascii="Arial" w:cs="Arial" w:eastAsia="Arial" w:hAnsi="Arial"/>
          <w:sz w:val="22"/>
          <w:szCs w:val="22"/>
        </w:rPr>
        <w:t xml:space="preserve"> Runs the FastAPI backend. Installs all Python dependencies from requirements.txt, downloads sentence-transformers (all-MiniLM-L6-v2) for local RAG embeddings, Whisper for speech-to-text, and tiktoken for token counting.</w:t>
      </w:r>
    </w:p>
    <w:p>
      <w:pPr>
        <w:spacing w:after="160"/>
      </w:pPr>
      <w:r>
        <w:rPr>
          <w:rFonts w:ascii="Arial" w:cs="Arial" w:eastAsia="Arial" w:hAnsi="Arial"/>
          <w:sz w:val="22"/>
          <w:szCs w:val="22"/>
        </w:rPr>
        <w:t xml:space="preserve">The backend serves both the compiled frontend static assets and the API from a single process. The entrypoint is bash start.sh which launches the FastAPI server on port 8080.</w:t>
      </w:r>
    </w:p>
    <w:p>
      <w:pPr>
        <w:pStyle w:val="Heading3"/>
        <w:spacing w:after="120" w:before="200"/>
      </w:pPr>
      <w:r>
        <w:rPr>
          <w:rFonts w:ascii="Arial" w:cs="Arial" w:eastAsia="Arial" w:hAnsi="Arial"/>
          <w:b/>
          <w:bCs/>
          <w:color w:val="3D7AB5"/>
          <w:sz w:val="22"/>
          <w:szCs w:val="22"/>
        </w:rPr>
        <w:t xml:space="preserve">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OPEN_WEBUI_PORT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port mapping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OLLAMA_BASE_URL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http://ollama:11434</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Ollama endpoint (unused)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WEBUI_SECRET_KEY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signing secret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NODE_OPTIONS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--max-old-space-size=4096</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Prevent OOM during build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SCARF_NO_ANALYTICS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telemetry</w:t>
            </w:r>
          </w:p>
        </w:tc>
      </w:tr>
    </w:tbl>
    <w:p>
      <w:pPr>
        <w:pStyle w:val="Heading2"/>
        <w:spacing w:after="160" w:before="280"/>
      </w:pPr>
      <w:r>
        <w:rPr>
          <w:rFonts w:ascii="Arial" w:cs="Arial" w:eastAsia="Arial" w:hAnsi="Arial"/>
          <w:b/>
          <w:bCs/>
          <w:color w:val="2E5984"/>
          <w:sz w:val="26"/>
          <w:szCs w:val="26"/>
        </w:rPr>
        <w:t xml:space="preserve">1.2 LLM Routing</w:t>
      </w:r>
    </w:p>
    <w:p>
      <w:pPr>
        <w:spacing w:after="160"/>
      </w:pPr>
      <w:r>
        <w:rPr>
          <w:rFonts w:ascii="Arial" w:cs="Arial" w:eastAsia="Arial" w:hAnsi="Arial"/>
          <w:sz w:val="22"/>
          <w:szCs w:val="22"/>
        </w:rPr>
        <w:t xml:space="preserve">Ollama is commented out in the compose file. RegOS does not use local models for production inference. Currently, all LLM inference is routed through OpenRouter, configured in the Open WebUI admin panel as an OpenAI-compatible API connection. OpenRouter provides access to models including Gemini, Claude, GPT, and others. The model branded to end users is called "Better Hardeep.ai", which is an OpenRouter model alias configured in the Open WebUI workspace.</w:t>
      </w:r>
    </w:p>
    <w:p>
      <w:pPr>
        <w:spacing w:after="160"/>
      </w:pPr>
      <w:r>
        <w:rPr>
          <w:rFonts w:ascii="Arial" w:cs="Arial" w:eastAsia="Arial" w:hAnsi="Arial"/>
          <w:b/>
          <w:bCs/>
          <w:sz w:val="22"/>
          <w:szCs w:val="22"/>
        </w:rPr>
        <w:t xml:space="preserve">Endgame architecture: </w:t>
      </w:r>
      <w:r>
        <w:rPr>
          <w:rFonts w:ascii="Arial" w:cs="Arial" w:eastAsia="Arial" w:hAnsi="Arial"/>
          <w:sz w:val="22"/>
          <w:szCs w:val="22"/>
        </w:rPr>
        <w:t xml:space="preserve">The production target is to host a fine-tuned model on RunPod GPU pods and bundle it with Open WebUI in a single Docker container for self-hosted deployment. Both the current OpenRouter path and the future RunPod path use the same OpenAI-compatible API interface, so the switch is a single environment variable change (OPENAI_API_BASE_URL) with no code modifications required.</w:t>
      </w:r>
    </w:p>
    <w:p>
      <w:pPr>
        <w:pStyle w:val="Heading2"/>
        <w:spacing w:after="160" w:before="280"/>
      </w:pPr>
      <w:r>
        <w:rPr>
          <w:rFonts w:ascii="Arial" w:cs="Arial" w:eastAsia="Arial" w:hAnsi="Arial"/>
          <w:b/>
          <w:bCs/>
          <w:color w:val="2E5984"/>
          <w:sz w:val="26"/>
          <w:szCs w:val="26"/>
        </w:rPr>
        <w:t xml:space="preserve">1.3 Docker Volume Structure</w:t>
      </w:r>
    </w:p>
    <w:p>
      <w:pPr>
        <w:spacing w:after="160"/>
      </w:pPr>
      <w:r>
        <w:rPr>
          <w:rFonts w:ascii="Arial" w:cs="Arial" w:eastAsia="Arial" w:hAnsi="Arial"/>
          <w:sz w:val="22"/>
          <w:szCs w:val="22"/>
        </w:rPr>
        <w:t xml:space="preserve">The single named volume (open-webui) at /app/backend/data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File/Directory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webui.db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Open WebUI state (users, chats, models, settings, access grants, groups)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audit.db</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SQLite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RegOS audit trail (every query-response pair)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regos_breaches.db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 evaluation log with SHA-256 evidence hashes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cache/embedding/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Sentence-transformer model weights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cache/whisper/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 STT model weights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uploads/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User-uploaded documents for RAG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vector_db/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 vector store for document embeddings (KB RAG)</w:t>
            </w:r>
          </w:p>
        </w:tc>
      </w:tr>
    </w:tbl>
    <w:p>
      <w:pPr>
        <w:pStyle w:val="Heading2"/>
        <w:spacing w:after="160" w:before="280"/>
      </w:pPr>
      <w:r>
        <w:rPr>
          <w:rFonts w:ascii="Arial" w:cs="Arial" w:eastAsia="Arial" w:hAnsi="Arial"/>
          <w:b/>
          <w:bCs/>
          <w:color w:val="2E5984"/>
          <w:sz w:val="26"/>
          <w:szCs w:val="26"/>
        </w:rPr>
        <w:t xml:space="preserve">1.4 ChromaDB (Embedded Vector Store)</w:t>
      </w:r>
    </w:p>
    <w:p>
      <w:pPr>
        <w:spacing w:after="160"/>
      </w:pPr>
      <w:r>
        <w:rPr>
          <w:rFonts w:ascii="Arial" w:cs="Arial" w:eastAsia="Arial" w:hAnsi="Arial"/>
          <w:sz w:val="22"/>
          <w:szCs w:val="22"/>
        </w:rPr>
        <w:t xml:space="preserve">Open WebUI uses ChromaDB as its default vector database (VECTOR_DB=chroma). ChromaDB runs embedded inside the container process (no separate service) and stores its data at /app/backend/data/vector_db/ on the Docker volume.</w:t>
      </w:r>
    </w:p>
    <w:p>
      <w:pPr>
        <w:spacing w:after="160"/>
      </w:pPr>
      <w:r>
        <w:rPr>
          <w:rFonts w:ascii="Arial" w:cs="Arial" w:eastAsia="Arial" w:hAnsi="Arial"/>
          <w:sz w:val="22"/>
          <w:szCs w:val="22"/>
        </w:rPr>
        <w:t xml:space="preserve">ChromaDB powers the Knowledge Base RAG pipeline: when documents are uploaded to Open WebUI (PDF, DOCX, text files, etc.), they are chunked, embedded using the sentence-transformers model (all-MiniLM-L6-v2), and stored as vectors in ChromaDB. At query time, the user’s message is embedded and a similarity search retrieves the most relevant chunks, which are injected into the LLM context alongside the GraphRAG-retrieved regulatory sections.</w:t>
      </w:r>
    </w:p>
    <w:p>
      <w:pPr>
        <w:spacing w:after="160"/>
      </w:pPr>
      <w:r>
        <w:rPr>
          <w:rFonts w:ascii="Arial" w:cs="Arial" w:eastAsia="Arial" w:hAnsi="Arial"/>
          <w:sz w:val="22"/>
          <w:szCs w:val="22"/>
        </w:rPr>
        <w:t xml:space="preserve">This means RegOS has two parallel retrieval systems: GraphRAG (Neo4j knowledge graph for structured regulatory intelligence) and KB RAG (ChromaDB for uploaded documents). Both contribute context to the LLM, giving it both structured regulatory knowledge and any supplementary documents the admin has uploaded.</w:t>
      </w:r>
    </w:p>
    <w:p>
      <w:pPr>
        <w:pStyle w:val="Heading2"/>
        <w:spacing w:after="160" w:before="280"/>
      </w:pPr>
      <w:r>
        <w:rPr>
          <w:rFonts w:ascii="Arial" w:cs="Arial" w:eastAsia="Arial" w:hAnsi="Arial"/>
          <w:b/>
          <w:bCs/>
          <w:color w:val="2E5984"/>
          <w:sz w:val="26"/>
          <w:szCs w:val="26"/>
        </w:rPr>
        <w:t xml:space="preserve">1.5 Built-in Knowledge Base RAG (Naive RAG)</w:t>
      </w:r>
    </w:p>
    <w:p>
      <w:pPr>
        <w:spacing w:after="160"/>
      </w:pPr>
      <w:r>
        <w:rPr>
          <w:rFonts w:ascii="Arial" w:cs="Arial" w:eastAsia="Arial" w:hAnsi="Arial"/>
          <w:sz w:val="22"/>
          <w:szCs w:val="22"/>
        </w:rPr>
        <w:t xml:space="preserve">Open WebUI ships with a complete RAG pipeline out of the box, independent of any custom functions or filters. This is the native Knowledge Base feature that powers document-based retrieval for all uploaded content.</w:t>
      </w:r>
    </w:p>
    <w:p>
      <w:pPr>
        <w:pStyle w:val="Heading3"/>
        <w:spacing w:after="120" w:before="200"/>
      </w:pPr>
      <w:r>
        <w:rPr>
          <w:rFonts w:ascii="Arial" w:cs="Arial" w:eastAsia="Arial" w:hAnsi="Arial"/>
          <w:b/>
          <w:bCs/>
          <w:color w:val="3D7AB5"/>
          <w:sz w:val="22"/>
          <w:szCs w:val="22"/>
        </w:rPr>
        <w:t xml:space="preserve">Ingestion Pipeline</w:t>
      </w:r>
    </w:p>
    <w:p>
      <w:pPr>
        <w:spacing w:after="160"/>
      </w:pPr>
      <w:r>
        <w:rPr>
          <w:rFonts w:ascii="Arial" w:cs="Arial" w:eastAsia="Arial" w:hAnsi="Arial"/>
          <w:sz w:val="22"/>
          <w:szCs w:val="22"/>
        </w:rPr>
        <w:t xml:space="preserve">When an admin uploads documents (PDF, DOCX, TXT, Markdown, etc.) through the Knowledge section in the admin panel, Open WebUI processes them through the following pipeline:</w:t>
      </w:r>
    </w:p>
    <w:p>
      <w:pPr>
        <w:pStyle w:val="ListParagraph"/>
        <w:numPr>
          <w:ilvl w:val="0"/>
          <w:numId w:val="2"/>
        </w:numPr>
        <w:spacing w:after="80"/>
      </w:pPr>
      <w:r>
        <w:rPr>
          <w:rFonts w:ascii="Arial" w:cs="Arial" w:eastAsia="Arial" w:hAnsi="Arial"/>
          <w:b/>
          <w:bCs/>
          <w:sz w:val="22"/>
          <w:szCs w:val="22"/>
        </w:rPr>
        <w:t xml:space="preserve">Chunking:</w:t>
      </w:r>
      <w:r>
        <w:rPr>
          <w:rFonts w:ascii="Arial" w:cs="Arial" w:eastAsia="Arial" w:hAnsi="Arial"/>
          <w:sz w:val="22"/>
          <w:szCs w:val="22"/>
        </w:rPr>
        <w:t xml:space="preserve"> Documents are split into chunks of approximately 1,500 tokens with overlap to preserve context across boundaries.</w:t>
      </w:r>
    </w:p>
    <w:p>
      <w:pPr>
        <w:pStyle w:val="ListParagraph"/>
        <w:numPr>
          <w:ilvl w:val="0"/>
          <w:numId w:val="2"/>
        </w:numPr>
        <w:spacing w:after="80"/>
      </w:pPr>
      <w:r>
        <w:rPr>
          <w:rFonts w:ascii="Arial" w:cs="Arial" w:eastAsia="Arial" w:hAnsi="Arial"/>
          <w:b/>
          <w:bCs/>
          <w:sz w:val="22"/>
          <w:szCs w:val="22"/>
        </w:rPr>
        <w:t xml:space="preserve">Embedding:</w:t>
      </w:r>
      <w:r>
        <w:rPr>
          <w:rFonts w:ascii="Arial" w:cs="Arial" w:eastAsia="Arial" w:hAnsi="Arial"/>
          <w:sz w:val="22"/>
          <w:szCs w:val="22"/>
        </w:rPr>
        <w:t xml:space="preserve"> Each chunk is embedded using the sentence-transformers model (all-MiniLM-L6-v2), which runs locally inside the container. No external API calls are needed for embedding.</w:t>
      </w:r>
    </w:p>
    <w:p>
      <w:pPr>
        <w:pStyle w:val="ListParagraph"/>
        <w:numPr>
          <w:ilvl w:val="0"/>
          <w:numId w:val="2"/>
        </w:numPr>
        <w:spacing w:after="80"/>
      </w:pPr>
      <w:r>
        <w:rPr>
          <w:rFonts w:ascii="Arial" w:cs="Arial" w:eastAsia="Arial" w:hAnsi="Arial"/>
          <w:b/>
          <w:bCs/>
          <w:sz w:val="22"/>
          <w:szCs w:val="22"/>
        </w:rPr>
        <w:t xml:space="preserve">Storage:</w:t>
      </w:r>
      <w:r>
        <w:rPr>
          <w:rFonts w:ascii="Arial" w:cs="Arial" w:eastAsia="Arial" w:hAnsi="Arial"/>
          <w:sz w:val="22"/>
          <w:szCs w:val="22"/>
        </w:rPr>
        <w:t xml:space="preserve"> The resulting vectors are stored in ChromaDB at /app/backend/data/vector_db/ on the Docker volume.</w:t>
      </w:r>
    </w:p>
    <w:p>
      <w:pPr>
        <w:pStyle w:val="Heading3"/>
        <w:spacing w:after="120" w:before="200"/>
      </w:pPr>
      <w:r>
        <w:rPr>
          <w:rFonts w:ascii="Arial" w:cs="Arial" w:eastAsia="Arial" w:hAnsi="Arial"/>
          <w:b/>
          <w:bCs/>
          <w:color w:val="3D7AB5"/>
          <w:sz w:val="22"/>
          <w:szCs w:val="22"/>
        </w:rPr>
        <w:t xml:space="preserve">Query-Time Retrieval</w:t>
      </w:r>
    </w:p>
    <w:p>
      <w:pPr>
        <w:spacing w:after="160"/>
      </w:pPr>
      <w:r>
        <w:rPr>
          <w:rFonts w:ascii="Arial" w:cs="Arial" w:eastAsia="Arial" w:hAnsi="Arial"/>
          <w:sz w:val="22"/>
          <w:szCs w:val="22"/>
        </w:rPr>
        <w:t xml:space="preserve">When a user sends a message in a chat that has a Knowledge Base attached:</w:t>
      </w:r>
    </w:p>
    <w:p>
      <w:pPr>
        <w:pStyle w:val="ListParagraph"/>
        <w:numPr>
          <w:ilvl w:val="0"/>
          <w:numId w:val="2"/>
        </w:numPr>
        <w:spacing w:after="80"/>
      </w:pPr>
      <w:r>
        <w:rPr>
          <w:rFonts w:ascii="Arial" w:cs="Arial" w:eastAsia="Arial" w:hAnsi="Arial"/>
          <w:b/>
          <w:bCs/>
          <w:sz w:val="22"/>
          <w:szCs w:val="22"/>
        </w:rPr>
        <w:t xml:space="preserve">Similarity Search:</w:t>
      </w:r>
      <w:r>
        <w:rPr>
          <w:rFonts w:ascii="Arial" w:cs="Arial" w:eastAsia="Arial" w:hAnsi="Arial"/>
          <w:sz w:val="22"/>
          <w:szCs w:val="22"/>
        </w:rPr>
        <w:t xml:space="preserve"> The user’s query is embedded using the same sentence-transformers model, then a cosine similarity search is performed against the stored vectors in ChromaDB.</w:t>
      </w:r>
    </w:p>
    <w:p>
      <w:pPr>
        <w:pStyle w:val="ListParagraph"/>
        <w:numPr>
          <w:ilvl w:val="0"/>
          <w:numId w:val="2"/>
        </w:numPr>
        <w:spacing w:after="80"/>
      </w:pPr>
      <w:r>
        <w:rPr>
          <w:rFonts w:ascii="Arial" w:cs="Arial" w:eastAsia="Arial" w:hAnsi="Arial"/>
          <w:b/>
          <w:bCs/>
          <w:sz w:val="22"/>
          <w:szCs w:val="22"/>
        </w:rPr>
        <w:t xml:space="preserve">Top-k Retrieval:</w:t>
      </w:r>
      <w:r>
        <w:rPr>
          <w:rFonts w:ascii="Arial" w:cs="Arial" w:eastAsia="Arial" w:hAnsi="Arial"/>
          <w:sz w:val="22"/>
          <w:szCs w:val="22"/>
        </w:rPr>
        <w:t xml:space="preserve"> The most relevant chunks (configurable k) are retrieved and ranked by similarity score.</w:t>
      </w:r>
    </w:p>
    <w:p>
      <w:pPr>
        <w:pStyle w:val="ListParagraph"/>
        <w:numPr>
          <w:ilvl w:val="0"/>
          <w:numId w:val="2"/>
        </w:numPr>
        <w:spacing w:after="80"/>
      </w:pPr>
      <w:r>
        <w:rPr>
          <w:rFonts w:ascii="Arial" w:cs="Arial" w:eastAsia="Arial" w:hAnsi="Arial"/>
          <w:b/>
          <w:bCs/>
          <w:sz w:val="22"/>
          <w:szCs w:val="22"/>
        </w:rPr>
        <w:t xml:space="preserve">Context Injection:</w:t>
      </w:r>
      <w:r>
        <w:rPr>
          <w:rFonts w:ascii="Arial" w:cs="Arial" w:eastAsia="Arial" w:hAnsi="Arial"/>
          <w:sz w:val="22"/>
          <w:szCs w:val="22"/>
        </w:rPr>
        <w:t xml:space="preserve"> Retrieved chunks are injected into the LLM prompt as context, allowing the model to ground its response in the uploaded documents.</w:t>
      </w:r>
    </w:p>
    <w:p>
      <w:pPr>
        <w:pStyle w:val="Heading3"/>
        <w:spacing w:after="120" w:before="200"/>
      </w:pPr>
      <w:r>
        <w:rPr>
          <w:rFonts w:ascii="Arial" w:cs="Arial" w:eastAsia="Arial" w:hAnsi="Arial"/>
          <w:b/>
          <w:bCs/>
          <w:color w:val="3D7AB5"/>
          <w:sz w:val="22"/>
          <w:szCs w:val="22"/>
        </w:rPr>
        <w:t xml:space="preserve">Dual Retrieval Architecture</w:t>
      </w:r>
    </w:p>
    <w:p>
      <w:pPr>
        <w:spacing w:after="160"/>
      </w:pPr>
      <w:r>
        <w:rPr>
          <w:rFonts w:ascii="Arial" w:cs="Arial" w:eastAsia="Arial" w:hAnsi="Arial"/>
          <w:sz w:val="22"/>
          <w:szCs w:val="22"/>
        </w:rPr>
        <w:t xml:space="preserve">In RegOS, this built-in naive RAG operates alongside the custom GraphRAG filter, creating a dual retrieval architecture:</w:t>
      </w:r>
    </w:p>
    <w:p>
      <w:pPr>
        <w:pStyle w:val="ListParagraph"/>
        <w:numPr>
          <w:ilvl w:val="0"/>
          <w:numId w:val="2"/>
        </w:numPr>
        <w:spacing w:after="80"/>
      </w:pPr>
      <w:r>
        <w:rPr>
          <w:rFonts w:ascii="Arial" w:cs="Arial" w:eastAsia="Arial" w:hAnsi="Arial"/>
          <w:b/>
          <w:bCs/>
          <w:sz w:val="22"/>
          <w:szCs w:val="22"/>
        </w:rPr>
        <w:t xml:space="preserve">GraphRAG (Neo4j):</w:t>
      </w:r>
      <w:r>
        <w:rPr>
          <w:rFonts w:ascii="Arial" w:cs="Arial" w:eastAsia="Arial" w:hAnsi="Arial"/>
          <w:sz w:val="22"/>
          <w:szCs w:val="22"/>
        </w:rPr>
        <w:t xml:space="preserve"> Structured regulatory intelligence — graph-traversal retrieval over the Chapter 24 knowledge graph with entity matching, concept expansion, and fulltext search. Provides precise, relationship-aware regulatory context.</w:t>
      </w:r>
    </w:p>
    <w:p>
      <w:pPr>
        <w:pStyle w:val="ListParagraph"/>
        <w:numPr>
          <w:ilvl w:val="0"/>
          <w:numId w:val="2"/>
        </w:numPr>
        <w:spacing w:after="80"/>
      </w:pPr>
      <w:r>
        <w:rPr>
          <w:rFonts w:ascii="Arial" w:cs="Arial" w:eastAsia="Arial" w:hAnsi="Arial"/>
          <w:b/>
          <w:bCs/>
          <w:sz w:val="22"/>
          <w:szCs w:val="22"/>
        </w:rPr>
        <w:t xml:space="preserve">KB RAG (ChromaDB):</w:t>
      </w:r>
      <w:r>
        <w:rPr>
          <w:rFonts w:ascii="Arial" w:cs="Arial" w:eastAsia="Arial" w:hAnsi="Arial"/>
          <w:sz w:val="22"/>
          <w:szCs w:val="22"/>
        </w:rPr>
        <w:t xml:space="preserve"> Document-level retrieval — similarity search over any uploaded documents (supplementary guidance, internal memos, reference materials, etc.). Provides broad document coverage.</w:t>
      </w:r>
    </w:p>
    <w:p>
      <w:pPr>
        <w:spacing w:after="160"/>
      </w:pPr>
      <w:r>
        <w:rPr>
          <w:rFonts w:ascii="Arial" w:cs="Arial" w:eastAsia="Arial" w:hAnsi="Arial"/>
          <w:sz w:val="22"/>
          <w:szCs w:val="22"/>
        </w:rPr>
        <w:t xml:space="preserve">Both retrieval systems contribute context to the LLM independently. The GraphRAG filter injects its context via the inlet phase (modifying the user message), while KB RAG injects its context via Open WebUI’s native retrieval mechanism. The LLM receives both and synthesizes a response drawing from all available sources.</w:t>
      </w:r>
    </w:p>
    <w:p>
      <w:r>
        <w:br w:type="page"/>
      </w:r>
    </w:p>
    <w:p>
      <w:pPr>
        <w:pStyle w:val="Heading1"/>
        <w:spacing w:after="200" w:before="360"/>
      </w:pPr>
      <w:r>
        <w:rPr>
          <w:rFonts w:ascii="Arial" w:cs="Arial" w:eastAsia="Arial" w:hAnsi="Arial"/>
          <w:b/>
          <w:bCs/>
          <w:color w:val="1B3A5C"/>
          <w:sz w:val="32"/>
          <w:szCs w:val="32"/>
        </w:rPr>
        <w:t xml:space="preserve">2. Neo4j Knowledge Graph</w:t>
      </w:r>
    </w:p>
    <w:p>
      <w:pPr>
        <w:spacing w:after="160"/>
      </w:pPr>
      <w:r>
        <w:rPr>
          <w:rFonts w:ascii="Arial" w:cs="Arial" w:eastAsia="Arial" w:hAnsi="Arial"/>
          <w:sz w:val="22"/>
          <w:szCs w:val="22"/>
        </w:rPr>
        <w:t xml:space="preserve">The core regulatory intelligence lives in a Neo4j Aura cloud-managed graph database instance (neo4j+s://11d95839.databases.neo4j.io). This is a fully managed service, not self-hosted.</w:t>
      </w:r>
    </w:p>
    <w:p>
      <w:pPr>
        <w:pStyle w:val="Heading2"/>
        <w:spacing w:after="160" w:before="280"/>
      </w:pPr>
      <w:r>
        <w:rPr>
          <w:rFonts w:ascii="Arial" w:cs="Arial" w:eastAsia="Arial" w:hAnsi="Arial"/>
          <w:b/>
          <w:bCs/>
          <w:color w:val="2E5984"/>
          <w:sz w:val="26"/>
          <w:szCs w:val="26"/>
        </w:rPr>
        <w:t xml:space="preserve">2.1 Graph Schema (FEA v0.17.3)</w:t>
      </w:r>
    </w:p>
    <w:p>
      <w:pPr>
        <w:spacing w:after="160"/>
      </w:pPr>
      <w:r>
        <w:rPr>
          <w:rFonts w:ascii="Arial" w:cs="Arial" w:eastAsia="Arial" w:hAnsi="Arial"/>
          <w:sz w:val="22"/>
          <w:szCs w:val="22"/>
        </w:rPr>
        <w:t xml:space="preserve">The graph was built from Miami-Dade County Chapter 24 (Environmental Quality Control Board regulations). The source data is a 226 MB JSON export (chaptor_24_graph.json). The schema uses three node types and two relationship types:</w:t>
      </w:r>
    </w:p>
    <w:p>
      <w:pPr>
        <w:pStyle w:val="Heading3"/>
        <w:spacing w:after="120" w:before="200"/>
      </w:pPr>
      <w:r>
        <w:rPr>
          <w:rFonts w:ascii="Arial" w:cs="Arial" w:eastAsia="Arial" w:hAnsi="Arial"/>
          <w:b/>
          <w:bCs/>
          <w:color w:val="3D7AB5"/>
          <w:sz w:val="22"/>
          <w:szCs w:val="22"/>
        </w:rPr>
        <w:t xml:space="preserve">Node Types</w:t>
      </w:r>
    </w:p>
    <w:p>
      <w:pPr>
        <w:pStyle w:val="ListParagraph"/>
        <w:numPr>
          <w:ilvl w:val="0"/>
          <w:numId w:val="2"/>
        </w:numPr>
        <w:spacing w:after="80"/>
      </w:pPr>
      <w:r>
        <w:rPr>
          <w:rFonts w:ascii="Arial" w:cs="Arial" w:eastAsia="Arial" w:hAnsi="Arial"/>
          <w:b/>
          <w:bCs/>
          <w:sz w:val="22"/>
          <w:szCs w:val="22"/>
        </w:rPr>
        <w:t xml:space="preserve">Ch24Document:</w:t>
      </w:r>
      <w:r>
        <w:rPr>
          <w:rFonts w:ascii="Arial" w:cs="Arial" w:eastAsia="Arial" w:hAnsi="Arial"/>
          <w:sz w:val="22"/>
          <w:szCs w:val="22"/>
        </w:rPr>
        <w:t xml:space="preserve"> Individual regulatory sections (Sec. 24-42, 24-42.1, etc.) with sectionId, title, and content fields. These contain the actual regulation text.</w:t>
      </w:r>
    </w:p>
    <w:p>
      <w:pPr>
        <w:pStyle w:val="ListParagraph"/>
        <w:numPr>
          <w:ilvl w:val="0"/>
          <w:numId w:val="2"/>
        </w:numPr>
        <w:spacing w:after="80"/>
      </w:pPr>
      <w:r>
        <w:rPr>
          <w:rFonts w:ascii="Arial" w:cs="Arial" w:eastAsia="Arial" w:hAnsi="Arial"/>
          <w:b/>
          <w:bCs/>
          <w:sz w:val="22"/>
          <w:szCs w:val="22"/>
        </w:rPr>
        <w:t xml:space="preserve">Ch24Entity:</w:t>
      </w:r>
      <w:r>
        <w:rPr>
          <w:rFonts w:ascii="Arial" w:cs="Arial" w:eastAsia="Arial" w:hAnsi="Arial"/>
          <w:sz w:val="22"/>
          <w:szCs w:val="22"/>
        </w:rPr>
        <w:t xml:space="preserve"> Named regulatory concepts extracted from the text (pollutant names, facility types, permit categories) with name, type, and value fields.</w:t>
      </w:r>
    </w:p>
    <w:p>
      <w:pPr>
        <w:pStyle w:val="ListParagraph"/>
        <w:numPr>
          <w:ilvl w:val="0"/>
          <w:numId w:val="2"/>
        </w:numPr>
        <w:spacing w:after="80"/>
      </w:pPr>
      <w:r>
        <w:rPr>
          <w:rFonts w:ascii="Arial" w:cs="Arial" w:eastAsia="Arial" w:hAnsi="Arial"/>
          <w:b/>
          <w:bCs/>
          <w:sz w:val="22"/>
          <w:szCs w:val="22"/>
        </w:rPr>
        <w:t xml:space="preserve">Ch24Class:</w:t>
      </w:r>
      <w:r>
        <w:rPr>
          <w:rFonts w:ascii="Arial" w:cs="Arial" w:eastAsia="Arial" w:hAnsi="Arial"/>
          <w:sz w:val="22"/>
          <w:szCs w:val="22"/>
        </w:rPr>
        <w:t xml:space="preserve"> Ontology-level concept categories (e.g., "Sewer Discharge Limits", "FOG Requirements") that group related entities into semantic clusters.</w:t>
      </w:r>
    </w:p>
    <w:p>
      <w:pPr>
        <w:pStyle w:val="Heading3"/>
        <w:spacing w:after="120" w:before="200"/>
      </w:pPr>
      <w:r>
        <w:rPr>
          <w:rFonts w:ascii="Arial" w:cs="Arial" w:eastAsia="Arial" w:hAnsi="Arial"/>
          <w:b/>
          <w:bCs/>
          <w:color w:val="3D7AB5"/>
          <w:sz w:val="22"/>
          <w:szCs w:val="22"/>
        </w:rPr>
        <w:t xml:space="preserve">Relationship Types</w:t>
      </w:r>
    </w:p>
    <w:p>
      <w:pPr>
        <w:pStyle w:val="ListParagraph"/>
        <w:numPr>
          <w:ilvl w:val="0"/>
          <w:numId w:val="2"/>
        </w:numPr>
        <w:spacing w:after="80"/>
      </w:pPr>
      <w:r>
        <w:rPr>
          <w:rFonts w:ascii="Arial" w:cs="Arial" w:eastAsia="Arial" w:hAnsi="Arial"/>
          <w:b/>
          <w:bCs/>
          <w:sz w:val="22"/>
          <w:szCs w:val="22"/>
        </w:rPr>
        <w:t xml:space="preserve">MENTIONS_ENTITY:</w:t>
      </w:r>
      <w:r>
        <w:rPr>
          <w:rFonts w:ascii="Arial" w:cs="Arial" w:eastAsia="Arial" w:hAnsi="Arial"/>
          <w:sz w:val="22"/>
          <w:szCs w:val="22"/>
        </w:rPr>
        <w:t xml:space="preserve"> Ch24Document → Ch24Entity. Links sections to the concepts they reference.</w:t>
      </w:r>
    </w:p>
    <w:p>
      <w:pPr>
        <w:pStyle w:val="ListParagraph"/>
        <w:numPr>
          <w:ilvl w:val="0"/>
          <w:numId w:val="2"/>
        </w:numPr>
        <w:spacing w:after="80"/>
      </w:pPr>
      <w:r>
        <w:rPr>
          <w:rFonts w:ascii="Arial" w:cs="Arial" w:eastAsia="Arial" w:hAnsi="Arial"/>
          <w:b/>
          <w:bCs/>
          <w:sz w:val="22"/>
          <w:szCs w:val="22"/>
        </w:rPr>
        <w:t xml:space="preserve">RELATES_TO_CONCEPT:</w:t>
      </w:r>
      <w:r>
        <w:rPr>
          <w:rFonts w:ascii="Arial" w:cs="Arial" w:eastAsia="Arial" w:hAnsi="Arial"/>
          <w:sz w:val="22"/>
          <w:szCs w:val="22"/>
        </w:rPr>
        <w:t xml:space="preserve"> Ch24Document → Ch24Class. Carries similarity scores enabling concept-based expansion (the "Graph" in GraphRAG).</w:t>
      </w:r>
    </w:p>
    <w:p>
      <w:pPr>
        <w:pStyle w:val="Heading3"/>
        <w:spacing w:after="120" w:before="200"/>
      </w:pPr>
      <w:r>
        <w:rPr>
          <w:rFonts w:ascii="Arial" w:cs="Arial" w:eastAsia="Arial" w:hAnsi="Arial"/>
          <w:b/>
          <w:bCs/>
          <w:color w:val="3D7AB5"/>
          <w:sz w:val="22"/>
          <w:szCs w:val="22"/>
        </w:rPr>
        <w:t xml:space="preserve">Indexes</w:t>
      </w:r>
    </w:p>
    <w:p>
      <w:pPr>
        <w:spacing w:after="160"/>
      </w:pPr>
      <w:r>
        <w:rPr>
          <w:rFonts w:ascii="Arial" w:cs="Arial" w:eastAsia="Arial" w:hAnsi="Arial"/>
          <w:sz w:val="22"/>
          <w:szCs w:val="22"/>
        </w:rPr>
        <w:t xml:space="preserve">Fulltext indexes exist on both Ch24Document (title + content) and Ch24Entity (value) for Lucene-based text search. These are critical for the first two steps of the retrieval pipeline.</w:t>
      </w:r>
    </w:p>
    <w:p>
      <w:pPr>
        <w:pStyle w:val="Heading2"/>
        <w:spacing w:after="160" w:before="280"/>
      </w:pPr>
      <w:r>
        <w:rPr>
          <w:rFonts w:ascii="Arial" w:cs="Arial" w:eastAsia="Arial" w:hAnsi="Arial"/>
          <w:b/>
          <w:bCs/>
          <w:color w:val="2E5984"/>
          <w:sz w:val="26"/>
          <w:szCs w:val="26"/>
        </w:rPr>
        <w:t xml:space="preserve">2.2 Supporting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chaptor_24_graph.json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 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Neo4j graph export for rebuilding the graph from scratch</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regulatory_thresholds.json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 KB</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96 curated thresholds across 92 parameters from Chapter 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KB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concept definitions mapping to Ch24Class nodes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apas_metric_mappings.json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KB</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active APAS-to-RegOS metric mappings + 14 inactive effluent templates</w:t>
            </w:r>
          </w:p>
        </w:tc>
      </w:tr>
    </w:tbl>
    <w:p>
      <w:r>
        <w:br w:type="page"/>
      </w:r>
    </w:p>
    <w:p>
      <w:pPr>
        <w:pStyle w:val="Heading1"/>
        <w:spacing w:after="200" w:before="360"/>
      </w:pPr>
      <w:r>
        <w:rPr>
          <w:rFonts w:ascii="Arial" w:cs="Arial" w:eastAsia="Arial" w:hAnsi="Arial"/>
          <w:b/>
          <w:bCs/>
          <w:color w:val="1B3A5C"/>
          <w:sz w:val="32"/>
          <w:szCs w:val="32"/>
        </w:rPr>
        <w:t xml:space="preserve">3. Open WebUI Functions (Core Pipeline)</w:t>
      </w:r>
    </w:p>
    <w:p>
      <w:pPr>
        <w:spacing w:after="160"/>
      </w:pPr>
      <w:r>
        <w:rPr>
          <w:rFonts w:ascii="Arial" w:cs="Arial" w:eastAsia="Arial" w:hAnsi="Arial"/>
          <w:sz w:val="22"/>
          <w:szCs w:val="22"/>
        </w:rPr>
        <w:t xml:space="preserve">Open WebUI has a Functions system where Python classes can be registered as Filters (intercept every message), Pipes (act as models), or Tools (callable by the LLM). All RegOS functions are written in Python and run inside the same FastAPI process. They are configured and toggled from the Open WebUI admin panel under Functions.</w:t>
      </w:r>
    </w:p>
    <w:p>
      <w:pPr>
        <w:pStyle w:val="Heading2"/>
        <w:spacing w:after="160" w:before="280"/>
      </w:pPr>
      <w:r>
        <w:rPr>
          <w:rFonts w:ascii="Arial" w:cs="Arial" w:eastAsia="Arial" w:hAnsi="Arial"/>
          <w:b/>
          <w:bCs/>
          <w:color w:val="2E5984"/>
          <w:sz w:val="26"/>
          <w:szCs w:val="26"/>
        </w:rPr>
        <w:t xml:space="preserve">3.1 GraphRAG Filter (2,162 lines)</w:t>
      </w:r>
    </w:p>
    <w:p>
      <w:pPr>
        <w:spacing w:after="160"/>
      </w:pPr>
      <w:r>
        <w:rPr>
          <w:rFonts w:ascii="Arial" w:cs="Arial" w:eastAsia="Arial" w:hAnsi="Arial"/>
          <w:sz w:val="22"/>
          <w:szCs w:val="22"/>
        </w:rPr>
        <w:t xml:space="preserve">This is the heart of RegOS. Registered as a global filter with priority 0, it runs on every single chat message regardless of which model is selected. It has two phases: Inlet (before the LLM) and Outlet (after the LLM).</w:t>
      </w:r>
    </w:p>
    <w:p>
      <w:pPr>
        <w:pStyle w:val="Heading3"/>
        <w:spacing w:after="120" w:before="200"/>
      </w:pPr>
      <w:r>
        <w:rPr>
          <w:rFonts w:ascii="Arial" w:cs="Arial" w:eastAsia="Arial" w:hAnsi="Arial"/>
          <w:b/>
          <w:bCs/>
          <w:color w:val="3D7AB5"/>
          <w:sz w:val="22"/>
          <w:szCs w:val="22"/>
        </w:rPr>
        <w:t xml:space="preserve">Inlet Phase (Pre-LLM Processing)</w:t>
      </w:r>
    </w:p>
    <w:p>
      <w:pPr>
        <w:spacing w:after="160"/>
      </w:pPr>
      <w:r>
        <w:rPr>
          <w:rFonts w:ascii="Arial" w:cs="Arial" w:eastAsia="Arial" w:hAnsi="Arial"/>
          <w:b/>
          <w:bCs/>
          <w:sz w:val="22"/>
          <w:szCs w:val="22"/>
        </w:rPr>
        <w:t xml:space="preserve">Step 1 — Guardrail Checks: </w:t>
      </w:r>
      <w:r>
        <w:rPr>
          <w:rFonts w:ascii="Arial" w:cs="Arial" w:eastAsia="Arial" w:hAnsi="Arial"/>
          <w:sz w:val="22"/>
          <w:szCs w:val="22"/>
        </w:rPr>
        <w:t xml:space="preserve">Before touching Neo4j, the filter checks for out-of-scope keywords (building code, OSHA, zoning, immigration, etc.) and jurisdiction mismatches (mentions of foreign countries or US states outside Florida). If triggered, it short-circuits and returns a professional refusal with a reference ID (format: GRD-YYYYMMDD-XXXX).</w:t>
      </w:r>
    </w:p>
    <w:p>
      <w:pPr>
        <w:spacing w:after="160"/>
      </w:pPr>
      <w:r>
        <w:rPr>
          <w:rFonts w:ascii="Arial" w:cs="Arial" w:eastAsia="Arial" w:hAnsi="Arial"/>
          <w:b/>
          <w:bCs/>
          <w:sz w:val="22"/>
          <w:szCs w:val="22"/>
        </w:rPr>
        <w:t xml:space="preserve">Step 2 — Threshold Detection: </w:t>
      </w:r>
      <w:r>
        <w:rPr>
          <w:rFonts w:ascii="Arial" w:cs="Arial" w:eastAsia="Arial" w:hAnsi="Arial"/>
          <w:sz w:val="22"/>
          <w:szCs w:val="22"/>
        </w:rPr>
        <w:t xml:space="preserve">Scans the user’s message and conversation history for numeric measurements with regulatory parameters (e.g., "my BOD is 45 mg/L"). If found, evaluates them programmatically against the curated thresholds table (96 thresholds, 92 parameters). Each evaluation produces a determination: COMPLIANT, BORDERLINE, BREACH, or NEEDS_CLARIFICATION. Every determination gets a SHA-256 evidence hash computed from the canonical JSON of the evaluation for tamper-proof auditing.</w:t>
      </w:r>
    </w:p>
    <w:p>
      <w:pPr>
        <w:spacing w:after="160"/>
      </w:pPr>
      <w:r>
        <w:rPr>
          <w:rFonts w:ascii="Arial" w:cs="Arial" w:eastAsia="Arial" w:hAnsi="Arial"/>
          <w:b/>
          <w:bCs/>
          <w:sz w:val="22"/>
          <w:szCs w:val="22"/>
        </w:rPr>
        <w:t xml:space="preserve">Step 3 — 4-Step Graph Retrieval: </w:t>
      </w:r>
      <w:r>
        <w:rPr>
          <w:rFonts w:ascii="Arial" w:cs="Arial" w:eastAsia="Arial" w:hAnsi="Arial"/>
          <w:sz w:val="22"/>
          <w:szCs w:val="22"/>
        </w:rPr>
        <w:t xml:space="preserve">This is the core retrieval pipeline that differentiates RegOS from standard RAG.</w:t>
      </w:r>
    </w:p>
    <w:p>
      <w:pPr>
        <w:pStyle w:val="ListParagraph"/>
        <w:numPr>
          <w:ilvl w:val="1"/>
          <w:numId w:val="2"/>
        </w:numPr>
        <w:spacing w:after="80"/>
      </w:pPr>
      <w:r>
        <w:rPr>
          <w:rFonts w:ascii="Arial" w:cs="Arial" w:eastAsia="Arial" w:hAnsi="Arial"/>
          <w:b/>
          <w:bCs/>
          <w:sz w:val="22"/>
          <w:szCs w:val="22"/>
        </w:rPr>
        <w:t xml:space="preserve">Step 3a: Fulltext search</w:t>
      </w:r>
      <w:r>
        <w:rPr>
          <w:rFonts w:ascii="Arial" w:cs="Arial" w:eastAsia="Arial" w:hAnsi="Arial"/>
          <w:sz w:val="22"/>
          <w:szCs w:val="22"/>
        </w:rPr>
        <w:t xml:space="preserve"> on Ch24Document nodes (title + content match against user query).</w:t>
      </w:r>
    </w:p>
    <w:p>
      <w:pPr>
        <w:pStyle w:val="ListParagraph"/>
        <w:numPr>
          <w:ilvl w:val="1"/>
          <w:numId w:val="2"/>
        </w:numPr>
        <w:spacing w:after="80"/>
      </w:pPr>
      <w:r>
        <w:rPr>
          <w:rFonts w:ascii="Arial" w:cs="Arial" w:eastAsia="Arial" w:hAnsi="Arial"/>
          <w:b/>
          <w:bCs/>
          <w:sz w:val="22"/>
          <w:szCs w:val="22"/>
        </w:rPr>
        <w:t xml:space="preserve">Step 3b: Entity name matching</w:t>
      </w:r>
      <w:r>
        <w:rPr>
          <w:rFonts w:ascii="Arial" w:cs="Arial" w:eastAsia="Arial" w:hAnsi="Arial"/>
          <w:sz w:val="22"/>
          <w:szCs w:val="22"/>
        </w:rPr>
        <w:t xml:space="preserve"> → traverse MENTIONS_ENTITY → find related documents.</w:t>
      </w:r>
    </w:p>
    <w:p>
      <w:pPr>
        <w:pStyle w:val="ListParagraph"/>
        <w:numPr>
          <w:ilvl w:val="1"/>
          <w:numId w:val="2"/>
        </w:numPr>
        <w:spacing w:after="80"/>
      </w:pPr>
      <w:r>
        <w:rPr>
          <w:rFonts w:ascii="Arial" w:cs="Arial" w:eastAsia="Arial" w:hAnsi="Arial"/>
          <w:b/>
          <w:bCs/>
          <w:sz w:val="22"/>
          <w:szCs w:val="22"/>
        </w:rPr>
        <w:t xml:space="preserve">Step 3c: Concept expansion</w:t>
      </w:r>
      <w:r>
        <w:rPr>
          <w:rFonts w:ascii="Arial" w:cs="Arial" w:eastAsia="Arial" w:hAnsi="Arial"/>
          <w:sz w:val="22"/>
          <w:szCs w:val="22"/>
        </w:rPr>
        <w:t xml:space="preserve"> via Ch24Class ontology. This is the "Graph" in GraphRAG — finds related sections that text search alone would miss.</w:t>
      </w:r>
    </w:p>
    <w:p>
      <w:pPr>
        <w:pStyle w:val="ListParagraph"/>
        <w:numPr>
          <w:ilvl w:val="1"/>
          <w:numId w:val="2"/>
        </w:numPr>
        <w:spacing w:after="80"/>
      </w:pPr>
      <w:r>
        <w:rPr>
          <w:rFonts w:ascii="Arial" w:cs="Arial" w:eastAsia="Arial" w:hAnsi="Arial"/>
          <w:b/>
          <w:bCs/>
          <w:sz w:val="22"/>
          <w:szCs w:val="22"/>
        </w:rPr>
        <w:t xml:space="preserve">Step 3d: Direct fulltext search</w:t>
      </w:r>
      <w:r>
        <w:rPr>
          <w:rFonts w:ascii="Arial" w:cs="Arial" w:eastAsia="Arial" w:hAnsi="Arial"/>
          <w:sz w:val="22"/>
          <w:szCs w:val="22"/>
        </w:rPr>
        <w:t xml:space="preserve"> (parallel path for broad coverage).</w:t>
      </w:r>
    </w:p>
    <w:p>
      <w:pPr>
        <w:pStyle w:val="ListParagraph"/>
        <w:numPr>
          <w:ilvl w:val="1"/>
          <w:numId w:val="2"/>
        </w:numPr>
        <w:spacing w:after="80"/>
      </w:pPr>
      <w:r>
        <w:rPr>
          <w:rFonts w:ascii="Arial" w:cs="Arial" w:eastAsia="Arial" w:hAnsi="Arial"/>
          <w:sz w:val="22"/>
          <w:szCs w:val="22"/>
        </w:rPr>
        <w:t xml:space="preserve">Results are deduplicated, truncated to 5 sections × 2,000 characters each, and formatted as numbered blocks [G1], [G2], etc.</w:t>
      </w:r>
    </w:p>
    <w:p>
      <w:pPr>
        <w:spacing w:after="160"/>
      </w:pPr>
      <w:r>
        <w:rPr>
          <w:rFonts w:ascii="Arial" w:cs="Arial" w:eastAsia="Arial" w:hAnsi="Arial"/>
          <w:b/>
          <w:bCs/>
          <w:sz w:val="22"/>
          <w:szCs w:val="22"/>
        </w:rPr>
        <w:t xml:space="preserve">Step 4 — Multi-Signal Confidence Scoring: </w:t>
      </w:r>
      <w:r>
        <w:rPr>
          <w:rFonts w:ascii="Arial" w:cs="Arial" w:eastAsia="Arial" w:hAnsi="Arial"/>
          <w:sz w:val="22"/>
          <w:szCs w:val="22"/>
        </w:rPr>
        <w:t xml:space="preserve">Based on adversarial multi-agent research across 50+ sources (RAGAS, TruLens, DeepEval, AWS hallucination detection, Stanford HAI, CMU, OpenAI), confidence scoring uses a 5-signal weighted composite architecture. No single signal is sufficient — effective systems combine 3–5 independent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 Confidence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vector similarity + graph traversal relevance. Measures how well retrieved regulatory sections match the user’s query semantically.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Faithfulness / Groundedness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0.35</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Most critical signal for regulatory domain. RAGAS faithfulness evaluator checks whether every claim in the AI response can be traced back to retrieved context. Threshold: flag any response below 0.85 for human review. TruLens Groundedness provides complementary verification.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prompt-based detection (highest precision, &gt;75% accuracy) or Vectara HHEM-2.1-Open (free T5-based classifier). For regulatory domains, precision matters most — false negatives (missed hallucinations) are more dangerous than false positives.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Token Confidence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0.08</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Token-level log probabilities from LLM (logprobs=True). Supplementary signal only — research shows LLMs are systematically miscalibrated, expressing high confidence even on incorrect answers. CMU: models answering &lt;5% correctly estimated 14.4/20 right.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Relevance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RAGAS Context Precision (are retrieved docs on-topic?) + Context Recall (do retrieved docs cover the necessary information?). Ensures retrieval quality independent of generation quality.</w:t>
            </w:r>
          </w:p>
        </w:tc>
      </w:tr>
    </w:tbl>
    <w:p>
      <w:pPr>
        <w:pStyle w:val="Heading3"/>
        <w:spacing w:after="120" w:before="200"/>
      </w:pPr>
      <w:r>
        <w:rPr>
          <w:rFonts w:ascii="Arial" w:cs="Arial" w:eastAsia="Arial" w:hAnsi="Arial"/>
          <w:b/>
          <w:bCs/>
          <w:color w:val="3D7AB5"/>
          <w:sz w:val="22"/>
          <w:szCs w:val="22"/>
        </w:rPr>
        <w:t xml:space="preserve">Composite Score Formula</w:t>
      </w:r>
    </w:p>
    <w:p>
      <w:pPr>
        <w:spacing w:after="160"/>
      </w:pPr>
      <w:r>
        <w:rPr>
          <w:rFonts w:ascii="Arial" w:cs="Arial" w:eastAsia="Arial" w:hAnsi="Arial"/>
          <w:b/>
          <w:bCs/>
          <w:sz w:val="22"/>
          <w:szCs w:val="22"/>
        </w:rPr>
        <w:t xml:space="preserve">Composite Confidence = </w:t>
      </w:r>
      <w:r>
        <w:rPr>
          <w:rFonts w:ascii="Arial" w:cs="Arial" w:eastAsia="Arial" w:hAnsi="Arial"/>
          <w:sz w:val="22"/>
          <w:szCs w:val="22"/>
        </w:rPr>
        <w:t xml:space="preserve">(0.30 × Retrieval Similarity) + (0.35 × Faithfulness) + (0.20 × Hallucination-Free Score) + (0.08 × Token Confidence) + (0.07 × Context Relevance)</w:t>
      </w:r>
    </w:p>
    <w:p>
      <w:pPr>
        <w:spacing w:after="160"/>
      </w:pPr>
      <w:r>
        <w:rPr>
          <w:rFonts w:ascii="Arial" w:cs="Arial" w:eastAsia="Arial" w:hAnsi="Arial"/>
          <w:sz w:val="22"/>
          <w:szCs w:val="22"/>
        </w:rPr>
        <w:t xml:space="preserve">Weights are calibrated against a labeled test set of Miami-Dade Chapter 24 regulatory questions with known correct answers. Adjustments are made based on which signals best predict actual correctness in the regulatory domain.</w:t>
      </w:r>
    </w:p>
    <w:p>
      <w:pPr>
        <w:pStyle w:val="Heading3"/>
        <w:spacing w:after="120" w:before="200"/>
      </w:pPr>
      <w:r>
        <w:rPr>
          <w:rFonts w:ascii="Arial" w:cs="Arial" w:eastAsia="Arial" w:hAnsi="Arial"/>
          <w:b/>
          <w:bCs/>
          <w:color w:val="3D7AB5"/>
          <w:sz w:val="22"/>
          <w:szCs w:val="22"/>
        </w:rPr>
        <w:t xml:space="preserve">Confidence Bands (Customer-Facing)</w:t>
      </w:r>
    </w:p>
    <w:p>
      <w:pPr>
        <w:spacing w:after="160"/>
      </w:pPr>
      <w:r>
        <w:rPr>
          <w:rFonts w:ascii="Arial" w:cs="Arial" w:eastAsia="Arial" w:hAnsi="Arial"/>
          <w:sz w:val="22"/>
          <w:szCs w:val="22"/>
        </w:rPr>
        <w:t xml:space="preserve">Research consensus favors qualitative bands over raw percentages. Each score is accompanied by a plain-language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indicator. Response presented directly with source citations. "This response is well-supported by specific code sections."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MODERATE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60–85%</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Yellow indicator. Response shown with caveats and professional consultation suggestion. "Some aspects may require verification against the official code."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60%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indicator. Generated response suppressed; only retrieved source text shown. Triggers escalation to n8n workflow. "Please consult the official Miami-Dade County Code directly or a licensed professional."</w:t>
            </w:r>
          </w:p>
        </w:tc>
      </w:tr>
    </w:tbl>
    <w:p>
      <w:pPr>
        <w:pStyle w:val="Heading3"/>
        <w:spacing w:after="120" w:before="200"/>
      </w:pPr>
      <w:r>
        <w:rPr>
          <w:rFonts w:ascii="Arial" w:cs="Arial" w:eastAsia="Arial" w:hAnsi="Arial"/>
          <w:b/>
          <w:bCs/>
          <w:color w:val="3D7AB5"/>
          <w:sz w:val="22"/>
          <w:szCs w:val="22"/>
        </w:rPr>
        <w:t xml:space="preserve">Evaluation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Reference-free metrics; production-ready; LangChain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Faithfulness scoring in production RAG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DeepEval</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G-Eval with CoT; DAG/QAG techniques; broad metric suite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Comprehensive evaluation with multiple metric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TruLens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Triad model (Context Relevance + Groundedness + Answer Relevance)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Groundedness verification; three-signal confidence model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Vectara HHEM</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 small T5 model; fast; no API costs; open-source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Cost-effective real-time hallucination screening</w:t>
            </w:r>
          </w:p>
        </w:tc>
      </w:tr>
    </w:tbl>
    <w:p>
      <w:pPr>
        <w:pStyle w:val="Heading3"/>
        <w:spacing w:after="120" w:before="200"/>
      </w:pPr>
      <w:r>
        <w:rPr>
          <w:rFonts w:ascii="Arial" w:cs="Arial" w:eastAsia="Arial" w:hAnsi="Arial"/>
          <w:b/>
          <w:bCs/>
          <w:color w:val="3D7AB5"/>
          <w:sz w:val="22"/>
          <w:szCs w:val="22"/>
        </w:rPr>
        <w:t xml:space="preserve">Risk Mitigations</w:t>
      </w:r>
    </w:p>
    <w:p>
      <w:pPr>
        <w:spacing w:after="160"/>
      </w:pPr>
      <w:r>
        <w:rPr>
          <w:rFonts w:ascii="Arial" w:cs="Arial" w:eastAsia="Arial" w:hAnsi="Arial"/>
          <w:b/>
          <w:bCs/>
          <w:sz w:val="22"/>
          <w:szCs w:val="22"/>
        </w:rPr>
        <w:t xml:space="preserve">The Confidence Paradox: </w:t>
      </w:r>
      <w:r>
        <w:rPr>
          <w:rFonts w:ascii="Arial" w:cs="Arial" w:eastAsia="Arial" w:hAnsi="Arial"/>
          <w:sz w:val="22"/>
          <w:szCs w:val="22"/>
        </w:rPr>
        <w:t xml:space="preserve">Standard LLM training rewards guessing over acknowledging uncertainty (OpenAI, 2025). Models scored on binary right/wrong treat "I don’t know" as zero, making confident bluffing the optimal strategy. Stanford research found 69–88% hallucination rates on specific legal questions, with LLMs "remarkably confident when evaluating their own reasoning, even when dead wrong." Self-verification has a &gt;90% self-confirmation rate regardless of correctness. This is why multi-signal external evaluation (not self-eval) is critical.</w:t>
      </w:r>
    </w:p>
    <w:p>
      <w:pPr>
        <w:spacing w:after="160"/>
      </w:pPr>
      <w:r>
        <w:rPr>
          <w:rFonts w:ascii="Arial" w:cs="Arial" w:eastAsia="Arial" w:hAnsi="Arial"/>
          <w:b/>
          <w:bCs/>
          <w:sz w:val="22"/>
          <w:szCs w:val="22"/>
        </w:rPr>
        <w:t xml:space="preserve">Layered Safety: </w:t>
      </w:r>
      <w:r>
        <w:rPr>
          <w:rFonts w:ascii="Arial" w:cs="Arial" w:eastAsia="Arial" w:hAnsi="Arial"/>
          <w:sz w:val="22"/>
          <w:szCs w:val="22"/>
        </w:rPr>
        <w:t xml:space="preserve">The confidence system operates within a 4-tier safety architecture: (1) Retrieval-first design — default to showing actual regulation text, not generated interpretations; (2) Multi-signal confidence pipeline for generated summaries; (3) Human-in-the-loop for safety-critical provisions (aligned with EU AI Act Article 14); (4) Comprehensive audit logging, disclaimers, and professional liability coverage.</w:t>
      </w:r>
    </w:p>
    <w:p>
      <w:pPr>
        <w:spacing w:after="160"/>
      </w:pPr>
      <w:r>
        <w:rPr>
          <w:rFonts w:ascii="Arial" w:cs="Arial" w:eastAsia="Arial" w:hAnsi="Arial"/>
          <w:b/>
          <w:bCs/>
          <w:sz w:val="22"/>
          <w:szCs w:val="22"/>
        </w:rPr>
        <w:t xml:space="preserve">Step 5 — Context Injection: </w:t>
      </w:r>
      <w:r>
        <w:rPr>
          <w:rFonts w:ascii="Arial" w:cs="Arial" w:eastAsia="Arial" w:hAnsi="Arial"/>
          <w:sz w:val="22"/>
          <w:szCs w:val="22"/>
        </w:rPr>
        <w:t xml:space="preserve">The assembled graph context and threshold evaluation blocks are injected into the user’s message (not as a system message, because Open WebUI’s Knowledge Base RAG runs after filters and can overwrite system messages).</w:t>
      </w:r>
    </w:p>
    <w:p>
      <w:pPr>
        <w:pStyle w:val="Heading3"/>
        <w:spacing w:after="120" w:before="200"/>
      </w:pPr>
      <w:r>
        <w:rPr>
          <w:rFonts w:ascii="Arial" w:cs="Arial" w:eastAsia="Arial" w:hAnsi="Arial"/>
          <w:b/>
          <w:bCs/>
          <w:color w:val="3D7AB5"/>
          <w:sz w:val="22"/>
          <w:szCs w:val="22"/>
        </w:rPr>
        <w:t xml:space="preserve">Outlet Phase (Post-LLM Processing)</w:t>
      </w:r>
    </w:p>
    <w:p>
      <w:pPr>
        <w:pStyle w:val="ListParagraph"/>
        <w:numPr>
          <w:ilvl w:val="0"/>
          <w:numId w:val="2"/>
        </w:numPr>
        <w:spacing w:after="80"/>
      </w:pPr>
      <w:r>
        <w:rPr>
          <w:rFonts w:ascii="Arial" w:cs="Arial" w:eastAsia="Arial" w:hAnsi="Arial"/>
          <w:sz w:val="22"/>
          <w:szCs w:val="22"/>
        </w:rPr>
        <w:t xml:space="preserve">Injects GraphRAG citations into the Sources panel (appears alongside KB sources).</w:t>
      </w:r>
    </w:p>
    <w:p>
      <w:pPr>
        <w:pStyle w:val="ListParagraph"/>
        <w:numPr>
          <w:ilvl w:val="0"/>
          <w:numId w:val="2"/>
        </w:numPr>
        <w:spacing w:after="80"/>
      </w:pPr>
      <w:r>
        <w:rPr>
          <w:rFonts w:ascii="Arial" w:cs="Arial" w:eastAsia="Arial" w:hAnsi="Arial"/>
          <w:sz w:val="22"/>
          <w:szCs w:val="22"/>
        </w:rPr>
        <w:t xml:space="preserve">Appends compliance determination table if thresholds were evaluated (parameter, measured value, limit, status, margin, evidence hash).</w:t>
      </w:r>
    </w:p>
    <w:p>
      <w:pPr>
        <w:pStyle w:val="ListParagraph"/>
        <w:numPr>
          <w:ilvl w:val="0"/>
          <w:numId w:val="2"/>
        </w:numPr>
        <w:spacing w:after="80"/>
      </w:pPr>
      <w:r>
        <w:rPr>
          <w:rFonts w:ascii="Arial" w:cs="Arial" w:eastAsia="Arial" w:hAnsi="Arial"/>
          <w:sz w:val="22"/>
          <w:szCs w:val="22"/>
        </w:rPr>
        <w:t xml:space="preserve">If a guardrail was triggered: appends the guardrail refusal notice.</w:t>
      </w:r>
    </w:p>
    <w:p>
      <w:pPr>
        <w:pStyle w:val="ListParagraph"/>
        <w:numPr>
          <w:ilvl w:val="0"/>
          <w:numId w:val="2"/>
        </w:numPr>
        <w:spacing w:after="80"/>
      </w:pPr>
      <w:r>
        <w:rPr>
          <w:rFonts w:ascii="Arial" w:cs="Arial" w:eastAsia="Arial" w:hAnsi="Arial"/>
          <w:sz w:val="22"/>
          <w:szCs w:val="22"/>
        </w:rPr>
        <w:t xml:space="preserve">If confidence &lt; 0.60 (LOW band) or zero sections retrieved: triggers escalation — builds a full case packet and POSTs it to the n8n webhook. Suppresses generated response, shows only retrieved source text, and appends an "Expert Review Initiated" notice with a case reference (REG-YYYYMMDD-XXXX).</w:t>
      </w:r>
    </w:p>
    <w:p>
      <w:pPr>
        <w:pStyle w:val="ListParagraph"/>
        <w:numPr>
          <w:ilvl w:val="0"/>
          <w:numId w:val="2"/>
        </w:numPr>
        <w:spacing w:after="80"/>
      </w:pPr>
      <w:r>
        <w:rPr>
          <w:rFonts w:ascii="Arial" w:cs="Arial" w:eastAsia="Arial" w:hAnsi="Arial"/>
          <w:sz w:val="22"/>
          <w:szCs w:val="22"/>
        </w:rPr>
        <w:t xml:space="preserve">Otherwise: appends a conditional disclaimer (3-state: HIGH shows sources directly, MODERATE adds caveats and professional consultation suggestion, LOW suppresses and redirects).</w:t>
      </w:r>
    </w:p>
    <w:p>
      <w:pPr>
        <w:pStyle w:val="ListParagraph"/>
        <w:numPr>
          <w:ilvl w:val="0"/>
          <w:numId w:val="2"/>
        </w:numPr>
        <w:spacing w:after="80"/>
      </w:pPr>
      <w:r>
        <w:rPr>
          <w:rFonts w:ascii="Arial" w:cs="Arial" w:eastAsia="Arial" w:hAnsi="Arial"/>
          <w:sz w:val="22"/>
          <w:szCs w:val="22"/>
        </w:rPr>
        <w:t xml:space="preserve">Optionally appends a full retrieval trace (if show_trace=True) showing the complete pipeline breakdown.</w:t>
      </w:r>
    </w:p>
    <w:p>
      <w:pPr>
        <w:pStyle w:val="Heading3"/>
        <w:spacing w:after="120" w:before="200"/>
      </w:pPr>
      <w:r>
        <w:rPr>
          <w:rFonts w:ascii="Arial" w:cs="Arial" w:eastAsia="Arial" w:hAnsi="Arial"/>
          <w:b/>
          <w:bCs/>
          <w:color w:val="3D7AB5"/>
          <w:sz w:val="22"/>
          <w:szCs w:val="22"/>
        </w:rPr>
        <w:t xml:space="preserve">Configuration (35 Valves)</w:t>
      </w:r>
    </w:p>
    <w:p>
      <w:pPr>
        <w:spacing w:after="160"/>
      </w:pPr>
      <w:r>
        <w:rPr>
          <w:rFonts w:ascii="Arial" w:cs="Arial" w:eastAsia="Arial" w:hAnsi="Arial"/>
          <w:sz w:val="22"/>
          <w:szCs w:val="22"/>
        </w:rPr>
        <w:t xml:space="preserve">Every aspect of the filter is configurable via the Open WebUI admin UI: Neo4j connection credentials, max sections, confidence thresholds, escalation webhook URL, guardrail keywords, jurisdiction allowlist/blocklist, threshold evaluation toggle, debug mode, trace mode, enterprise formatting, and more.</w:t>
      </w:r>
    </w:p>
    <w:p>
      <w:pPr>
        <w:pStyle w:val="Heading2"/>
        <w:spacing w:after="160" w:before="280"/>
      </w:pPr>
      <w:r>
        <w:rPr>
          <w:rFonts w:ascii="Arial" w:cs="Arial" w:eastAsia="Arial" w:hAnsi="Arial"/>
          <w:b/>
          <w:bCs/>
          <w:color w:val="2E5984"/>
          <w:sz w:val="26"/>
          <w:szCs w:val="26"/>
        </w:rPr>
        <w:t xml:space="preserve">3.2 Audit Logger (332 lines)</w:t>
      </w:r>
    </w:p>
    <w:p>
      <w:pPr>
        <w:spacing w:after="160"/>
      </w:pPr>
      <w:r>
        <w:rPr>
          <w:rFonts w:ascii="Arial" w:cs="Arial" w:eastAsia="Arial" w:hAnsi="Arial"/>
          <w:sz w:val="22"/>
          <w:szCs w:val="22"/>
        </w:rPr>
        <w:t xml:space="preserve">A separate global filter that captures structured audit records for every query-response pair. On inlet, it logs the user’s query to SQLite (audit.db). On outlet, it updates the record with the response, confidence data, escalation status, and guardrail triggers. Each record gets a SHA-256 hash for integrity verification.</w:t>
      </w:r>
    </w:p>
    <w:p>
      <w:pPr>
        <w:spacing w:after="160"/>
      </w:pPr>
      <w:r>
        <w:rPr>
          <w:rFonts w:ascii="Arial" w:cs="Arial" w:eastAsia="Arial" w:hAnsi="Arial"/>
          <w:sz w:val="22"/>
          <w:szCs w:val="22"/>
        </w:rPr>
        <w:t xml:space="preserve">The audit table has 20+ columns covering: user identity, conversation context, query text, response text, confidence score + signals, escalation flag + target + case ref, guardrail type + reason, and the record hash. Indexes on timestamp, user_id, and chat_id for fast lookups.</w:t>
      </w:r>
    </w:p>
    <w:p>
      <w:pPr>
        <w:pStyle w:val="Heading2"/>
        <w:spacing w:after="160" w:before="280"/>
      </w:pPr>
      <w:r>
        <w:rPr>
          <w:rFonts w:ascii="Arial" w:cs="Arial" w:eastAsia="Arial" w:hAnsi="Arial"/>
          <w:b/>
          <w:bCs/>
          <w:color w:val="2E5984"/>
          <w:sz w:val="26"/>
          <w:szCs w:val="26"/>
        </w:rPr>
        <w:t xml:space="preserve">3.3 Threshold Evaluation Tool (520 lines)</w:t>
      </w:r>
    </w:p>
    <w:p>
      <w:pPr>
        <w:spacing w:after="160"/>
      </w:pPr>
      <w:r>
        <w:rPr>
          <w:rFonts w:ascii="Arial" w:cs="Arial" w:eastAsia="Arial" w:hAnsi="Arial"/>
          <w:sz w:val="22"/>
          <w:szCs w:val="22"/>
        </w:rPr>
        <w:t xml:space="preserve">Exposed as an Open WebUI Tool (callable by the LLM) and also used internally by the GraphRAG filter. Contains:</w:t>
      </w:r>
    </w:p>
    <w:p>
      <w:pPr>
        <w:pStyle w:val="ListParagraph"/>
        <w:numPr>
          <w:ilvl w:val="0"/>
          <w:numId w:val="2"/>
        </w:numPr>
        <w:spacing w:after="80"/>
      </w:pPr>
      <w:r>
        <w:rPr>
          <w:rFonts w:ascii="Arial" w:cs="Arial" w:eastAsia="Arial" w:hAnsi="Arial"/>
          <w:b/>
          <w:bCs/>
          <w:sz w:val="22"/>
          <w:szCs w:val="22"/>
        </w:rPr>
        <w:t xml:space="preserve">ThresholdRegistry:</w:t>
      </w:r>
      <w:r>
        <w:rPr>
          <w:rFonts w:ascii="Arial" w:cs="Arial" w:eastAsia="Arial" w:hAnsi="Arial"/>
          <w:sz w:val="22"/>
          <w:szCs w:val="22"/>
        </w:rPr>
        <w:t xml:space="preserve"> Loads the 96-entry regulatory_thresholds.json into memory, builds indexes by parameter, section, and type.</w:t>
      </w:r>
    </w:p>
    <w:p>
      <w:pPr>
        <w:pStyle w:val="ListParagraph"/>
        <w:numPr>
          <w:ilvl w:val="0"/>
          <w:numId w:val="2"/>
        </w:numPr>
        <w:spacing w:after="80"/>
      </w:pPr>
      <w:r>
        <w:rPr>
          <w:rFonts w:ascii="Arial" w:cs="Arial" w:eastAsia="Arial" w:hAnsi="Arial"/>
          <w:b/>
          <w:bCs/>
          <w:sz w:val="22"/>
          <w:szCs w:val="22"/>
        </w:rPr>
        <w:t xml:space="preserve">ThresholdEntry:</w:t>
      </w:r>
      <w:r>
        <w:rPr>
          <w:rFonts w:ascii="Arial" w:cs="Arial" w:eastAsia="Arial" w:hAnsi="Arial"/>
          <w:sz w:val="22"/>
          <w:szCs w:val="22"/>
        </w:rPr>
        <w:t xml:space="preserve"> Evaluates a value against a threshold (handles max, min, exact, within directions; computes margin and % of limit).</w:t>
      </w:r>
    </w:p>
    <w:p>
      <w:pPr>
        <w:pStyle w:val="ListParagraph"/>
        <w:numPr>
          <w:ilvl w:val="0"/>
          <w:numId w:val="2"/>
        </w:numPr>
        <w:spacing w:after="80"/>
      </w:pPr>
      <w:r>
        <w:rPr>
          <w:rFonts w:ascii="Arial" w:cs="Arial" w:eastAsia="Arial" w:hAnsi="Arial"/>
          <w:b/>
          <w:bCs/>
          <w:sz w:val="22"/>
          <w:szCs w:val="22"/>
        </w:rPr>
        <w:t xml:space="preserve">BreachDB:</w:t>
      </w:r>
      <w:r>
        <w:rPr>
          <w:rFonts w:ascii="Arial" w:cs="Arial" w:eastAsia="Arial" w:hAnsi="Arial"/>
          <w:sz w:val="22"/>
          <w:szCs w:val="22"/>
        </w:rPr>
        <w:t xml:space="preserve"> SQLite logger for all threshold evaluations (regos_breaches.db).</w:t>
      </w:r>
    </w:p>
    <w:p>
      <w:pPr>
        <w:pStyle w:val="ListParagraph"/>
        <w:numPr>
          <w:ilvl w:val="0"/>
          <w:numId w:val="2"/>
        </w:numPr>
        <w:spacing w:after="80"/>
      </w:pPr>
      <w:r>
        <w:rPr>
          <w:rFonts w:ascii="Arial" w:cs="Arial" w:eastAsia="Arial" w:hAnsi="Arial"/>
          <w:b/>
          <w:bCs/>
          <w:sz w:val="22"/>
          <w:szCs w:val="22"/>
        </w:rPr>
        <w:t xml:space="preserve">ThresholdEvaluationService:</w:t>
      </w:r>
      <w:r>
        <w:rPr>
          <w:rFonts w:ascii="Arial" w:cs="Arial" w:eastAsia="Arial" w:hAnsi="Arial"/>
          <w:sz w:val="22"/>
          <w:szCs w:val="22"/>
        </w:rPr>
        <w:t xml:space="preserve"> Orchestrates: find matching thresholds → check unit compatibility → evaluate → compute evidence hash → log to DB.</w:t>
      </w:r>
    </w:p>
    <w:p>
      <w:pPr>
        <w:pStyle w:val="ListParagraph"/>
        <w:numPr>
          <w:ilvl w:val="0"/>
          <w:numId w:val="2"/>
        </w:numPr>
        <w:spacing w:after="80"/>
      </w:pPr>
      <w:r>
        <w:rPr>
          <w:rFonts w:ascii="Arial" w:cs="Arial" w:eastAsia="Arial" w:hAnsi="Arial"/>
          <w:b/>
          <w:bCs/>
          <w:sz w:val="22"/>
          <w:szCs w:val="22"/>
        </w:rPr>
        <w:t xml:space="preserve">Tools class:</w:t>
      </w:r>
      <w:r>
        <w:rPr>
          <w:rFonts w:ascii="Arial" w:cs="Arial" w:eastAsia="Arial" w:hAnsi="Arial"/>
          <w:sz w:val="22"/>
          <w:szCs w:val="22"/>
        </w:rPr>
        <w:t xml:space="preserve"> LLM-callable functions: check_threshold(), list_thresholds(), get_breach_summary().</w:t>
      </w:r>
    </w:p>
    <w:p>
      <w:pPr>
        <w:pStyle w:val="Heading2"/>
        <w:spacing w:after="160" w:before="280"/>
      </w:pPr>
      <w:r>
        <w:rPr>
          <w:rFonts w:ascii="Arial" w:cs="Arial" w:eastAsia="Arial" w:hAnsi="Arial"/>
          <w:b/>
          <w:bCs/>
          <w:color w:val="2E5984"/>
          <w:sz w:val="26"/>
          <w:szCs w:val="26"/>
        </w:rPr>
        <w:t xml:space="preserve">3.4 GraphRAG Pipe (477 lines)</w:t>
      </w:r>
    </w:p>
    <w:p>
      <w:pPr>
        <w:spacing w:after="160"/>
      </w:pPr>
      <w:r>
        <w:rPr>
          <w:rFonts w:ascii="Arial" w:cs="Arial" w:eastAsia="Arial" w:hAnsi="Arial"/>
          <w:sz w:val="22"/>
          <w:szCs w:val="22"/>
        </w:rPr>
        <w:t xml:space="preserve">An alternative to the filter. This is a Pipe that appears as a selectable model called graphrag-chapter24. Instead of intercepting messages, it replaces the model entirely: queries Neo4j, builds context, calls a backend model (configurable), and streams the response. This is the older approach — the filter is the primary one used in production.</w:t>
      </w:r>
    </w:p>
    <w:p>
      <w:r>
        <w:br w:type="page"/>
      </w:r>
    </w:p>
    <w:p>
      <w:pPr>
        <w:pStyle w:val="Heading1"/>
        <w:spacing w:after="200" w:before="360"/>
      </w:pPr>
      <w:r>
        <w:rPr>
          <w:rFonts w:ascii="Arial" w:cs="Arial" w:eastAsia="Arial" w:hAnsi="Arial"/>
          <w:b/>
          <w:bCs/>
          <w:color w:val="1B3A5C"/>
          <w:sz w:val="32"/>
          <w:szCs w:val="32"/>
        </w:rPr>
        <w:t xml:space="preserve">4. Sidecar APIs</w:t>
      </w:r>
    </w:p>
    <w:p>
      <w:pPr>
        <w:spacing w:after="160"/>
      </w:pPr>
      <w:r>
        <w:rPr>
          <w:rFonts w:ascii="Arial" w:cs="Arial" w:eastAsia="Arial" w:hAnsi="Arial"/>
          <w:sz w:val="22"/>
          <w:szCs w:val="22"/>
        </w:rPr>
        <w:t xml:space="preserve">Three FastAPI microservices run alongside Open WebUI, either as separate processes or in their own containers:</w:t>
      </w:r>
    </w:p>
    <w:p>
      <w:pPr>
        <w:pStyle w:val="Heading2"/>
        <w:spacing w:after="160" w:before="280"/>
      </w:pPr>
      <w:r>
        <w:rPr>
          <w:rFonts w:ascii="Arial" w:cs="Arial" w:eastAsia="Arial" w:hAnsi="Arial"/>
          <w:b/>
          <w:bCs/>
          <w:color w:val="2E5984"/>
          <w:sz w:val="26"/>
          <w:szCs w:val="26"/>
        </w:rPr>
        <w:t xml:space="preserve">4.1 RegOS Query API (Port 8300)</w:t>
      </w:r>
    </w:p>
    <w:p>
      <w:pPr>
        <w:spacing w:after="160"/>
      </w:pPr>
      <w:r>
        <w:rPr>
          <w:rFonts w:ascii="Arial" w:cs="Arial" w:eastAsia="Arial" w:hAnsi="Arial"/>
          <w:sz w:val="22"/>
          <w:szCs w:val="22"/>
        </w:rPr>
        <w:t xml:space="preserve">External-facing query endpoint that allows other platforms (like Shreya’s NIDS dashboard) to call RegOS without going through the Open WebUI chat interface.</w:t>
      </w:r>
    </w:p>
    <w:p>
      <w:pPr>
        <w:pStyle w:val="ListParagraph"/>
        <w:numPr>
          <w:ilvl w:val="0"/>
          <w:numId w:val="2"/>
        </w:numPr>
        <w:spacing w:after="80"/>
      </w:pPr>
      <w:r>
        <w:rPr>
          <w:rFonts w:ascii="Arial" w:cs="Arial" w:eastAsia="Arial" w:hAnsi="Arial"/>
          <w:b/>
          <w:bCs/>
          <w:sz w:val="22"/>
          <w:szCs w:val="22"/>
        </w:rPr>
        <w:t xml:space="preserve">Endpoint:</w:t>
      </w:r>
      <w:r>
        <w:rPr>
          <w:rFonts w:ascii="Arial" w:cs="Arial" w:eastAsia="Arial" w:hAnsi="Arial"/>
          <w:sz w:val="22"/>
          <w:szCs w:val="22"/>
        </w:rPr>
        <w:t xml:space="preserve"> POST /api/regos/query</w:t>
      </w:r>
    </w:p>
    <w:p>
      <w:pPr>
        <w:pStyle w:val="ListParagraph"/>
        <w:numPr>
          <w:ilvl w:val="0"/>
          <w:numId w:val="2"/>
        </w:numPr>
        <w:spacing w:after="80"/>
      </w:pPr>
      <w:r>
        <w:rPr>
          <w:rFonts w:ascii="Arial" w:cs="Arial" w:eastAsia="Arial" w:hAnsi="Arial"/>
          <w:b/>
          <w:bCs/>
          <w:sz w:val="22"/>
          <w:szCs w:val="22"/>
        </w:rPr>
        <w:t xml:space="preserve">Request:</w:t>
      </w:r>
      <w:r>
        <w:rPr>
          <w:rFonts w:ascii="Arial" w:cs="Arial" w:eastAsia="Arial" w:hAnsi="Arial"/>
          <w:sz w:val="22"/>
          <w:szCs w:val="22"/>
        </w:rPr>
        <w:t xml:space="preserve"> {question, stream, show_reasoning, context, show_trace, conversation_id}</w:t>
      </w:r>
    </w:p>
    <w:p>
      <w:pPr>
        <w:pStyle w:val="ListParagraph"/>
        <w:numPr>
          <w:ilvl w:val="0"/>
          <w:numId w:val="2"/>
        </w:numPr>
        <w:spacing w:after="80"/>
      </w:pPr>
      <w:r>
        <w:rPr>
          <w:rFonts w:ascii="Arial" w:cs="Arial" w:eastAsia="Arial" w:hAnsi="Arial"/>
          <w:b/>
          <w:bCs/>
          <w:sz w:val="22"/>
          <w:szCs w:val="22"/>
        </w:rPr>
        <w:t xml:space="preserve">Response:</w:t>
      </w:r>
      <w:r>
        <w:rPr>
          <w:rFonts w:ascii="Arial" w:cs="Arial" w:eastAsia="Arial" w:hAnsi="Arial"/>
          <w:sz w:val="22"/>
          <w:szCs w:val="22"/>
        </w:rPr>
        <w:t xml:space="preserve"> {content, reasoning, model, confidence, usage}</w:t>
      </w:r>
    </w:p>
    <w:p>
      <w:pPr>
        <w:pStyle w:val="ListParagraph"/>
        <w:numPr>
          <w:ilvl w:val="0"/>
          <w:numId w:val="2"/>
        </w:numPr>
        <w:spacing w:after="80"/>
      </w:pPr>
      <w:r>
        <w:rPr>
          <w:rFonts w:ascii="Arial" w:cs="Arial" w:eastAsia="Arial" w:hAnsi="Arial"/>
          <w:sz w:val="22"/>
          <w:szCs w:val="22"/>
        </w:rPr>
        <w:t xml:space="preserve">Chains into the Open WebUI API internally (proxies through the same GraphRAG pipeline).</w:t>
      </w:r>
    </w:p>
    <w:p>
      <w:pPr>
        <w:pStyle w:val="ListParagraph"/>
        <w:numPr>
          <w:ilvl w:val="0"/>
          <w:numId w:val="2"/>
        </w:numPr>
        <w:spacing w:after="80"/>
      </w:pPr>
      <w:r>
        <w:rPr>
          <w:rFonts w:ascii="Arial" w:cs="Arial" w:eastAsia="Arial" w:hAnsi="Arial"/>
          <w:sz w:val="22"/>
          <w:szCs w:val="22"/>
        </w:rPr>
        <w:t xml:space="preserve">Supports SSE streaming with stream: true.</w:t>
      </w:r>
    </w:p>
    <w:p>
      <w:pPr>
        <w:pStyle w:val="ListParagraph"/>
        <w:numPr>
          <w:ilvl w:val="0"/>
          <w:numId w:val="2"/>
        </w:numPr>
        <w:spacing w:after="80"/>
      </w:pPr>
      <w:r>
        <w:rPr>
          <w:rFonts w:ascii="Arial" w:cs="Arial" w:eastAsia="Arial" w:hAnsi="Arial"/>
          <w:sz w:val="22"/>
          <w:szCs w:val="22"/>
        </w:rPr>
        <w:t xml:space="preserve">CORS enabled for external consumers.</w:t>
      </w:r>
    </w:p>
    <w:p>
      <w:pPr>
        <w:pStyle w:val="Heading2"/>
        <w:spacing w:after="160" w:before="280"/>
      </w:pPr>
      <w:r>
        <w:rPr>
          <w:rFonts w:ascii="Arial" w:cs="Arial" w:eastAsia="Arial" w:hAnsi="Arial"/>
          <w:b/>
          <w:bCs/>
          <w:color w:val="2E5984"/>
          <w:sz w:val="26"/>
          <w:szCs w:val="26"/>
        </w:rPr>
        <w:t xml:space="preserve">4.2 SCADA Streaming API</w:t>
      </w:r>
    </w:p>
    <w:p>
      <w:pPr>
        <w:spacing w:after="160"/>
      </w:pPr>
      <w:r>
        <w:rPr>
          <w:rFonts w:ascii="Arial" w:cs="Arial" w:eastAsia="Arial" w:hAnsi="Arial"/>
          <w:sz w:val="22"/>
          <w:szCs w:val="22"/>
        </w:rPr>
        <w:t xml:space="preserve">Real-time sensor data ingestion with three delivery mechanisms:</w:t>
      </w:r>
    </w:p>
    <w:p>
      <w:pPr>
        <w:pStyle w:val="ListParagraph"/>
        <w:numPr>
          <w:ilvl w:val="0"/>
          <w:numId w:val="2"/>
        </w:numPr>
        <w:spacing w:after="80"/>
      </w:pPr>
      <w:r>
        <w:rPr>
          <w:rFonts w:ascii="Arial" w:cs="Arial" w:eastAsia="Arial" w:hAnsi="Arial"/>
          <w:b/>
          <w:bCs/>
          <w:sz w:val="22"/>
          <w:szCs w:val="22"/>
        </w:rPr>
        <w:t xml:space="preserve">WebSocket (/ws/scada):</w:t>
      </w:r>
      <w:r>
        <w:rPr>
          <w:rFonts w:ascii="Arial" w:cs="Arial" w:eastAsia="Arial" w:hAnsi="Arial"/>
          <w:sz w:val="22"/>
          <w:szCs w:val="22"/>
        </w:rPr>
        <w:t xml:space="preserve"> Full-duplex, supports single readings and batches, rate-limited.</w:t>
      </w:r>
    </w:p>
    <w:p>
      <w:pPr>
        <w:pStyle w:val="ListParagraph"/>
        <w:numPr>
          <w:ilvl w:val="0"/>
          <w:numId w:val="2"/>
        </w:numPr>
        <w:spacing w:after="80"/>
      </w:pPr>
      <w:r>
        <w:rPr>
          <w:rFonts w:ascii="Arial" w:cs="Arial" w:eastAsia="Arial" w:hAnsi="Arial"/>
          <w:b/>
          <w:bCs/>
          <w:sz w:val="22"/>
          <w:szCs w:val="22"/>
        </w:rPr>
        <w:t xml:space="preserve">SSE (/stream/scada):</w:t>
      </w:r>
      <w:r>
        <w:rPr>
          <w:rFonts w:ascii="Arial" w:cs="Arial" w:eastAsia="Arial" w:hAnsi="Arial"/>
          <w:sz w:val="22"/>
          <w:szCs w:val="22"/>
        </w:rPr>
        <w:t xml:space="preserve"> Subscribe to compliance determinations in real-time, filterable by status/parameter.</w:t>
      </w:r>
    </w:p>
    <w:p>
      <w:pPr>
        <w:pStyle w:val="ListParagraph"/>
        <w:numPr>
          <w:ilvl w:val="0"/>
          <w:numId w:val="2"/>
        </w:numPr>
        <w:spacing w:after="80"/>
      </w:pPr>
      <w:r>
        <w:rPr>
          <w:rFonts w:ascii="Arial" w:cs="Arial" w:eastAsia="Arial" w:hAnsi="Arial"/>
          <w:b/>
          <w:bCs/>
          <w:sz w:val="22"/>
          <w:szCs w:val="22"/>
        </w:rPr>
        <w:t xml:space="preserve">REST (/ingest):</w:t>
      </w:r>
      <w:r>
        <w:rPr>
          <w:rFonts w:ascii="Arial" w:cs="Arial" w:eastAsia="Arial" w:hAnsi="Arial"/>
          <w:sz w:val="22"/>
          <w:szCs w:val="22"/>
        </w:rPr>
        <w:t xml:space="preserve"> Batch or single reading submission.</w:t>
      </w:r>
    </w:p>
    <w:p>
      <w:pPr>
        <w:spacing w:after="160"/>
      </w:pPr>
      <w:r>
        <w:rPr>
          <w:rFonts w:ascii="Arial" w:cs="Arial" w:eastAsia="Arial" w:hAnsi="Arial"/>
          <w:sz w:val="22"/>
          <w:szCs w:val="22"/>
        </w:rPr>
        <w:t xml:space="preserve">Each incoming reading is evaluated against Chapter 24 thresholds via ThresholdEvaluationService, producing COMPLIANT/BREACH/BORDERLINE determinations broadcast to all connected clients. Includes API key auth, health endpoints, and a 200-determination in-memory buffer.</w:t>
      </w:r>
    </w:p>
    <w:p>
      <w:pPr>
        <w:pStyle w:val="Heading2"/>
        <w:spacing w:after="160" w:before="280"/>
      </w:pPr>
      <w:r>
        <w:rPr>
          <w:rFonts w:ascii="Arial" w:cs="Arial" w:eastAsia="Arial" w:hAnsi="Arial"/>
          <w:b/>
          <w:bCs/>
          <w:color w:val="2E5984"/>
          <w:sz w:val="26"/>
          <w:szCs w:val="26"/>
        </w:rPr>
        <w:t xml:space="preserve">4.3 APAS Telemetry Bridge</w:t>
      </w:r>
    </w:p>
    <w:p>
      <w:pPr>
        <w:spacing w:after="160"/>
      </w:pPr>
      <w:r>
        <w:rPr>
          <w:rFonts w:ascii="Arial" w:cs="Arial" w:eastAsia="Arial" w:hAnsi="Arial"/>
          <w:sz w:val="22"/>
          <w:szCs w:val="22"/>
        </w:rPr>
        <w:t xml:space="preserve">Pull-based poller that connects RegOS to the APAS/123SCADA telemetry system:</w:t>
      </w:r>
    </w:p>
    <w:p>
      <w:pPr>
        <w:pStyle w:val="ListParagraph"/>
        <w:numPr>
          <w:ilvl w:val="0"/>
          <w:numId w:val="2"/>
        </w:numPr>
        <w:spacing w:after="80"/>
      </w:pPr>
      <w:r>
        <w:rPr>
          <w:rFonts w:ascii="Arial" w:cs="Arial" w:eastAsia="Arial" w:hAnsi="Arial"/>
          <w:sz w:val="22"/>
          <w:szCs w:val="22"/>
        </w:rPr>
        <w:t xml:space="preserve">Authenticates to APAS API via JWT (email/password login).</w:t>
      </w:r>
    </w:p>
    <w:p>
      <w:pPr>
        <w:pStyle w:val="ListParagraph"/>
        <w:numPr>
          <w:ilvl w:val="0"/>
          <w:numId w:val="2"/>
        </w:numPr>
        <w:spacing w:after="80"/>
      </w:pPr>
      <w:r>
        <w:rPr>
          <w:rFonts w:ascii="Arial" w:cs="Arial" w:eastAsia="Arial" w:hAnsi="Arial"/>
          <w:sz w:val="22"/>
          <w:szCs w:val="22"/>
        </w:rPr>
        <w:t xml:space="preserve">Polls /api/telemetry/query on a configurable interval (default 30 seconds).</w:t>
      </w:r>
    </w:p>
    <w:p>
      <w:pPr>
        <w:pStyle w:val="ListParagraph"/>
        <w:numPr>
          <w:ilvl w:val="0"/>
          <w:numId w:val="2"/>
        </w:numPr>
        <w:spacing w:after="80"/>
      </w:pPr>
      <w:r>
        <w:rPr>
          <w:rFonts w:ascii="Arial" w:cs="Arial" w:eastAsia="Arial" w:hAnsi="Arial"/>
          <w:sz w:val="22"/>
          <w:szCs w:val="22"/>
        </w:rPr>
        <w:t xml:space="preserve">Maps APAS metrics to Chapter 24 parameters via apas_metric_mappings.json (8 active mappings, 14 inactive effluent templates).</w:t>
      </w:r>
    </w:p>
    <w:p>
      <w:pPr>
        <w:pStyle w:val="ListParagraph"/>
        <w:numPr>
          <w:ilvl w:val="0"/>
          <w:numId w:val="2"/>
        </w:numPr>
        <w:spacing w:after="80"/>
      </w:pPr>
      <w:r>
        <w:rPr>
          <w:rFonts w:ascii="Arial" w:cs="Arial" w:eastAsia="Arial" w:hAnsi="Arial"/>
          <w:sz w:val="22"/>
          <w:szCs w:val="22"/>
        </w:rPr>
        <w:t xml:space="preserve">Only temperature is fully evaluated currently. Other sensors (wet well level, pump state, battery voltage) are monitored but not threshold-evaluated.</w:t>
      </w:r>
    </w:p>
    <w:p>
      <w:pPr>
        <w:pStyle w:val="ListParagraph"/>
        <w:numPr>
          <w:ilvl w:val="0"/>
          <w:numId w:val="2"/>
        </w:numPr>
        <w:spacing w:after="80"/>
      </w:pPr>
      <w:r>
        <w:rPr>
          <w:rFonts w:ascii="Arial" w:cs="Arial" w:eastAsia="Arial" w:hAnsi="Arial"/>
          <w:sz w:val="22"/>
          <w:szCs w:val="22"/>
        </w:rPr>
        <w:t xml:space="preserve">Applies unit conversions (e.g., °C → °F).</w:t>
      </w:r>
    </w:p>
    <w:p>
      <w:pPr>
        <w:pStyle w:val="ListParagraph"/>
        <w:numPr>
          <w:ilvl w:val="0"/>
          <w:numId w:val="2"/>
        </w:numPr>
        <w:spacing w:after="80"/>
      </w:pPr>
      <w:r>
        <w:rPr>
          <w:rFonts w:ascii="Arial" w:cs="Arial" w:eastAsia="Arial" w:hAnsi="Arial"/>
          <w:sz w:val="22"/>
          <w:szCs w:val="22"/>
        </w:rPr>
        <w:t xml:space="preserve">Feeds results into the SCADA stream pipeline for broadcast.</w:t>
      </w:r>
    </w:p>
    <w:p>
      <w:pPr>
        <w:pStyle w:val="ListParagraph"/>
        <w:numPr>
          <w:ilvl w:val="0"/>
          <w:numId w:val="2"/>
        </w:numPr>
        <w:spacing w:after="80"/>
      </w:pPr>
      <w:r>
        <w:rPr>
          <w:rFonts w:ascii="Arial" w:cs="Arial" w:eastAsia="Arial" w:hAnsi="Arial"/>
          <w:sz w:val="22"/>
          <w:szCs w:val="22"/>
        </w:rPr>
        <w:t xml:space="preserve">Management endpoints: /start, /stop, /status, /mappings, /catalog, /test-poll.</w:t>
      </w:r>
    </w:p>
    <w:p>
      <w:pPr>
        <w:pStyle w:val="Heading2"/>
        <w:spacing w:after="160" w:before="280"/>
      </w:pPr>
      <w:r>
        <w:rPr>
          <w:rFonts w:ascii="Arial" w:cs="Arial" w:eastAsia="Arial" w:hAnsi="Arial"/>
          <w:b/>
          <w:bCs/>
          <w:color w:val="2E5984"/>
          <w:sz w:val="26"/>
          <w:szCs w:val="26"/>
        </w:rPr>
        <w:t xml:space="preserve">4.4 Breach Dashboard API</w:t>
      </w:r>
    </w:p>
    <w:p>
      <w:pPr>
        <w:spacing w:after="160"/>
      </w:pPr>
      <w:r>
        <w:rPr>
          <w:rFonts w:ascii="Arial" w:cs="Arial" w:eastAsia="Arial" w:hAnsi="Arial"/>
          <w:sz w:val="22"/>
          <w:szCs w:val="22"/>
        </w:rPr>
        <w:t xml:space="preserve">REST API for querying threshold evaluation history:</w:t>
      </w:r>
    </w:p>
    <w:p>
      <w:pPr>
        <w:pStyle w:val="ListParagraph"/>
        <w:numPr>
          <w:ilvl w:val="0"/>
          <w:numId w:val="2"/>
        </w:numPr>
        <w:spacing w:after="80"/>
      </w:pPr>
      <w:r>
        <w:rPr>
          <w:rFonts w:ascii="Arial" w:cs="Arial" w:eastAsia="Arial" w:hAnsi="Arial"/>
          <w:b/>
          <w:bCs/>
          <w:sz w:val="22"/>
          <w:szCs w:val="22"/>
        </w:rPr>
        <w:t xml:space="preserve">GET /summary:</w:t>
      </w:r>
      <w:r>
        <w:rPr>
          <w:rFonts w:ascii="Arial" w:cs="Arial" w:eastAsia="Arial" w:hAnsi="Arial"/>
          <w:sz w:val="22"/>
          <w:szCs w:val="22"/>
        </w:rPr>
        <w:t xml:space="preserve"> Dashboard stats (total evaluations, breach rate, top parameters).</w:t>
      </w:r>
    </w:p>
    <w:p>
      <w:pPr>
        <w:pStyle w:val="ListParagraph"/>
        <w:numPr>
          <w:ilvl w:val="0"/>
          <w:numId w:val="2"/>
        </w:numPr>
        <w:spacing w:after="80"/>
      </w:pPr>
      <w:r>
        <w:rPr>
          <w:rFonts w:ascii="Arial" w:cs="Arial" w:eastAsia="Arial" w:hAnsi="Arial"/>
          <w:b/>
          <w:bCs/>
          <w:sz w:val="22"/>
          <w:szCs w:val="22"/>
        </w:rPr>
        <w:t xml:space="preserve">GET /:</w:t>
      </w:r>
      <w:r>
        <w:rPr>
          <w:rFonts w:ascii="Arial" w:cs="Arial" w:eastAsia="Arial" w:hAnsi="Arial"/>
          <w:sz w:val="22"/>
          <w:szCs w:val="22"/>
        </w:rPr>
        <w:t xml:space="preserve"> List breach records only.</w:t>
      </w:r>
    </w:p>
    <w:p>
      <w:pPr>
        <w:pStyle w:val="ListParagraph"/>
        <w:numPr>
          <w:ilvl w:val="0"/>
          <w:numId w:val="2"/>
        </w:numPr>
        <w:spacing w:after="80"/>
      </w:pPr>
      <w:r>
        <w:rPr>
          <w:rFonts w:ascii="Arial" w:cs="Arial" w:eastAsia="Arial" w:hAnsi="Arial"/>
          <w:b/>
          <w:bCs/>
          <w:sz w:val="22"/>
          <w:szCs w:val="22"/>
        </w:rPr>
        <w:t xml:space="preserve">GET /evaluations:</w:t>
      </w:r>
      <w:r>
        <w:rPr>
          <w:rFonts w:ascii="Arial" w:cs="Arial" w:eastAsia="Arial" w:hAnsi="Arial"/>
          <w:sz w:val="22"/>
          <w:szCs w:val="22"/>
        </w:rPr>
        <w:t xml:space="preserve"> List all evaluations.</w:t>
      </w:r>
    </w:p>
    <w:p>
      <w:pPr>
        <w:pStyle w:val="ListParagraph"/>
        <w:numPr>
          <w:ilvl w:val="0"/>
          <w:numId w:val="2"/>
        </w:numPr>
        <w:spacing w:after="80"/>
      </w:pPr>
      <w:r>
        <w:rPr>
          <w:rFonts w:ascii="Arial" w:cs="Arial" w:eastAsia="Arial" w:hAnsi="Arial"/>
          <w:b/>
          <w:bCs/>
          <w:sz w:val="22"/>
          <w:szCs w:val="22"/>
        </w:rPr>
        <w:t xml:space="preserve">POST /check:</w:t>
      </w:r>
      <w:r>
        <w:rPr>
          <w:rFonts w:ascii="Arial" w:cs="Arial" w:eastAsia="Arial" w:hAnsi="Arial"/>
          <w:sz w:val="22"/>
          <w:szCs w:val="22"/>
        </w:rPr>
        <w:t xml:space="preserve"> Evaluate a value on-demand.</w:t>
      </w:r>
    </w:p>
    <w:p>
      <w:pPr>
        <w:pStyle w:val="ListParagraph"/>
        <w:numPr>
          <w:ilvl w:val="0"/>
          <w:numId w:val="2"/>
        </w:numPr>
        <w:spacing w:after="80"/>
      </w:pPr>
      <w:r>
        <w:rPr>
          <w:rFonts w:ascii="Arial" w:cs="Arial" w:eastAsia="Arial" w:hAnsi="Arial"/>
          <w:b/>
          <w:bCs/>
          <w:sz w:val="22"/>
          <w:szCs w:val="22"/>
        </w:rPr>
        <w:t xml:space="preserve">GET /verify/{hash}:</w:t>
      </w:r>
      <w:r>
        <w:rPr>
          <w:rFonts w:ascii="Arial" w:cs="Arial" w:eastAsia="Arial" w:hAnsi="Arial"/>
          <w:sz w:val="22"/>
          <w:szCs w:val="22"/>
        </w:rPr>
        <w:t xml:space="preserve"> Verify a determination’s integrity by recomputing its SHA-256 hash.</w:t>
      </w:r>
    </w:p>
    <w:p>
      <w:r>
        <w:br w:type="page"/>
      </w:r>
    </w:p>
    <w:p>
      <w:pPr>
        <w:pStyle w:val="Heading1"/>
        <w:spacing w:after="200" w:before="360"/>
      </w:pPr>
      <w:r>
        <w:rPr>
          <w:rFonts w:ascii="Arial" w:cs="Arial" w:eastAsia="Arial" w:hAnsi="Arial"/>
          <w:b/>
          <w:bCs/>
          <w:color w:val="1B3A5C"/>
          <w:sz w:val="32"/>
          <w:szCs w:val="32"/>
        </w:rPr>
        <w:t xml:space="preserve">5. n8n Escalation Workflow</w:t>
      </w:r>
    </w:p>
    <w:p>
      <w:pPr>
        <w:spacing w:after="160"/>
      </w:pPr>
      <w:r>
        <w:rPr>
          <w:rFonts w:ascii="Arial" w:cs="Arial" w:eastAsia="Arial" w:hAnsi="Arial"/>
          <w:sz w:val="22"/>
          <w:szCs w:val="22"/>
        </w:rPr>
        <w:t xml:space="preserve">A 6-node n8n automation workflow handles cases where the GraphRAG filter’s composite confidence falls below 0.60 (LOW band):</w:t>
      </w:r>
    </w:p>
    <w:p>
      <w:pPr>
        <w:pStyle w:val="ListParagraph"/>
        <w:numPr>
          <w:ilvl w:val="0"/>
          <w:numId w:val="2"/>
        </w:numPr>
        <w:spacing w:after="80"/>
      </w:pPr>
      <w:r>
        <w:rPr>
          <w:rFonts w:ascii="Arial" w:cs="Arial" w:eastAsia="Arial" w:hAnsi="Arial"/>
          <w:b/>
          <w:bCs/>
          <w:sz w:val="22"/>
          <w:szCs w:val="22"/>
        </w:rPr>
        <w:t xml:space="preserve">Node 1 — Webhook:</w:t>
      </w:r>
      <w:r>
        <w:rPr>
          <w:rFonts w:ascii="Arial" w:cs="Arial" w:eastAsia="Arial" w:hAnsi="Arial"/>
          <w:sz w:val="22"/>
          <w:szCs w:val="22"/>
        </w:rPr>
        <w:t xml:space="preserve"> POST /webhook/regos-escalation. Receives the case packet from the GraphRAG filter.</w:t>
      </w:r>
    </w:p>
    <w:p>
      <w:pPr>
        <w:pStyle w:val="ListParagraph"/>
        <w:numPr>
          <w:ilvl w:val="0"/>
          <w:numId w:val="2"/>
        </w:numPr>
        <w:spacing w:after="80"/>
      </w:pPr>
      <w:r>
        <w:rPr>
          <w:rFonts w:ascii="Arial" w:cs="Arial" w:eastAsia="Arial" w:hAnsi="Arial"/>
          <w:b/>
          <w:bCs/>
          <w:sz w:val="22"/>
          <w:szCs w:val="22"/>
        </w:rPr>
        <w:t xml:space="preserve">Node 2 — Validate &amp; Enrich:</w:t>
      </w:r>
      <w:r>
        <w:rPr>
          <w:rFonts w:ascii="Arial" w:cs="Arial" w:eastAsia="Arial" w:hAnsi="Arial"/>
          <w:sz w:val="22"/>
          <w:szCs w:val="22"/>
        </w:rPr>
        <w:t xml:space="preserve"> Validates required fields (case_ref, timestamp, user, query, confidence, escalation) and adds pipeline metadata (received_at, workflow_version, status).</w:t>
      </w:r>
    </w:p>
    <w:p>
      <w:pPr>
        <w:pStyle w:val="ListParagraph"/>
        <w:numPr>
          <w:ilvl w:val="0"/>
          <w:numId w:val="2"/>
        </w:numPr>
        <w:spacing w:after="80"/>
      </w:pPr>
      <w:r>
        <w:rPr>
          <w:rFonts w:ascii="Arial" w:cs="Arial" w:eastAsia="Arial" w:hAnsi="Arial"/>
          <w:b/>
          <w:bCs/>
          <w:sz w:val="22"/>
          <w:szCs w:val="22"/>
        </w:rPr>
        <w:t xml:space="preserve">Node 3 — Generate Raw Case File:</w:t>
      </w:r>
      <w:r>
        <w:rPr>
          <w:rFonts w:ascii="Arial" w:cs="Arial" w:eastAsia="Arial" w:hAnsi="Arial"/>
          <w:sz w:val="22"/>
          <w:szCs w:val="22"/>
        </w:rPr>
        <w:t xml:space="preserve"> Builds a downloadable JSON dump of the full case context. Available in n8n Execution History for reviewers.</w:t>
      </w:r>
    </w:p>
    <w:p>
      <w:pPr>
        <w:pStyle w:val="ListParagraph"/>
        <w:numPr>
          <w:ilvl w:val="0"/>
          <w:numId w:val="2"/>
        </w:numPr>
        <w:spacing w:after="80"/>
      </w:pPr>
      <w:r>
        <w:rPr>
          <w:rFonts w:ascii="Arial" w:cs="Arial" w:eastAsia="Arial" w:hAnsi="Arial"/>
          <w:b/>
          <w:bCs/>
          <w:sz w:val="22"/>
          <w:szCs w:val="22"/>
        </w:rPr>
        <w:t xml:space="preserve">Node 4 — AI Case Brief:</w:t>
      </w:r>
      <w:r>
        <w:rPr>
          <w:rFonts w:ascii="Arial" w:cs="Arial" w:eastAsia="Arial" w:hAnsi="Arial"/>
          <w:sz w:val="22"/>
          <w:szCs w:val="22"/>
        </w:rPr>
        <w:t xml:space="preserve"> Calls a configurable AI API (OpenAI, Anthropic, etc.) to compress the case into a 6-section brief: one-line summary, risk assessment, what the AI got right, what’s missing, recommended reviewer action, and suggested response improvement. Falls back to a placeholder if no AI API is configured.</w:t>
      </w:r>
    </w:p>
    <w:p>
      <w:pPr>
        <w:pStyle w:val="ListParagraph"/>
        <w:numPr>
          <w:ilvl w:val="0"/>
          <w:numId w:val="2"/>
        </w:numPr>
        <w:spacing w:after="80"/>
      </w:pPr>
      <w:r>
        <w:rPr>
          <w:rFonts w:ascii="Arial" w:cs="Arial" w:eastAsia="Arial" w:hAnsi="Arial"/>
          <w:b/>
          <w:bCs/>
          <w:sz w:val="22"/>
          <w:szCs w:val="22"/>
        </w:rPr>
        <w:t xml:space="preserve">Node 5 — Respond:</w:t>
      </w:r>
      <w:r>
        <w:rPr>
          <w:rFonts w:ascii="Arial" w:cs="Arial" w:eastAsia="Arial" w:hAnsi="Arial"/>
          <w:sz w:val="22"/>
          <w:szCs w:val="22"/>
        </w:rPr>
        <w:t xml:space="preserve"> Returns {status: "received", case_ref, message} to the GraphRAG filter for display to the user.</w:t>
      </w:r>
    </w:p>
    <w:p>
      <w:pPr>
        <w:pStyle w:val="ListParagraph"/>
        <w:numPr>
          <w:ilvl w:val="0"/>
          <w:numId w:val="2"/>
        </w:numPr>
        <w:spacing w:after="80"/>
      </w:pPr>
      <w:r>
        <w:rPr>
          <w:rFonts w:ascii="Arial" w:cs="Arial" w:eastAsia="Arial" w:hAnsi="Arial"/>
          <w:b/>
          <w:bCs/>
          <w:sz w:val="22"/>
          <w:szCs w:val="22"/>
        </w:rPr>
        <w:t xml:space="preserve">Node 6 — No-Op (Placeholder):</w:t>
      </w:r>
      <w:r>
        <w:rPr>
          <w:rFonts w:ascii="Arial" w:cs="Arial" w:eastAsia="Arial" w:hAnsi="Arial"/>
          <w:sz w:val="22"/>
          <w:szCs w:val="22"/>
        </w:rPr>
        <w:t xml:space="preserve"> Future: email notification, Slack alert, or database write.</w:t>
      </w:r>
    </w:p>
    <w:p>
      <w:pPr>
        <w:pStyle w:val="Heading3"/>
        <w:spacing w:after="120" w:before="200"/>
      </w:pPr>
      <w:r>
        <w:rPr>
          <w:rFonts w:ascii="Arial" w:cs="Arial" w:eastAsia="Arial" w:hAnsi="Arial"/>
          <w:b/>
          <w:bCs/>
          <w:color w:val="3D7AB5"/>
          <w:sz w:val="22"/>
          <w:szCs w:val="22"/>
        </w:rPr>
        <w:t xml:space="preserve">Escalation Case Packet Contents</w:t>
      </w:r>
    </w:p>
    <w:p>
      <w:pPr>
        <w:pStyle w:val="ListParagraph"/>
        <w:numPr>
          <w:ilvl w:val="0"/>
          <w:numId w:val="2"/>
        </w:numPr>
        <w:spacing w:after="80"/>
      </w:pPr>
      <w:r>
        <w:rPr>
          <w:rFonts w:ascii="Arial" w:cs="Arial" w:eastAsia="Arial" w:hAnsi="Arial"/>
          <w:sz w:val="22"/>
          <w:szCs w:val="22"/>
        </w:rPr>
        <w:t xml:space="preserve">User info (name, email, role)</w:t>
      </w:r>
    </w:p>
    <w:p>
      <w:pPr>
        <w:pStyle w:val="ListParagraph"/>
        <w:numPr>
          <w:ilvl w:val="0"/>
          <w:numId w:val="2"/>
        </w:numPr>
        <w:spacing w:after="80"/>
      </w:pPr>
      <w:r>
        <w:rPr>
          <w:rFonts w:ascii="Arial" w:cs="Arial" w:eastAsia="Arial" w:hAnsi="Arial"/>
          <w:sz w:val="22"/>
          <w:szCs w:val="22"/>
        </w:rPr>
        <w:t xml:space="preserve">Triggering query and AI response</w:t>
      </w:r>
    </w:p>
    <w:p>
      <w:pPr>
        <w:pStyle w:val="ListParagraph"/>
        <w:numPr>
          <w:ilvl w:val="0"/>
          <w:numId w:val="2"/>
        </w:numPr>
        <w:spacing w:after="80"/>
      </w:pPr>
      <w:r>
        <w:rPr>
          <w:rFonts w:ascii="Arial" w:cs="Arial" w:eastAsia="Arial" w:hAnsi="Arial"/>
          <w:sz w:val="22"/>
          <w:szCs w:val="22"/>
        </w:rPr>
        <w:t xml:space="preserve">Full conversation history</w:t>
      </w:r>
    </w:p>
    <w:p>
      <w:pPr>
        <w:pStyle w:val="ListParagraph"/>
        <w:numPr>
          <w:ilvl w:val="0"/>
          <w:numId w:val="2"/>
        </w:numPr>
        <w:spacing w:after="80"/>
      </w:pPr>
      <w:r>
        <w:rPr>
          <w:rFonts w:ascii="Arial" w:cs="Arial" w:eastAsia="Arial" w:hAnsi="Arial"/>
          <w:sz w:val="22"/>
          <w:szCs w:val="22"/>
        </w:rPr>
        <w:t xml:space="preserve">All GraphRAG citations with section references</w:t>
      </w:r>
    </w:p>
    <w:p>
      <w:pPr>
        <w:pStyle w:val="ListParagraph"/>
        <w:numPr>
          <w:ilvl w:val="0"/>
          <w:numId w:val="2"/>
        </w:numPr>
        <w:spacing w:after="80"/>
      </w:pPr>
      <w:r>
        <w:rPr>
          <w:rFonts w:ascii="Arial" w:cs="Arial" w:eastAsia="Arial" w:hAnsi="Arial"/>
          <w:sz w:val="22"/>
          <w:szCs w:val="22"/>
        </w:rPr>
        <w:t xml:space="preserve">Knowledge Base sources</w:t>
      </w:r>
    </w:p>
    <w:p>
      <w:pPr>
        <w:pStyle w:val="ListParagraph"/>
        <w:numPr>
          <w:ilvl w:val="0"/>
          <w:numId w:val="2"/>
        </w:numPr>
        <w:spacing w:after="80"/>
      </w:pPr>
      <w:r>
        <w:rPr>
          <w:rFonts w:ascii="Arial" w:cs="Arial" w:eastAsia="Arial" w:hAnsi="Arial"/>
          <w:sz w:val="22"/>
          <w:szCs w:val="22"/>
        </w:rPr>
        <w:t xml:space="preserve">Entity matches with scores</w:t>
      </w:r>
    </w:p>
    <w:p>
      <w:pPr>
        <w:pStyle w:val="ListParagraph"/>
        <w:numPr>
          <w:ilvl w:val="0"/>
          <w:numId w:val="2"/>
        </w:numPr>
        <w:spacing w:after="80"/>
      </w:pPr>
      <w:r>
        <w:rPr>
          <w:rFonts w:ascii="Arial" w:cs="Arial" w:eastAsia="Arial" w:hAnsi="Arial"/>
          <w:sz w:val="22"/>
          <w:szCs w:val="22"/>
        </w:rPr>
        <w:t xml:space="preserve">Confidence signals breakdown</w:t>
      </w:r>
    </w:p>
    <w:p>
      <w:pPr>
        <w:pStyle w:val="ListParagraph"/>
        <w:numPr>
          <w:ilvl w:val="0"/>
          <w:numId w:val="2"/>
        </w:numPr>
        <w:spacing w:after="80"/>
      </w:pPr>
      <w:r>
        <w:rPr>
          <w:rFonts w:ascii="Arial" w:cs="Arial" w:eastAsia="Arial" w:hAnsi="Arial"/>
          <w:sz w:val="22"/>
          <w:szCs w:val="22"/>
        </w:rPr>
        <w:t xml:space="preserve">Assembled graph context</w:t>
      </w:r>
    </w:p>
    <w:p>
      <w:r>
        <w:br w:type="page"/>
      </w:r>
    </w:p>
    <w:p>
      <w:pPr>
        <w:pStyle w:val="Heading1"/>
        <w:spacing w:after="200" w:before="360"/>
      </w:pPr>
      <w:r>
        <w:rPr>
          <w:rFonts w:ascii="Arial" w:cs="Arial" w:eastAsia="Arial" w:hAnsi="Arial"/>
          <w:b/>
          <w:bCs/>
          <w:color w:val="1B3A5C"/>
          <w:sz w:val="32"/>
          <w:szCs w:val="32"/>
        </w:rPr>
        <w:t xml:space="preserve">6. Open WebUI Fork Modifications</w:t>
      </w:r>
    </w:p>
    <w:p>
      <w:pPr>
        <w:spacing w:after="160"/>
      </w:pPr>
      <w:r>
        <w:rPr>
          <w:rFonts w:ascii="Arial" w:cs="Arial" w:eastAsia="Arial" w:hAnsi="Arial"/>
          <w:sz w:val="22"/>
          <w:szCs w:val="22"/>
        </w:rPr>
        <w:t xml:space="preserve">The fork modifies 14 files and adds 3 new files to Open WebUI’s codebase. All modifications serve the guest access system, model access control, admin panel, and onboarding disclaimer.</w:t>
      </w:r>
    </w:p>
    <w:p>
      <w:pPr>
        <w:pStyle w:val="Heading2"/>
        <w:spacing w:after="160" w:before="280"/>
      </w:pPr>
      <w:r>
        <w:rPr>
          <w:rFonts w:ascii="Arial" w:cs="Arial" w:eastAsia="Arial" w:hAnsi="Arial"/>
          <w:b/>
          <w:bCs/>
          <w:color w:val="2E5984"/>
          <w:sz w:val="26"/>
          <w:szCs w:val="26"/>
        </w:rPr>
        <w:t xml:space="preserve">6.1 Backend Modifications (Python/FastAPI)</w:t>
      </w:r>
    </w:p>
    <w:p>
      <w:pPr>
        <w:pStyle w:val="Heading3"/>
        <w:spacing w:after="120" w:before="200"/>
      </w:pPr>
      <w:r>
        <w:rPr>
          <w:rFonts w:ascii="Arial" w:cs="Arial" w:eastAsia="Arial" w:hAnsi="Arial"/>
          <w:b/>
          <w:bCs/>
          <w:color w:val="3D7AB5"/>
          <w:sz w:val="22"/>
          <w:szCs w:val="22"/>
        </w:rPr>
        <w:t xml:space="preserve">config.py — 11 New PersistentConfig Variables</w:t>
      </w:r>
    </w:p>
    <w:p>
      <w:pPr>
        <w:spacing w:after="160"/>
      </w:pPr>
      <w:r>
        <w:rPr>
          <w:rFonts w:ascii="Arial" w:cs="Arial" w:eastAsia="Arial" w:hAnsi="Arial"/>
          <w:sz w:val="22"/>
          <w:szCs w:val="22"/>
        </w:rPr>
        <w:t xml:space="preserve">All RegOS settings are stored as PersistentConfig entries, meaning they persist across restarts and are admin-configurable:</w:t>
      </w:r>
    </w:p>
    <w:p>
      <w:pPr>
        <w:pStyle w:val="ListParagraph"/>
        <w:numPr>
          <w:ilvl w:val="0"/>
          <w:numId w:val="2"/>
        </w:numPr>
        <w:spacing w:after="80"/>
      </w:pPr>
      <w:r>
        <w:rPr>
          <w:rFonts w:ascii="Arial" w:cs="Arial" w:eastAsia="Arial" w:hAnsi="Arial"/>
          <w:sz w:val="22"/>
          <w:szCs w:val="22"/>
        </w:rPr>
        <w:t xml:space="preserve">Disclaimer: enabled, title, body, accept_label</w:t>
      </w:r>
    </w:p>
    <w:p>
      <w:pPr>
        <w:pStyle w:val="ListParagraph"/>
        <w:numPr>
          <w:ilvl w:val="0"/>
          <w:numId w:val="2"/>
        </w:numPr>
        <w:spacing w:after="80"/>
      </w:pPr>
      <w:r>
        <w:rPr>
          <w:rFonts w:ascii="Arial" w:cs="Arial" w:eastAsia="Arial" w:hAnsi="Arial"/>
          <w:sz w:val="22"/>
          <w:szCs w:val="22"/>
        </w:rPr>
        <w:t xml:space="preserve">Guest Access: enabled, message_limit, generation_limit (default 50), session_ttl (default 3 hours), show_button</w:t>
      </w:r>
    </w:p>
    <w:p>
      <w:pPr>
        <w:pStyle w:val="ListParagraph"/>
        <w:numPr>
          <w:ilvl w:val="0"/>
          <w:numId w:val="2"/>
        </w:numPr>
        <w:spacing w:after="80"/>
      </w:pPr>
      <w:r>
        <w:rPr>
          <w:rFonts w:ascii="Arial" w:cs="Arial" w:eastAsia="Arial" w:hAnsi="Arial"/>
          <w:sz w:val="22"/>
          <w:szCs w:val="22"/>
        </w:rPr>
        <w:t xml:space="preserve">Confidence Display: enabled, style, high_threshold (70), medium_threshold (45)</w:t>
      </w:r>
    </w:p>
    <w:p>
      <w:pPr>
        <w:pStyle w:val="Heading3"/>
        <w:spacing w:after="120" w:before="200"/>
      </w:pPr>
      <w:r>
        <w:rPr>
          <w:rFonts w:ascii="Arial" w:cs="Arial" w:eastAsia="Arial" w:hAnsi="Arial"/>
          <w:b/>
          <w:bCs/>
          <w:color w:val="3D7AB5"/>
          <w:sz w:val="22"/>
          <w:szCs w:val="22"/>
        </w:rPr>
        <w:t xml:space="preserve">routers/auths.py — New POST /auths/guest Endpoint</w:t>
      </w:r>
    </w:p>
    <w:p>
      <w:pPr>
        <w:spacing w:after="160"/>
      </w:pPr>
      <w:r>
        <w:rPr>
          <w:rFonts w:ascii="Arial" w:cs="Arial" w:eastAsia="Arial" w:hAnsi="Arial"/>
          <w:sz w:val="22"/>
          <w:szCs w:val="22"/>
        </w:rPr>
        <w:t xml:space="preserve">Email-based guest access with no password required. The flow:</w:t>
      </w:r>
    </w:p>
    <w:p>
      <w:pPr>
        <w:pStyle w:val="ListParagraph"/>
        <w:numPr>
          <w:ilvl w:val="0"/>
          <w:numId w:val="2"/>
        </w:numPr>
        <w:spacing w:after="80"/>
      </w:pPr>
      <w:r>
        <w:rPr>
          <w:rFonts w:ascii="Arial" w:cs="Arial" w:eastAsia="Arial" w:hAnsi="Arial"/>
          <w:sz w:val="22"/>
          <w:szCs w:val="22"/>
        </w:rPr>
        <w:t xml:space="preserve">Rate-limits guest signin by IP.</w:t>
      </w:r>
    </w:p>
    <w:p>
      <w:pPr>
        <w:pStyle w:val="ListParagraph"/>
        <w:numPr>
          <w:ilvl w:val="0"/>
          <w:numId w:val="2"/>
        </w:numPr>
        <w:spacing w:after="80"/>
      </w:pPr>
      <w:r>
        <w:rPr>
          <w:rFonts w:ascii="Arial" w:cs="Arial" w:eastAsia="Arial" w:hAnsi="Arial"/>
          <w:sz w:val="22"/>
          <w:szCs w:val="22"/>
        </w:rPr>
        <w:t xml:space="preserve">Validates email format (must contain @ and a dot in domain).</w:t>
      </w:r>
    </w:p>
    <w:p>
      <w:pPr>
        <w:pStyle w:val="ListParagraph"/>
        <w:numPr>
          <w:ilvl w:val="0"/>
          <w:numId w:val="2"/>
        </w:numPr>
        <w:spacing w:after="80"/>
      </w:pPr>
      <w:r>
        <w:rPr>
          <w:rFonts w:ascii="Arial" w:cs="Arial" w:eastAsia="Arial" w:hAnsi="Arial"/>
          <w:sz w:val="22"/>
          <w:szCs w:val="22"/>
        </w:rPr>
        <w:t xml:space="preserve">For returning guests: checks generation limit against REGOS_GUEST_GENERATION_LIMIT by counting assistant responses in chat history. Returns 429 if exceeded.</w:t>
      </w:r>
    </w:p>
    <w:p>
      <w:pPr>
        <w:pStyle w:val="ListParagraph"/>
        <w:numPr>
          <w:ilvl w:val="0"/>
          <w:numId w:val="2"/>
        </w:numPr>
        <w:spacing w:after="80"/>
      </w:pPr>
      <w:r>
        <w:rPr>
          <w:rFonts w:ascii="Arial" w:cs="Arial" w:eastAsia="Arial" w:hAnsi="Arial"/>
          <w:sz w:val="22"/>
          <w:szCs w:val="22"/>
        </w:rPr>
        <w:t xml:space="preserve">For new guests: creates user with role="guest", hashed random password, auto-assigns to the "Guests" group (substring match on group name).</w:t>
      </w:r>
    </w:p>
    <w:p>
      <w:pPr>
        <w:pStyle w:val="ListParagraph"/>
        <w:numPr>
          <w:ilvl w:val="0"/>
          <w:numId w:val="2"/>
        </w:numPr>
        <w:spacing w:after="80"/>
      </w:pPr>
      <w:r>
        <w:rPr>
          <w:rFonts w:ascii="Arial" w:cs="Arial" w:eastAsia="Arial" w:hAnsi="Arial"/>
          <w:sz w:val="22"/>
          <w:szCs w:val="22"/>
        </w:rPr>
        <w:t xml:space="preserve">Issues JWT token with configurable expiry (REGOS_GUEST_SESSION_TTL, default 3 hours).</w:t>
      </w:r>
    </w:p>
    <w:p>
      <w:pPr>
        <w:pStyle w:val="Heading3"/>
        <w:spacing w:after="120" w:before="200"/>
      </w:pPr>
      <w:r>
        <w:rPr>
          <w:rFonts w:ascii="Arial" w:cs="Arial" w:eastAsia="Arial" w:hAnsi="Arial"/>
          <w:b/>
          <w:bCs/>
          <w:color w:val="3D7AB5"/>
          <w:sz w:val="22"/>
          <w:szCs w:val="22"/>
        </w:rPr>
        <w:t xml:space="preserve">routers/users.py — Role Filtering</w:t>
      </w:r>
    </w:p>
    <w:p>
      <w:pPr>
        <w:spacing w:after="160"/>
      </w:pPr>
      <w:r>
        <w:rPr>
          <w:rFonts w:ascii="Arial" w:cs="Arial" w:eastAsia="Arial" w:hAnsi="Arial"/>
          <w:sz w:val="22"/>
          <w:szCs w:val="22"/>
        </w:rPr>
        <w:t xml:space="preserve">Modified GET /users/ to accept a roles query parameter. Supports inclusion ("guest") and exclusion ("!guest") syntax. This powers the admin panel’s separate Overview (excludes guests) and Guests tabs.</w:t>
      </w:r>
    </w:p>
    <w:p>
      <w:pPr>
        <w:pStyle w:val="Heading3"/>
        <w:spacing w:after="120" w:before="200"/>
      </w:pPr>
      <w:r>
        <w:rPr>
          <w:rFonts w:ascii="Arial" w:cs="Arial" w:eastAsia="Arial" w:hAnsi="Arial"/>
          <w:b/>
          <w:bCs/>
          <w:color w:val="3D7AB5"/>
          <w:sz w:val="22"/>
          <w:szCs w:val="22"/>
        </w:rPr>
        <w:t xml:space="preserve">routers/configs.py — 4 New Endpoints</w:t>
      </w:r>
    </w:p>
    <w:p>
      <w:pPr>
        <w:pStyle w:val="ListParagraph"/>
        <w:numPr>
          <w:ilvl w:val="0"/>
          <w:numId w:val="2"/>
        </w:numPr>
        <w:spacing w:after="80"/>
      </w:pPr>
      <w:r>
        <w:rPr>
          <w:rFonts w:ascii="Arial" w:cs="Arial" w:eastAsia="Arial" w:hAnsi="Arial"/>
          <w:b/>
          <w:bCs/>
          <w:sz w:val="22"/>
          <w:szCs w:val="22"/>
        </w:rPr>
        <w:t xml:space="preserve">GET /configs/regos:</w:t>
      </w:r>
      <w:r>
        <w:rPr>
          <w:rFonts w:ascii="Arial" w:cs="Arial" w:eastAsia="Arial" w:hAnsi="Arial"/>
          <w:sz w:val="22"/>
          <w:szCs w:val="22"/>
        </w:rPr>
        <w:t xml:space="preserve"> Admin-only. Returns full RegOS configuration object (disclaimer + guest + confidence settings).</w:t>
      </w:r>
    </w:p>
    <w:p>
      <w:pPr>
        <w:pStyle w:val="ListParagraph"/>
        <w:numPr>
          <w:ilvl w:val="0"/>
          <w:numId w:val="2"/>
        </w:numPr>
        <w:spacing w:after="80"/>
      </w:pPr>
      <w:r>
        <w:rPr>
          <w:rFonts w:ascii="Arial" w:cs="Arial" w:eastAsia="Arial" w:hAnsi="Arial"/>
          <w:b/>
          <w:bCs/>
          <w:sz w:val="22"/>
          <w:szCs w:val="22"/>
        </w:rPr>
        <w:t xml:space="preserve">POST /configs/regos:</w:t>
      </w:r>
      <w:r>
        <w:rPr>
          <w:rFonts w:ascii="Arial" w:cs="Arial" w:eastAsia="Arial" w:hAnsi="Arial"/>
          <w:sz w:val="22"/>
          <w:szCs w:val="22"/>
        </w:rPr>
        <w:t xml:space="preserve"> Admin-only. Updates RegOS configuration.</w:t>
      </w:r>
    </w:p>
    <w:p>
      <w:pPr>
        <w:pStyle w:val="ListParagraph"/>
        <w:numPr>
          <w:ilvl w:val="0"/>
          <w:numId w:val="2"/>
        </w:numPr>
        <w:spacing w:after="80"/>
      </w:pPr>
      <w:r>
        <w:rPr>
          <w:rFonts w:ascii="Arial" w:cs="Arial" w:eastAsia="Arial" w:hAnsi="Arial"/>
          <w:b/>
          <w:bCs/>
          <w:sz w:val="22"/>
          <w:szCs w:val="22"/>
        </w:rPr>
        <w:t xml:space="preserve">GET /configs/regos/public:</w:t>
      </w:r>
      <w:r>
        <w:rPr>
          <w:rFonts w:ascii="Arial" w:cs="Arial" w:eastAsia="Arial" w:hAnsi="Arial"/>
          <w:sz w:val="22"/>
          <w:szCs w:val="22"/>
        </w:rPr>
        <w:t xml:space="preserve"> Authenticated users. Returns non-admin subset (excludes limits and internal details).</w:t>
      </w:r>
    </w:p>
    <w:p>
      <w:pPr>
        <w:pStyle w:val="ListParagraph"/>
        <w:numPr>
          <w:ilvl w:val="0"/>
          <w:numId w:val="2"/>
        </w:numPr>
        <w:spacing w:after="80"/>
      </w:pPr>
      <w:r>
        <w:rPr>
          <w:rFonts w:ascii="Arial" w:cs="Arial" w:eastAsia="Arial" w:hAnsi="Arial"/>
          <w:b/>
          <w:bCs/>
          <w:sz w:val="22"/>
          <w:szCs w:val="22"/>
        </w:rPr>
        <w:t xml:space="preserve">GET /configs/regos/guest-status:</w:t>
      </w:r>
      <w:r>
        <w:rPr>
          <w:rFonts w:ascii="Arial" w:cs="Arial" w:eastAsia="Arial" w:hAnsi="Arial"/>
          <w:sz w:val="22"/>
          <w:szCs w:val="22"/>
        </w:rPr>
        <w:t xml:space="preserve"> Unauthenticated. Returns only {enabled, show_button} for the login page.</w:t>
      </w:r>
    </w:p>
    <w:p>
      <w:pPr>
        <w:pStyle w:val="Heading3"/>
        <w:spacing w:after="120" w:before="200"/>
      </w:pPr>
      <w:r>
        <w:rPr>
          <w:rFonts w:ascii="Arial" w:cs="Arial" w:eastAsia="Arial" w:hAnsi="Arial"/>
          <w:b/>
          <w:bCs/>
          <w:color w:val="3D7AB5"/>
          <w:sz w:val="22"/>
          <w:szCs w:val="22"/>
        </w:rPr>
        <w:t xml:space="preserve">utils/models.py — Model Access Control Fix</w:t>
      </w:r>
    </w:p>
    <w:p>
      <w:pPr>
        <w:spacing w:after="160"/>
      </w:pPr>
      <w:r>
        <w:rPr>
          <w:rFonts w:ascii="Arial" w:cs="Arial" w:eastAsia="Arial" w:hAnsi="Arial"/>
          <w:sz w:val="22"/>
          <w:szCs w:val="22"/>
        </w:rPr>
        <w:t xml:space="preserve">One-line fix in get_filtered_models(): changed user.role == "user" to user.role in ("user", "guest"). Without this, guests bypassed all model access control and could see all 382+ OpenRouter models. With the fix, guests are subject to the same AccessGrants system as regular users and only see models explicitly granted to their group.</w:t>
      </w:r>
    </w:p>
    <w:p>
      <w:pPr>
        <w:pStyle w:val="Heading3"/>
        <w:spacing w:after="120" w:before="200"/>
      </w:pPr>
      <w:r>
        <w:rPr>
          <w:rFonts w:ascii="Arial" w:cs="Arial" w:eastAsia="Arial" w:hAnsi="Arial"/>
          <w:b/>
          <w:bCs/>
          <w:color w:val="3D7AB5"/>
          <w:sz w:val="22"/>
          <w:szCs w:val="22"/>
        </w:rPr>
        <w:t xml:space="preserve">requirements.txt — neo4j Driver Added</w:t>
      </w:r>
    </w:p>
    <w:p>
      <w:pPr>
        <w:spacing w:after="160"/>
      </w:pPr>
      <w:r>
        <w:rPr>
          <w:rFonts w:ascii="Arial" w:cs="Arial" w:eastAsia="Arial" w:hAnsi="Arial"/>
          <w:sz w:val="22"/>
          <w:szCs w:val="22"/>
        </w:rPr>
        <w:t xml:space="preserve">Added the neo4j Python driver to requirements.txt so it’s available inside the Docker container for the GraphRAG filter.</w:t>
      </w:r>
    </w:p>
    <w:p>
      <w:pPr>
        <w:pStyle w:val="Heading2"/>
        <w:spacing w:after="160" w:before="280"/>
      </w:pPr>
      <w:r>
        <w:rPr>
          <w:rFonts w:ascii="Arial" w:cs="Arial" w:eastAsia="Arial" w:hAnsi="Arial"/>
          <w:b/>
          <w:bCs/>
          <w:color w:val="2E5984"/>
          <w:sz w:val="26"/>
          <w:szCs w:val="26"/>
        </w:rPr>
        <w:t xml:space="preserve">6.2 Frontend Modifications (Svelte/TypeScript)</w:t>
      </w:r>
    </w:p>
    <w:p>
      <w:pPr>
        <w:pStyle w:val="Heading3"/>
        <w:spacing w:after="120" w:before="200"/>
      </w:pPr>
      <w:r>
        <w:rPr>
          <w:rFonts w:ascii="Arial" w:cs="Arial" w:eastAsia="Arial" w:hAnsi="Arial"/>
          <w:b/>
          <w:bCs/>
          <w:color w:val="3D7AB5"/>
          <w:sz w:val="22"/>
          <w:szCs w:val="22"/>
        </w:rPr>
        <w:t xml:space="preserve">Login Page (auth/+page.svelte)</w:t>
      </w:r>
    </w:p>
    <w:p>
      <w:pPr>
        <w:spacing w:after="160"/>
      </w:pPr>
      <w:r>
        <w:rPr>
          <w:rFonts w:ascii="Arial" w:cs="Arial" w:eastAsia="Arial" w:hAnsi="Arial"/>
          <w:sz w:val="22"/>
          <w:szCs w:val="22"/>
        </w:rPr>
        <w:t xml:space="preserve">Modified to support guest access. On mount, fetches the unauthenticated /configs/regos/guest-status endpoint. If guest access is enabled and show_button is true, renders a two-stage guest signin flow: first click reveals the email input field, second click validates and submits.</w:t>
      </w:r>
    </w:p>
    <w:p>
      <w:pPr>
        <w:pStyle w:val="Heading3"/>
        <w:spacing w:after="120" w:before="200"/>
      </w:pPr>
      <w:r>
        <w:rPr>
          <w:rFonts w:ascii="Arial" w:cs="Arial" w:eastAsia="Arial" w:hAnsi="Arial"/>
          <w:b/>
          <w:bCs/>
          <w:color w:val="3D7AB5"/>
          <w:sz w:val="22"/>
          <w:szCs w:val="22"/>
        </w:rPr>
        <w:t xml:space="preserve">Admin Users Panel (Users.svelte + UserList.svelte)</w:t>
      </w:r>
    </w:p>
    <w:p>
      <w:pPr>
        <w:spacing w:after="160"/>
      </w:pPr>
      <w:r>
        <w:rPr>
          <w:rFonts w:ascii="Arial" w:cs="Arial" w:eastAsia="Arial" w:hAnsi="Arial"/>
          <w:sz w:val="22"/>
          <w:szCs w:val="22"/>
        </w:rPr>
        <w:t xml:space="preserve">Added a "Guests" tab to the admin user management panel. The Overview tab now excludes guests (passes excludeRoles=["guest"]), while the new Guests tab shows only guests (passes filterRole="guest"). UserList.svelte builds the appropriate roles query parameter for the API call.</w:t>
      </w:r>
    </w:p>
    <w:p>
      <w:pPr>
        <w:pStyle w:val="Heading3"/>
        <w:spacing w:after="120" w:before="200"/>
      </w:pPr>
      <w:r>
        <w:rPr>
          <w:rFonts w:ascii="Arial" w:cs="Arial" w:eastAsia="Arial" w:hAnsi="Arial"/>
          <w:b/>
          <w:bCs/>
          <w:color w:val="3D7AB5"/>
          <w:sz w:val="22"/>
          <w:szCs w:val="22"/>
        </w:rPr>
        <w:t xml:space="preserve">API Wrappers (auths/index.ts, configs/index.ts, users/index.ts)</w:t>
      </w:r>
    </w:p>
    <w:p>
      <w:pPr>
        <w:spacing w:after="160"/>
      </w:pPr>
      <w:r>
        <w:rPr>
          <w:rFonts w:ascii="Arial" w:cs="Arial" w:eastAsia="Arial" w:hAnsi="Arial"/>
          <w:sz w:val="22"/>
          <w:szCs w:val="22"/>
        </w:rPr>
        <w:t xml:space="preserve">New TypeScript functions: userGuestSignIn(email), getRegosConfig(), updateRegosConfig(), getRegosGuestStatus(). Modified getUsers() to accept and pass roles filter parameter.</w:t>
      </w:r>
    </w:p>
    <w:p>
      <w:pPr>
        <w:pStyle w:val="Heading2"/>
        <w:spacing w:after="160" w:before="280"/>
      </w:pPr>
      <w:r>
        <w:rPr>
          <w:rFonts w:ascii="Arial" w:cs="Arial" w:eastAsia="Arial" w:hAnsi="Arial"/>
          <w:b/>
          <w:bCs/>
          <w:color w:val="2E5984"/>
          <w:sz w:val="26"/>
          <w:szCs w:val="26"/>
        </w:rPr>
        <w:t xml:space="preserve">6.3 New Files</w:t>
      </w:r>
    </w:p>
    <w:p>
      <w:pPr>
        <w:pStyle w:val="Heading3"/>
        <w:spacing w:after="120" w:before="200"/>
      </w:pPr>
      <w:r>
        <w:rPr>
          <w:rFonts w:ascii="Arial" w:cs="Arial" w:eastAsia="Arial" w:hAnsi="Arial"/>
          <w:b/>
          <w:bCs/>
          <w:color w:val="3D7AB5"/>
          <w:sz w:val="22"/>
          <w:szCs w:val="22"/>
        </w:rPr>
        <w:t xml:space="preserve">RegOSDisclaimerModal.svelte</w:t>
      </w:r>
    </w:p>
    <w:p>
      <w:pPr>
        <w:spacing w:after="160"/>
      </w:pPr>
      <w:r>
        <w:rPr>
          <w:rFonts w:ascii="Arial" w:cs="Arial" w:eastAsia="Arial" w:hAnsi="Arial"/>
          <w:sz w:val="22"/>
          <w:szCs w:val="22"/>
        </w:rPr>
        <w:t xml:space="preserve">One-time onboarding disclaimer modal. Shows on first login. Admin-configurable title, body (supports markdown), and accept button label. Default disclaimer explains that RegOS is an AI assistant providing regulatory guidance, not licensed professional advice. Persists acknowledgment in user settings via regosDisclaimerAcked flag.</w:t>
      </w:r>
    </w:p>
    <w:p>
      <w:pPr>
        <w:pStyle w:val="Heading3"/>
        <w:spacing w:after="120" w:before="200"/>
      </w:pPr>
      <w:r>
        <w:rPr>
          <w:rFonts w:ascii="Arial" w:cs="Arial" w:eastAsia="Arial" w:hAnsi="Arial"/>
          <w:b/>
          <w:bCs/>
          <w:color w:val="3D7AB5"/>
          <w:sz w:val="22"/>
          <w:szCs w:val="22"/>
        </w:rPr>
        <w:t xml:space="preserve">RegOS.svelte (Admin Settings Panel)</w:t>
      </w:r>
    </w:p>
    <w:p>
      <w:pPr>
        <w:spacing w:after="160"/>
      </w:pPr>
      <w:r>
        <w:rPr>
          <w:rFonts w:ascii="Arial" w:cs="Arial" w:eastAsia="Arial" w:hAnsi="Arial"/>
          <w:sz w:val="22"/>
          <w:szCs w:val="22"/>
        </w:rPr>
        <w:t xml:space="preserve">Full admin settings page with three sections: Onboarding Disclaimer (toggle, title, body with markdown preview, accept label), Guest Access (toggle, show button toggle, message limit 1-100, generation limit 1-500, session TTL in seconds), and Confidence Display (toggle, style select, high/medium thresholds).</w:t>
      </w:r>
    </w:p>
    <w:p>
      <w:pPr>
        <w:pStyle w:val="Heading3"/>
        <w:spacing w:after="120" w:before="200"/>
      </w:pPr>
      <w:r>
        <w:rPr>
          <w:rFonts w:ascii="Arial" w:cs="Arial" w:eastAsia="Arial" w:hAnsi="Arial"/>
          <w:b/>
          <w:bCs/>
          <w:color w:val="3D7AB5"/>
          <w:sz w:val="22"/>
          <w:szCs w:val="22"/>
        </w:rPr>
        <w:t xml:space="preserve">admin/regos/+page.svelte</w:t>
      </w:r>
    </w:p>
    <w:p>
      <w:pPr>
        <w:spacing w:after="160"/>
      </w:pPr>
      <w:r>
        <w:rPr>
          <w:rFonts w:ascii="Arial" w:cs="Arial" w:eastAsia="Arial" w:hAnsi="Arial"/>
          <w:sz w:val="22"/>
          <w:szCs w:val="22"/>
        </w:rPr>
        <w:t xml:space="preserve">Route wrapper for the admin settings page, accessible at /admin/regos.</w:t>
      </w:r>
    </w:p>
    <w:p>
      <w:r>
        <w:br w:type="page"/>
      </w:r>
    </w:p>
    <w:p>
      <w:pPr>
        <w:pStyle w:val="Heading1"/>
        <w:spacing w:after="200" w:before="360"/>
      </w:pPr>
      <w:r>
        <w:rPr>
          <w:rFonts w:ascii="Arial" w:cs="Arial" w:eastAsia="Arial" w:hAnsi="Arial"/>
          <w:b/>
          <w:bCs/>
          <w:color w:val="1B3A5C"/>
          <w:sz w:val="32"/>
          <w:szCs w:val="32"/>
        </w:rPr>
        <w:t xml:space="preserve">7. Source Patcher System</w:t>
      </w:r>
    </w:p>
    <w:p>
      <w:pPr>
        <w:spacing w:after="160"/>
      </w:pPr>
      <w:r>
        <w:rPr>
          <w:rFonts w:ascii="Arial" w:cs="Arial" w:eastAsia="Arial" w:hAnsi="Arial"/>
          <w:sz w:val="22"/>
          <w:szCs w:val="22"/>
        </w:rPr>
        <w:t xml:space="preserve">Because the Open WebUI fork needs to be rebuildable from a clean upstream clone, the regos-installer repository contains a Python-based source patcher (apply-patches.py, 1,209 lines) that can apply all modifications programmatically.</w:t>
      </w:r>
    </w:p>
    <w:p>
      <w:pPr>
        <w:pStyle w:val="Heading2"/>
        <w:spacing w:after="160" w:before="280"/>
      </w:pPr>
      <w:r>
        <w:rPr>
          <w:rFonts w:ascii="Arial" w:cs="Arial" w:eastAsia="Arial" w:hAnsi="Arial"/>
          <w:b/>
          <w:bCs/>
          <w:color w:val="2E5984"/>
          <w:sz w:val="26"/>
          <w:szCs w:val="26"/>
        </w:rPr>
        <w:t xml:space="preserve">7.1 How It Works</w:t>
      </w:r>
    </w:p>
    <w:p>
      <w:pPr>
        <w:spacing w:after="160"/>
      </w:pPr>
      <w:r>
        <w:rPr>
          <w:rFonts w:ascii="Arial" w:cs="Arial" w:eastAsia="Arial" w:hAnsi="Arial"/>
          <w:sz w:val="22"/>
          <w:szCs w:val="22"/>
        </w:rPr>
        <w:t xml:space="preserve">The patcher uses simple string matching to find specific code patterns in Open WebUI’s source files and replaces or injects code at the right locations. Every patch function is idempotent — it checks for existing markers before applying, making it safe to re-run.</w:t>
      </w:r>
    </w:p>
    <w:p>
      <w:pPr>
        <w:spacing w:after="160"/>
      </w:pPr>
      <w:r>
        <w:rPr>
          <w:rFonts w:ascii="Arial" w:cs="Arial" w:eastAsia="Arial" w:hAnsi="Arial"/>
          <w:sz w:val="22"/>
          <w:szCs w:val="22"/>
        </w:rPr>
        <w:t xml:space="preserve">The patcher also copies 3 new Svelte component files from source-patches/new/ into the source tree.</w:t>
      </w:r>
    </w:p>
    <w:p>
      <w:pPr>
        <w:pStyle w:val="Heading2"/>
        <w:spacing w:after="160" w:before="280"/>
      </w:pPr>
      <w:r>
        <w:rPr>
          <w:rFonts w:ascii="Arial" w:cs="Arial" w:eastAsia="Arial" w:hAnsi="Arial"/>
          <w:b/>
          <w:bCs/>
          <w:color w:val="2E5984"/>
          <w:sz w:val="26"/>
          <w:szCs w:val="26"/>
        </w:rPr>
        <w:t xml:space="preserve">7.2 All 15 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Patch Function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patch_backend_config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Injects 11 PersistentConfig variables for RegOS settings</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patch_backend_main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Wires config variables into FastAPI app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patch_backend_configs_router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4 /configs/regos endpoints</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patch_frontend_configs_api</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Adds TypeScript API wrappers for RegOS config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patch_admin_layout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RegOS link to admin sidebar navigation</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patch_app_layout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Integrates disclaimer modal into app layout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patch_auth_page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guest signin button and email flow to login page</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patch_guest_endpoint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Injects POST /auths/guest endpoint into auths.py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patch_guest_api_frontend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userGuestSignIn() TypeScript function</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patch_users_api_roles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Adds roles filter parameter to GET /users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patch_users_frontend_api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Modifies getUsers() to pass roles query param</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patch_users_admin_guests_tab</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Adds Guests tab to admin user panel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patch_userlist_role_filter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filterRole and excludeRoles props to UserList</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patch_model_access_control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Includes "guest" role in model access filter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patch_requirements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neo4j to requirements.txt</w:t>
            </w:r>
          </w:p>
        </w:tc>
      </w:tr>
    </w:tbl>
    <w:p>
      <w:r>
        <w:br w:type="page"/>
      </w:r>
    </w:p>
    <w:p>
      <w:pPr>
        <w:pStyle w:val="Heading1"/>
        <w:spacing w:after="200" w:before="360"/>
      </w:pPr>
      <w:r>
        <w:rPr>
          <w:rFonts w:ascii="Arial" w:cs="Arial" w:eastAsia="Arial" w:hAnsi="Arial"/>
          <w:b/>
          <w:bCs/>
          <w:color w:val="1B3A5C"/>
          <w:sz w:val="32"/>
          <w:szCs w:val="32"/>
        </w:rPr>
        <w:t xml:space="preserve">8. System Prompt</w:t>
      </w:r>
    </w:p>
    <w:p>
      <w:pPr>
        <w:spacing w:after="160"/>
      </w:pPr>
      <w:r>
        <w:rPr>
          <w:rFonts w:ascii="Arial" w:cs="Arial" w:eastAsia="Arial" w:hAnsi="Arial"/>
          <w:sz w:val="22"/>
          <w:szCs w:val="22"/>
        </w:rPr>
        <w:t xml:space="preserve">The model is configured with a custom system prompt that defines RegOS’s persona as a "regulatory compliance copilot" for Miami-Dade County Chapter 24. The system prompt is pasted into the model’s System Prompt field in Open WebUI (Admin → Workspace → Models → Edit).</w:t>
      </w:r>
    </w:p>
    <w:p>
      <w:pPr>
        <w:pStyle w:val="Heading2"/>
        <w:spacing w:after="160" w:before="280"/>
      </w:pPr>
      <w:r>
        <w:rPr>
          <w:rFonts w:ascii="Arial" w:cs="Arial" w:eastAsia="Arial" w:hAnsi="Arial"/>
          <w:b/>
          <w:bCs/>
          <w:color w:val="2E5984"/>
          <w:sz w:val="26"/>
          <w:szCs w:val="26"/>
        </w:rPr>
        <w:t xml:space="preserve">8.1 Response Structure</w:t>
      </w:r>
    </w:p>
    <w:p>
      <w:pPr>
        <w:spacing w:after="160"/>
      </w:pPr>
      <w:r>
        <w:rPr>
          <w:rFonts w:ascii="Arial" w:cs="Arial" w:eastAsia="Arial" w:hAnsi="Arial"/>
          <w:sz w:val="22"/>
          <w:szCs w:val="22"/>
        </w:rPr>
        <w:t xml:space="preserve">For every regulatory question, the system prompt enforces a structured response format:</w:t>
      </w:r>
    </w:p>
    <w:p>
      <w:pPr>
        <w:pStyle w:val="ListParagraph"/>
        <w:numPr>
          <w:ilvl w:val="0"/>
          <w:numId w:val="2"/>
        </w:numPr>
        <w:spacing w:after="80"/>
      </w:pPr>
      <w:r>
        <w:rPr>
          <w:rFonts w:ascii="Arial" w:cs="Arial" w:eastAsia="Arial" w:hAnsi="Arial"/>
          <w:b/>
          <w:bCs/>
          <w:sz w:val="22"/>
          <w:szCs w:val="22"/>
        </w:rPr>
        <w:t xml:space="preserve">Summary:</w:t>
      </w:r>
      <w:r>
        <w:rPr>
          <w:rFonts w:ascii="Arial" w:cs="Arial" w:eastAsia="Arial" w:hAnsi="Arial"/>
          <w:sz w:val="22"/>
          <w:szCs w:val="22"/>
        </w:rPr>
        <w:t xml:space="preserve"> One paragraph, plain English. A citizen should understand it. A consultant should be able to act on it immediately.</w:t>
      </w:r>
    </w:p>
    <w:p>
      <w:pPr>
        <w:pStyle w:val="ListParagraph"/>
        <w:numPr>
          <w:ilvl w:val="0"/>
          <w:numId w:val="2"/>
        </w:numPr>
        <w:spacing w:after="80"/>
      </w:pPr>
      <w:r>
        <w:rPr>
          <w:rFonts w:ascii="Arial" w:cs="Arial" w:eastAsia="Arial" w:hAnsi="Arial"/>
          <w:b/>
          <w:bCs/>
          <w:sz w:val="22"/>
          <w:szCs w:val="22"/>
        </w:rPr>
        <w:t xml:space="preserve">Regulatory Analysis:</w:t>
      </w:r>
      <w:r>
        <w:rPr>
          <w:rFonts w:ascii="Arial" w:cs="Arial" w:eastAsia="Arial" w:hAnsi="Arial"/>
          <w:sz w:val="22"/>
          <w:szCs w:val="22"/>
        </w:rPr>
        <w:t xml:space="preserve"> Detailed findings with citations using [G1], [G2] markers for graph-retrieved sections and KB source markers for Knowledge Base content.</w:t>
      </w:r>
    </w:p>
    <w:p>
      <w:pPr>
        <w:pStyle w:val="ListParagraph"/>
        <w:numPr>
          <w:ilvl w:val="0"/>
          <w:numId w:val="2"/>
        </w:numPr>
        <w:spacing w:after="80"/>
      </w:pPr>
      <w:r>
        <w:rPr>
          <w:rFonts w:ascii="Arial" w:cs="Arial" w:eastAsia="Arial" w:hAnsi="Arial"/>
          <w:b/>
          <w:bCs/>
          <w:sz w:val="22"/>
          <w:szCs w:val="22"/>
        </w:rPr>
        <w:t xml:space="preserve">Applicable Sections:</w:t>
      </w:r>
      <w:r>
        <w:rPr>
          <w:rFonts w:ascii="Arial" w:cs="Arial" w:eastAsia="Arial" w:hAnsi="Arial"/>
          <w:sz w:val="22"/>
          <w:szCs w:val="22"/>
        </w:rPr>
        <w:t xml:space="preserve"> Markdown table with columns: Ref, Section, Relevance.</w:t>
      </w:r>
    </w:p>
    <w:p>
      <w:pPr>
        <w:pStyle w:val="ListParagraph"/>
        <w:numPr>
          <w:ilvl w:val="0"/>
          <w:numId w:val="2"/>
        </w:numPr>
        <w:spacing w:after="80"/>
      </w:pPr>
      <w:r>
        <w:rPr>
          <w:rFonts w:ascii="Arial" w:cs="Arial" w:eastAsia="Arial" w:hAnsi="Arial"/>
          <w:b/>
          <w:bCs/>
          <w:sz w:val="22"/>
          <w:szCs w:val="22"/>
        </w:rPr>
        <w:t xml:space="preserve">What You Need To Do:</w:t>
      </w:r>
      <w:r>
        <w:rPr>
          <w:rFonts w:ascii="Arial" w:cs="Arial" w:eastAsia="Arial" w:hAnsi="Arial"/>
          <w:sz w:val="22"/>
          <w:szCs w:val="22"/>
        </w:rPr>
        <w:t xml:space="preserve"> Actionable checklist with concrete actions (submit forms, meet limits, obtain permits).</w:t>
      </w:r>
    </w:p>
    <w:p>
      <w:pPr>
        <w:pStyle w:val="ListParagraph"/>
        <w:numPr>
          <w:ilvl w:val="0"/>
          <w:numId w:val="2"/>
        </w:numPr>
        <w:spacing w:after="80"/>
      </w:pPr>
      <w:r>
        <w:rPr>
          <w:rFonts w:ascii="Arial" w:cs="Arial" w:eastAsia="Arial" w:hAnsi="Arial"/>
          <w:b/>
          <w:bCs/>
          <w:sz w:val="22"/>
          <w:szCs w:val="22"/>
        </w:rPr>
        <w:t xml:space="preserve">Gaps &amp; Limitations:</w:t>
      </w:r>
      <w:r>
        <w:rPr>
          <w:rFonts w:ascii="Arial" w:cs="Arial" w:eastAsia="Arial" w:hAnsi="Arial"/>
          <w:sz w:val="22"/>
          <w:szCs w:val="22"/>
        </w:rPr>
        <w:t xml:space="preserve"> Explicitly states what the response does NOT cover. Never skipped.</w:t>
      </w:r>
    </w:p>
    <w:p>
      <w:pPr>
        <w:pStyle w:val="Heading2"/>
        <w:spacing w:after="160" w:before="280"/>
      </w:pPr>
      <w:r>
        <w:rPr>
          <w:rFonts w:ascii="Arial" w:cs="Arial" w:eastAsia="Arial" w:hAnsi="Arial"/>
          <w:b/>
          <w:bCs/>
          <w:color w:val="2E5984"/>
          <w:sz w:val="26"/>
          <w:szCs w:val="26"/>
        </w:rPr>
        <w:t xml:space="preserve">8.2 Three Personas</w:t>
      </w:r>
    </w:p>
    <w:p>
      <w:pPr>
        <w:pStyle w:val="ListParagraph"/>
        <w:numPr>
          <w:ilvl w:val="0"/>
          <w:numId w:val="2"/>
        </w:numPr>
        <w:spacing w:after="80"/>
      </w:pPr>
      <w:r>
        <w:rPr>
          <w:rFonts w:ascii="Arial" w:cs="Arial" w:eastAsia="Arial" w:hAnsi="Arial"/>
          <w:b/>
          <w:bCs/>
          <w:sz w:val="22"/>
          <w:szCs w:val="22"/>
        </w:rPr>
        <w:t xml:space="preserve">Citizens / Business Applicants:</w:t>
      </w:r>
      <w:r>
        <w:rPr>
          <w:rFonts w:ascii="Arial" w:cs="Arial" w:eastAsia="Arial" w:hAnsi="Arial"/>
          <w:sz w:val="22"/>
          <w:szCs w:val="22"/>
        </w:rPr>
        <w:t xml:space="preserve"> Non-experts who need plain-language guidance and next steps.</w:t>
      </w:r>
    </w:p>
    <w:p>
      <w:pPr>
        <w:pStyle w:val="ListParagraph"/>
        <w:numPr>
          <w:ilvl w:val="0"/>
          <w:numId w:val="2"/>
        </w:numPr>
        <w:spacing w:after="80"/>
      </w:pPr>
      <w:r>
        <w:rPr>
          <w:rFonts w:ascii="Arial" w:cs="Arial" w:eastAsia="Arial" w:hAnsi="Arial"/>
          <w:b/>
          <w:bCs/>
          <w:sz w:val="22"/>
          <w:szCs w:val="22"/>
        </w:rPr>
        <w:t xml:space="preserve">Consultants / Expert Preparers:</w:t>
      </w:r>
      <w:r>
        <w:rPr>
          <w:rFonts w:ascii="Arial" w:cs="Arial" w:eastAsia="Arial" w:hAnsi="Arial"/>
          <w:sz w:val="22"/>
          <w:szCs w:val="22"/>
        </w:rPr>
        <w:t xml:space="preserve"> Professionals who need speed, accuracy, actionable checklists, and full traceability.</w:t>
      </w:r>
    </w:p>
    <w:p>
      <w:pPr>
        <w:pStyle w:val="ListParagraph"/>
        <w:numPr>
          <w:ilvl w:val="0"/>
          <w:numId w:val="2"/>
        </w:numPr>
        <w:spacing w:after="80"/>
      </w:pPr>
      <w:r>
        <w:rPr>
          <w:rFonts w:ascii="Arial" w:cs="Arial" w:eastAsia="Arial" w:hAnsi="Arial"/>
          <w:b/>
          <w:bCs/>
          <w:sz w:val="22"/>
          <w:szCs w:val="22"/>
        </w:rPr>
        <w:t xml:space="preserve">Regulators / Reviewers:</w:t>
      </w:r>
      <w:r>
        <w:rPr>
          <w:rFonts w:ascii="Arial" w:cs="Arial" w:eastAsia="Arial" w:hAnsi="Arial"/>
          <w:sz w:val="22"/>
          <w:szCs w:val="22"/>
        </w:rPr>
        <w:t xml:space="preserve"> Authorities who need transparency, verification, and audit trails.</w:t>
      </w:r>
    </w:p>
    <w:p>
      <w:pPr>
        <w:pStyle w:val="Heading2"/>
        <w:spacing w:after="160" w:before="280"/>
      </w:pPr>
      <w:r>
        <w:rPr>
          <w:rFonts w:ascii="Arial" w:cs="Arial" w:eastAsia="Arial" w:hAnsi="Arial"/>
          <w:b/>
          <w:bCs/>
          <w:color w:val="2E5984"/>
          <w:sz w:val="26"/>
          <w:szCs w:val="26"/>
        </w:rPr>
        <w:t xml:space="preserve">8.3 Key Rules</w:t>
      </w:r>
    </w:p>
    <w:p>
      <w:pPr>
        <w:pStyle w:val="ListParagraph"/>
        <w:numPr>
          <w:ilvl w:val="0"/>
          <w:numId w:val="2"/>
        </w:numPr>
        <w:spacing w:after="80"/>
      </w:pPr>
      <w:r>
        <w:rPr>
          <w:rFonts w:ascii="Arial" w:cs="Arial" w:eastAsia="Arial" w:hAnsi="Arial"/>
          <w:sz w:val="22"/>
          <w:szCs w:val="22"/>
        </w:rPr>
        <w:t xml:space="preserve">Every factual claim about a regulation must have a citation. No exceptions.</w:t>
      </w:r>
    </w:p>
    <w:p>
      <w:pPr>
        <w:pStyle w:val="ListParagraph"/>
        <w:numPr>
          <w:ilvl w:val="0"/>
          <w:numId w:val="2"/>
        </w:numPr>
        <w:spacing w:after="80"/>
      </w:pPr>
      <w:r>
        <w:rPr>
          <w:rFonts w:ascii="Arial" w:cs="Arial" w:eastAsia="Arial" w:hAnsi="Arial"/>
          <w:sz w:val="22"/>
          <w:szCs w:val="22"/>
        </w:rPr>
        <w:t xml:space="preserve">Exact statutory language must be quoted for numerical limits, deadlines, or definitions.</w:t>
      </w:r>
    </w:p>
    <w:p>
      <w:pPr>
        <w:pStyle w:val="ListParagraph"/>
        <w:numPr>
          <w:ilvl w:val="0"/>
          <w:numId w:val="2"/>
        </w:numPr>
        <w:spacing w:after="80"/>
      </w:pPr>
      <w:r>
        <w:rPr>
          <w:rFonts w:ascii="Arial" w:cs="Arial" w:eastAsia="Arial" w:hAnsi="Arial"/>
          <w:sz w:val="22"/>
          <w:szCs w:val="22"/>
        </w:rPr>
        <w:t xml:space="preserve">Scope is restricted to Miami-Dade County Chapter 24 only. Out-of-scope queries receive a structured refusal.</w:t>
      </w:r>
    </w:p>
    <w:p>
      <w:pPr>
        <w:pStyle w:val="ListParagraph"/>
        <w:numPr>
          <w:ilvl w:val="0"/>
          <w:numId w:val="2"/>
        </w:numPr>
        <w:spacing w:after="80"/>
      </w:pPr>
      <w:r>
        <w:rPr>
          <w:rFonts w:ascii="Arial" w:cs="Arial" w:eastAsia="Arial" w:hAnsi="Arial"/>
          <w:sz w:val="22"/>
          <w:szCs w:val="22"/>
        </w:rPr>
        <w:t xml:space="preserve">Threshold evaluation data (COMPLIANT/BREACH/BORDERLINE) takes precedence over any conflicting interpretation from the regulatory text.</w:t>
      </w:r>
    </w:p>
    <w:p>
      <w:pPr>
        <w:pStyle w:val="ListParagraph"/>
        <w:numPr>
          <w:ilvl w:val="0"/>
          <w:numId w:val="2"/>
        </w:numPr>
        <w:spacing w:after="80"/>
      </w:pPr>
      <w:r>
        <w:rPr>
          <w:rFonts w:ascii="Arial" w:cs="Arial" w:eastAsia="Arial" w:hAnsi="Arial"/>
          <w:sz w:val="22"/>
          <w:szCs w:val="22"/>
        </w:rPr>
        <w:t xml:space="preserve">Conversational queries (greetings, small talk) receive natural responses without the structured format.</w:t>
      </w:r>
    </w:p>
    <w:p>
      <w:r>
        <w:br w:type="page"/>
      </w:r>
    </w:p>
    <w:p>
      <w:pPr>
        <w:pStyle w:val="Heading1"/>
        <w:spacing w:after="200" w:before="360"/>
      </w:pPr>
      <w:r>
        <w:rPr>
          <w:rFonts w:ascii="Arial" w:cs="Arial" w:eastAsia="Arial" w:hAnsi="Arial"/>
          <w:b/>
          <w:bCs/>
          <w:color w:val="1B3A5C"/>
          <w:sz w:val="32"/>
          <w:szCs w:val="32"/>
        </w:rPr>
        <w:t xml:space="preserve">9.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Compose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container, named volume for persistence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FastAPI (Python 3.11)</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Async, serves API + static frontend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SvelteKit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Compiled at build time, served by FastAPI</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Core Platform</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 WebUI (forked)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 files modified, 3 added, 15 patches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Graph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Aura (cloud)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 schema v0.17.3, 226 MB graph export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LLM Provider (current)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OpenRouter</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Multi-model access (Gemini, Claude, GPT, etc.) for demo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Inference (endgame)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RunPod (self-hosted)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Fine-tuned model on GPU pods, bundled with Open WebUI</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Vector Database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ChromaDB (embedded)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 embeddings for KB RAG, stored in Docker volume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all-MiniLM-L6-v2, runs locally in container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Primary Database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SQLite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webui.db (core), audit.db (audit), regos_breaches.db (thresholds)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workflow (6 nodes)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Telemetry Source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APAS/123SCADA</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JWT-authenticated REST polling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24 (Miami-Dade)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 thresholds, 92 parameters, graph + fulltext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360"/>
      </w:tabs>
    </w:pPr>
    <w:r>
      <w:rPr>
        <w:rFonts w:ascii="Arial" w:cs="Arial" w:eastAsia="Arial" w:hAnsi="Arial"/>
        <w:b/>
        <w:bCs/>
        <w:color w:val="1B3A5C"/>
        <w:sz w:val="18"/>
        <w:szCs w:val="18"/>
      </w:rPr>
      <w:t xml:space="preserve">RegOS Architecture</w:t>
    </w:r>
    <w:r>
      <w:rPr>
        <w:rFonts w:ascii="Arial" w:cs="Arial" w:eastAsia="Arial" w:hAnsi="Arial"/>
        <w:color w:val="999999"/>
        <w:sz w:val="16"/>
        <w:szCs w:val="16"/>
      </w:rPr>
      <w:t xml:space="preserve">	APAS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2026-03-11T13:51:09.552Z</dcterms:created>
  <dcterms:modified xsi:type="dcterms:W3CDTF">2026-03-11T13:51:09.552Z</dcterms:modified>
</cp:coreProperties>
</file>

<file path=docProps/custom.xml><?xml version="1.0" encoding="utf-8"?>
<Properties xmlns="http://schemas.openxmlformats.org/officeDocument/2006/custom-properties" xmlns:vt="http://schemas.openxmlformats.org/officeDocument/2006/docPropsVTypes"/>
</file>