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72"/>
          <w:szCs w:val="72"/>
        </w:rPr>
        <w:t xml:space="preserve">RegOS</w:t>
      </w:r>
    </w:p>
    <w:p>
      <w:pPr>
        <w:spacing w:after="120"/>
        <w:jc w:val="center"/>
      </w:pPr>
      <w:r>
        <w:rPr>
          <w:rFonts w:ascii="Arial" w:cs="Arial" w:eastAsia="Arial" w:hAnsi="Arial"/>
          <w:color w:val="2E86C1"/>
          <w:sz w:val="36"/>
          <w:szCs w:val="36"/>
        </w:rPr>
        <w:t xml:space="preserve">Regulatory Compliance Copilot</w:t>
      </w:r>
    </w:p>
    <w:p>
      <w:pPr>
        <w:spacing w:after="400"/>
        <w:jc w:val="center"/>
      </w:pPr>
      <w:r>
        <w:rPr>
          <w:rFonts w:ascii="Arial" w:cs="Arial" w:eastAsia="Arial" w:hAnsi="Arial"/>
          <w:i/>
          <w:iCs/>
          <w:color w:val="7F8C8D"/>
          <w:sz w:val="28"/>
          <w:szCs w:val="28"/>
        </w:rPr>
        <w:t xml:space="preserve">Live Demo — Speaking Notes &amp; Real System Outputs</w:t>
      </w:r>
    </w:p>
    <w:p>
      <w:pPr>
        <w:spacing w:after="60"/>
      </w:pPr>
    </w:p>
    <w:p>
      <w:pPr>
        <w:pBdr>
          <w:top w:val="single" w:color="D5D8DC" w:sz="2" w:space="8"/>
        </w:pBdr>
        <w:spacing w:before="400" w:after="120"/>
        <w:jc w:val="center"/>
      </w:pPr>
      <w:r>
        <w:rPr>
          <w:rFonts w:ascii="Arial" w:cs="Arial" w:eastAsia="Arial" w:hAnsi="Arial"/>
          <w:color w:val="566573"/>
          <w:sz w:val="22"/>
          <w:szCs w:val="22"/>
        </w:rPr>
        <w:t xml:space="preserve">Duration: ~15 minutes  |  Presenter: APAS Team</w:t>
      </w:r>
    </w:p>
    <w:p>
      <w:pPr>
        <w:spacing w:after="120"/>
        <w:jc w:val="center"/>
      </w:pPr>
      <w:r>
        <w:rPr>
          <w:rFonts w:ascii="Arial" w:cs="Arial" w:eastAsia="Arial" w:hAnsi="Arial"/>
          <w:color w:val="566573"/>
          <w:sz w:val="22"/>
          <w:szCs w:val="22"/>
        </w:rPr>
        <w:t xml:space="preserve">System: Open WebUI + GraphRAG Filter v0.17.3 + Neo4j FEA Graph</w:t>
      </w:r>
    </w:p>
    <w:p>
      <w:pPr>
        <w:spacing w:after="120"/>
        <w:jc w:val="center"/>
      </w:pPr>
      <w:r>
        <w:rPr>
          <w:rFonts w:ascii="Arial" w:cs="Arial" w:eastAsia="Arial" w:hAnsi="Arial"/>
          <w:color w:val="566573"/>
          <w:sz w:val="22"/>
          <w:szCs w:val="22"/>
        </w:rPr>
        <w:t xml:space="preserve">All outputs in this script are real — captured from the live system on 27 Feb 2026</w:t>
      </w:r>
    </w:p>
    <w:p>
      <w:pPr>
        <w:spacing w:after="60"/>
      </w:pPr>
    </w:p>
    <w:p>
      <w:pPr>
        <w:spacing w:after="60"/>
      </w:pPr>
    </w:p>
    <w:p>
      <w:pPr>
        <w:jc w:val="center"/>
      </w:pPr>
      <w:r>
        <w:rPr>
          <w:rFonts w:ascii="Arial" w:cs="Arial" w:eastAsia="Arial" w:hAnsi="Arial"/>
          <w:b/>
          <w:bCs/>
          <w:color w:val="922B21"/>
          <w:sz w:val="20"/>
          <w:szCs w:val="20"/>
        </w:rPr>
        <w:t xml:space="preserve">CONFIDENTIAL — Internal Use Only</w:t>
      </w:r>
    </w:p>
    <w:p>
      <w:r>
        <w:br w:type="page"/>
      </w:r>
    </w:p>
    <w:p>
      <w:pPr>
        <w:pStyle w:val="Heading1"/>
      </w:pPr>
      <w:r>
        <w:rPr>
          <w:b/>
          <w:bCs/>
        </w:rPr>
        <w:t xml:space="preserve">The Problem We’re Solving</w:t>
      </w:r>
    </w:p>
    <w:p>
      <w:pPr>
        <w:spacing w:after="80"/>
        <w:jc w:val="right"/>
      </w:pPr>
      <w:r>
        <w:rPr>
          <w:rFonts w:ascii="Arial" w:cs="Arial" w:eastAsia="Arial" w:hAnsi="Arial"/>
          <w:i/>
          <w:iCs/>
          <w:color w:val="7F8C8D"/>
          <w:sz w:val="20"/>
          <w:szCs w:val="20"/>
        </w:rPr>
        <w:t xml:space="preserve">⏱ Start here — context before opening any screens</w:t>
      </w: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“Every environmental compliance team in Florida deals with the same pain. Chapter 24 of the Miami-Dade County Code is 200+ pages of dense regulatory text. When someone asks a question, the answer is buried across multiple sections that use different terminology. Standard AI chat tools use text search to find answers — they match words, not concepts. I’m going to show you exactly where that breaks down, and what we built to fix it.”</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“I’ll run the same queries on both systems so you can see the difference side by side. Everything you’ll see is live — nothing is scripted or pre-recorded.”</w:t>
      </w:r>
    </w:p>
    <w:p>
      <w:r>
        <w:br w:type="page"/>
      </w:r>
    </w:p>
    <w:p>
      <w:pPr>
        <w:pStyle w:val="Heading1"/>
      </w:pPr>
      <w:r>
        <w:rPr>
          <w:b/>
          <w:bCs/>
        </w:rPr>
        <w:t xml:space="preserve">Act 1: The Headline Comparison</w:t>
      </w:r>
    </w:p>
    <w:p>
      <w:pPr>
        <w:spacing w:after="80"/>
        <w:jc w:val="right"/>
      </w:pPr>
      <w:r>
        <w:rPr>
          <w:rFonts w:ascii="Arial" w:cs="Arial" w:eastAsia="Arial" w:hAnsi="Arial"/>
          <w:i/>
          <w:iCs/>
          <w:color w:val="7F8C8D"/>
          <w:sz w:val="20"/>
          <w:szCs w:val="20"/>
        </w:rPr>
        <w:t xml:space="preserve">⏱ ~3 minutes</w:t>
      </w:r>
    </w:p>
    <w:p>
      <w:pPr>
        <w:spacing w:after="120"/>
        <w:rPr>
          <w:b/>
          <w:bCs/>
          <w:sz w:val="24"/>
          <w:szCs w:val="24"/>
        </w:rPr>
      </w:pPr>
      <w:r>
        <w:rPr>
          <w:rFonts w:ascii="Arial" w:cs="Arial" w:eastAsia="Arial" w:hAnsi="Arial"/>
          <w:b/>
          <w:bCs/>
          <w:sz w:val="24"/>
          <w:szCs w:val="24"/>
        </w:rPr>
        <w:t xml:space="preserve">Query: “What treatment standards apply to facilities near the Everglades?”</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Run on baseline system (Knowledge Base only) first.</w:t>
      </w:r>
    </w:p>
    <w:p>
      <w:pPr>
        <w:spacing w:after="60"/>
      </w:pPr>
    </w:p>
    <w:p>
      <w:pPr>
        <w:pStyle w:val="Heading3"/>
      </w:pPr>
      <w:r>
        <w:rPr>
          <w:b/>
          <w:bCs/>
        </w:rPr>
        <w:t xml:space="preserve">What the baseline returns:</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Facilities near the Everglades must comply with the Bird Drive</w:t>
      </w:r>
    </w:p>
    <w:p>
      <w:pPr>
        <w:spacing w:after="40"/>
        <w:ind w:left="240"/>
      </w:pPr>
      <w:r>
        <w:rPr>
          <w:rFonts w:ascii="Consolas" w:cs="Consolas" w:eastAsia="Consolas" w:hAnsi="Consolas"/>
          <w:color w:val="2C3E50"/>
          <w:sz w:val="19"/>
          <w:szCs w:val="19"/>
        </w:rPr>
        <w:t xml:space="preserve">Everglades Basin Fill Encroachment and Water Management Criteria...</w:t>
      </w:r>
    </w:p>
    <w:p>
      <w:pPr>
        <w:spacing w:after="40"/>
        <w:ind w:left="240"/>
      </w:pPr>
      <w:r>
        <w:rPr>
          <w:rFonts w:ascii="Consolas" w:cs="Consolas" w:eastAsia="Consolas" w:hAnsi="Consolas"/>
          <w:color w:val="2C3E50"/>
          <w:sz w:val="19"/>
          <w:szCs w:val="19"/>
        </w:rPr>
        <w:t xml:space="preserve">must obtain written approval under Sections 24-15 and 24-42...</w:t>
      </w:r>
    </w:p>
    <w:p>
      <w:pPr>
        <w:spacing w:after="40"/>
        <w:ind w:left="240"/>
      </w:pPr>
      <w:r>
        <w:rPr>
          <w:rFonts w:ascii="Consolas" w:cs="Consolas" w:eastAsia="Consolas" w:hAnsi="Consolas"/>
          <w:color w:val="2C3E50"/>
          <w:sz w:val="19"/>
          <w:szCs w:val="19"/>
        </w:rPr>
        <w:t xml:space="preserve">Outfalls must extend to the channel of a stream or deep water</w:t>
      </w:r>
    </w:p>
    <w:p>
      <w:pPr>
        <w:spacing w:after="40"/>
        <w:ind w:left="240"/>
      </w:pPr>
      <w:r>
        <w:rPr>
          <w:rFonts w:ascii="Consolas" w:cs="Consolas" w:eastAsia="Consolas" w:hAnsi="Consolas"/>
          <w:color w:val="2C3E50"/>
          <w:sz w:val="19"/>
          <w:szCs w:val="19"/>
        </w:rPr>
        <w:t xml:space="preserve">to prevent pollutant deposition on shores (Sec. 24-15.3(2))...</w:t>
      </w:r>
    </w:p>
    <w:p>
      <w:pPr>
        <w:spacing w:after="40"/>
        <w:ind w:left="240"/>
      </w:pPr>
      <w:r>
        <w:rPr>
          <w:rFonts w:ascii="Consolas" w:cs="Consolas" w:eastAsia="Consolas" w:hAnsi="Consolas"/>
          <w:color w:val="2C3E50"/>
          <w:sz w:val="19"/>
          <w:szCs w:val="19"/>
        </w:rPr>
        <w:t xml:space="preserve">Sewage treatment plants must be operated by licensed operators</w:t>
      </w:r>
    </w:p>
    <w:p>
      <w:pPr>
        <w:spacing w:after="40"/>
        <w:ind w:left="240"/>
      </w:pPr>
      <w:r>
        <w:rPr>
          <w:rFonts w:ascii="Consolas" w:cs="Consolas" w:eastAsia="Consolas" w:hAnsi="Consolas"/>
          <w:color w:val="2C3E50"/>
          <w:sz w:val="19"/>
          <w:szCs w:val="19"/>
        </w:rPr>
        <w:t xml:space="preserve">(class “C” or higher)...</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“Look at what it found. Sec. 24-15.3 is about plan preparation — which engineering manuals to follow. Sec. 24-48.2 is about fill encroachment criteria. It talks about licensed operators and outfall design. But not a single actual discharge limit. No numbers. A compliance officer asking ‘what limits must I meet?’ gets told to extend outfalls to deep water and hire a class C operator. That’s not wrong, but it’s not what they asked.”</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Now run the same query on RegOS (GraphRAG system).</w:t>
      </w:r>
    </w:p>
    <w:p>
      <w:pPr>
        <w:spacing w:after="60"/>
      </w:pPr>
    </w:p>
    <w:p>
      <w:pPr>
        <w:pStyle w:val="Heading3"/>
      </w:pPr>
      <w:r>
        <w:rPr>
          <w:b/>
          <w:bCs/>
        </w:rPr>
        <w:t xml:space="preserve">What RegOS returns:</w:t>
      </w:r>
    </w:p>
    <w:p>
      <w:pPr>
        <w:spacing w:after="40"/>
      </w:pPr>
      <w:r>
        <w:rPr>
          <w:rFonts w:ascii="Arial" w:cs="Arial" w:eastAsia="Arial" w:hAnsi="Arial"/>
          <w:b/>
          <w:bCs/>
          <w:color w:val="2E86C1"/>
          <w:sz w:val="20"/>
          <w:szCs w:val="20"/>
        </w:rPr>
        <w:t xml:space="preserve">GraphRAG Response (confidence: 80%):</w:t>
      </w:r>
    </w:p>
    <w:p>
      <w:pPr>
        <w:spacing w:after="40"/>
        <w:ind w:left="240"/>
      </w:pPr>
      <w:r>
        <w:rPr>
          <w:rFonts w:ascii="Consolas" w:cs="Consolas" w:eastAsia="Consolas" w:hAnsi="Consolas"/>
          <w:color w:val="2C3E50"/>
          <w:sz w:val="19"/>
          <w:szCs w:val="19"/>
        </w:rPr>
        <w:t xml:space="preserve">Tertiary treatment requirements — All new sewage treatment plants</w:t>
      </w:r>
    </w:p>
    <w:p>
      <w:pPr>
        <w:spacing w:after="40"/>
        <w:ind w:left="240"/>
      </w:pPr>
      <w:r>
        <w:rPr>
          <w:rFonts w:ascii="Consolas" w:cs="Consolas" w:eastAsia="Consolas" w:hAnsi="Consolas"/>
          <w:color w:val="2C3E50"/>
          <w:sz w:val="19"/>
          <w:szCs w:val="19"/>
        </w:rPr>
        <w:t xml:space="preserve">and industrial facilities must achieve:</w:t>
      </w:r>
    </w:p>
    <w:p>
      <w:pPr>
        <w:spacing w:after="40"/>
        <w:ind w:left="240"/>
      </w:pPr>
      <w:r>
        <w:rPr>
          <w:rFonts w:ascii="Consolas" w:cs="Consolas" w:eastAsia="Consolas" w:hAnsi="Consolas"/>
          <w:color w:val="2C3E50"/>
          <w:sz w:val="19"/>
          <w:szCs w:val="19"/>
        </w:rPr>
        <w:t xml:space="preserve">  • 95% removal of BOD, effluent ≤15.0 mg/l</w:t>
      </w:r>
    </w:p>
    <w:p>
      <w:pPr>
        <w:spacing w:after="40"/>
        <w:ind w:left="240"/>
      </w:pPr>
      <w:r>
        <w:rPr>
          <w:rFonts w:ascii="Consolas" w:cs="Consolas" w:eastAsia="Consolas" w:hAnsi="Consolas"/>
          <w:color w:val="2C3E50"/>
          <w:sz w:val="19"/>
          <w:szCs w:val="19"/>
        </w:rPr>
        <w:t xml:space="preserve">  • 95% removal of TSS, effluent ≤15.0 mg/l</w:t>
      </w:r>
    </w:p>
    <w:p>
      <w:pPr>
        <w:spacing w:after="40"/>
        <w:ind w:left="240"/>
      </w:pPr>
      <w:r>
        <w:rPr>
          <w:rFonts w:ascii="Consolas" w:cs="Consolas" w:eastAsia="Consolas" w:hAnsi="Consolas"/>
          <w:color w:val="2C3E50"/>
          <w:sz w:val="19"/>
          <w:szCs w:val="19"/>
        </w:rPr>
        <w:t xml:space="preserve">  • MBAS ≤3.0 mg/l</w:t>
      </w:r>
    </w:p>
    <w:p>
      <w:pPr>
        <w:spacing w:after="40"/>
        <w:ind w:left="240"/>
      </w:pPr>
      <w:r>
        <w:rPr>
          <w:rFonts w:ascii="Consolas" w:cs="Consolas" w:eastAsia="Consolas" w:hAnsi="Consolas"/>
          <w:color w:val="2C3E50"/>
          <w:sz w:val="19"/>
          <w:szCs w:val="19"/>
        </w:rPr>
        <w:t xml:space="preserve">  • Phosphorous ≤1.0 mg/l</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Bird Drive Everglades Wetland Basin — All work must be consistent</w:t>
      </w:r>
    </w:p>
    <w:p>
      <w:pPr>
        <w:spacing w:after="40"/>
        <w:ind w:left="240"/>
      </w:pPr>
      <w:r>
        <w:rPr>
          <w:rFonts w:ascii="Consolas" w:cs="Consolas" w:eastAsia="Consolas" w:hAnsi="Consolas"/>
          <w:color w:val="2C3E50"/>
          <w:sz w:val="19"/>
          <w:szCs w:val="19"/>
        </w:rPr>
        <w:t xml:space="preserve">with the Bird Drive Everglades Basin Plan [G1] (Sec. 24-48.21)</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Onsite Sewage Treatment Systems — Type 2/3/4 OSTDS standards [G4]</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Applicable sections: [G1] §24-48.21, [G2] §24-42.1,</w:t>
      </w:r>
    </w:p>
    <w:p>
      <w:pPr>
        <w:spacing w:after="40"/>
        <w:ind w:left="240"/>
      </w:pPr>
      <w:r>
        <w:rPr>
          <w:rFonts w:ascii="Consolas" w:cs="Consolas" w:eastAsia="Consolas" w:hAnsi="Consolas"/>
          <w:color w:val="2C3E50"/>
          <w:sz w:val="19"/>
          <w:szCs w:val="19"/>
        </w:rPr>
        <w:t xml:space="preserve">[G4] §24-42.7, [G5] §24-15.3</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“Same question, completely different answer. Actual numbers: 15 mg/l BOD, 15 mg/l TSS, 1 mg/l phosphorous. Plus the Everglades-specific Bird Drive Basin Plan requirements. The baseline couldn’t find Sec. 24-42.1 because the words ‘treatment standards’ don’t appear prominently in that section — it’s titled ‘Tertiary treatment requirements.’ RegOS found it through concept relationships in the knowledge graph. It also found OSTDS standards from Sec. 24-42.7 which the baseline missed entirely.”</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“Notice the confidence score at the bottom: 80%. And it cites exactly which sections it found — [G1] through [G5]. The baseline gave no confidence indicator at all.”</w:t>
      </w:r>
    </w:p>
    <w:p>
      <w:r>
        <w:br w:type="page"/>
      </w:r>
    </w:p>
    <w:p>
      <w:pPr>
        <w:pStyle w:val="Heading1"/>
      </w:pPr>
      <w:r>
        <w:rPr>
          <w:b/>
          <w:bCs/>
        </w:rPr>
        <w:t xml:space="preserve">Act 2: Generic vs. Specific</w:t>
      </w:r>
    </w:p>
    <w:p>
      <w:pPr>
        <w:spacing w:after="80"/>
        <w:jc w:val="right"/>
      </w:pPr>
      <w:r>
        <w:rPr>
          <w:rFonts w:ascii="Arial" w:cs="Arial" w:eastAsia="Arial" w:hAnsi="Arial"/>
          <w:i/>
          <w:iCs/>
          <w:color w:val="7F8C8D"/>
          <w:sz w:val="20"/>
          <w:szCs w:val="20"/>
        </w:rPr>
        <w:t xml:space="preserve">⏱ ~3 minutes</w:t>
      </w:r>
    </w:p>
    <w:p>
      <w:pPr>
        <w:spacing w:after="120"/>
        <w:rPr>
          <w:b/>
          <w:bCs/>
          <w:sz w:val="24"/>
          <w:szCs w:val="24"/>
        </w:rPr>
      </w:pPr>
      <w:r>
        <w:rPr>
          <w:rFonts w:ascii="Arial" w:cs="Arial" w:eastAsia="Arial" w:hAnsi="Arial"/>
          <w:b/>
          <w:bCs/>
          <w:sz w:val="24"/>
          <w:szCs w:val="24"/>
        </w:rPr>
        <w:t xml:space="preserve">Query: “What are the BOD limits for industrial discharge?”</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Run on baseline first.</w:t>
      </w:r>
    </w:p>
    <w:p>
      <w:pPr>
        <w:spacing w:after="60"/>
      </w:pPr>
    </w:p>
    <w:p>
      <w:pPr>
        <w:pStyle w:val="Heading3"/>
      </w:pPr>
      <w:r>
        <w:rPr>
          <w:b/>
          <w:bCs/>
        </w:rPr>
        <w:t xml:space="preserve">What the baseline returns:</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The BOD limits for industrial discharge vary significantly depending</w:t>
      </w:r>
    </w:p>
    <w:p>
      <w:pPr>
        <w:spacing w:after="40"/>
        <w:ind w:left="240"/>
      </w:pPr>
      <w:r>
        <w:rPr>
          <w:rFonts w:ascii="Consolas" w:cs="Consolas" w:eastAsia="Consolas" w:hAnsi="Consolas"/>
          <w:color w:val="2C3E50"/>
          <w:sz w:val="19"/>
          <w:szCs w:val="19"/>
        </w:rPr>
        <w:t xml:space="preserve">on the country, industry type, and the receiving water body.</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United States: Under the Clean Water Act, the EPA sets technology-</w:t>
      </w:r>
    </w:p>
    <w:p>
      <w:pPr>
        <w:spacing w:after="40"/>
        <w:ind w:left="240"/>
      </w:pPr>
      <w:r>
        <w:rPr>
          <w:rFonts w:ascii="Consolas" w:cs="Consolas" w:eastAsia="Consolas" w:hAnsi="Consolas"/>
          <w:color w:val="2C3E50"/>
          <w:sz w:val="19"/>
          <w:szCs w:val="19"/>
        </w:rPr>
        <w:t xml:space="preserve">based standards. Typical limits range from 20–50 mg/L...</w:t>
      </w:r>
    </w:p>
    <w:p>
      <w:pPr>
        <w:spacing w:after="40"/>
        <w:ind w:left="240"/>
      </w:pPr>
      <w:r>
        <w:rPr>
          <w:rFonts w:ascii="Consolas" w:cs="Consolas" w:eastAsia="Consolas" w:hAnsi="Consolas"/>
          <w:color w:val="2C3E50"/>
          <w:sz w:val="19"/>
          <w:szCs w:val="19"/>
        </w:rPr>
        <w:t xml:space="preserve">European Union: Member states set limits under the Water Framework</w:t>
      </w:r>
    </w:p>
    <w:p>
      <w:pPr>
        <w:spacing w:after="40"/>
        <w:ind w:left="240"/>
      </w:pPr>
      <w:r>
        <w:rPr>
          <w:rFonts w:ascii="Consolas" w:cs="Consolas" w:eastAsia="Consolas" w:hAnsi="Consolas"/>
          <w:color w:val="2C3E50"/>
          <w:sz w:val="19"/>
          <w:szCs w:val="19"/>
        </w:rPr>
        <w:t xml:space="preserve">Directive, often &lt;30 mg/L for BOD...</w:t>
      </w:r>
    </w:p>
    <w:p>
      <w:pPr>
        <w:spacing w:after="40"/>
        <w:ind w:left="240"/>
      </w:pPr>
      <w:r>
        <w:rPr>
          <w:rFonts w:ascii="Consolas" w:cs="Consolas" w:eastAsia="Consolas" w:hAnsi="Consolas"/>
          <w:color w:val="2C3E50"/>
          <w:sz w:val="19"/>
          <w:szCs w:val="19"/>
        </w:rPr>
        <w:t xml:space="preserve">India: The CPCB mandates 30 mg/L for rivers/streams...</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General Guidelines: Common Range: 20–50 mg/L...</w:t>
      </w:r>
    </w:p>
    <w:p>
      <w:pPr>
        <w:spacing w:after="40"/>
        <w:ind w:left="240"/>
      </w:pPr>
      <w:r>
        <w:rPr>
          <w:rFonts w:ascii="Consolas" w:cs="Consolas" w:eastAsia="Consolas" w:hAnsi="Consolas"/>
          <w:color w:val="2C3E50"/>
          <w:sz w:val="19"/>
          <w:szCs w:val="19"/>
        </w:rPr>
        <w:t xml:space="preserve">Always consult local environmental authorities...</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“This is the worst kind of AI failure — the system gave a generic worldwide answer. EPA, European Union, India. Not a single mention of Miami-Dade Chapter 24. This is a regulatory compliance tool with Chapter 24 loaded as its knowledge base, and it’s telling users about Indian CPCB standards. The user has no idea they’re getting the wrong jurisdiction.”</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Now run on RegOS.</w:t>
      </w:r>
    </w:p>
    <w:p>
      <w:pPr>
        <w:spacing w:after="60"/>
      </w:pPr>
    </w:p>
    <w:p>
      <w:pPr>
        <w:pStyle w:val="Heading3"/>
      </w:pPr>
      <w:r>
        <w:rPr>
          <w:b/>
          <w:bCs/>
        </w:rPr>
        <w:t xml:space="preserve">What RegOS returns:</w:t>
      </w:r>
    </w:p>
    <w:p>
      <w:pPr>
        <w:spacing w:after="40"/>
      </w:pPr>
      <w:r>
        <w:rPr>
          <w:rFonts w:ascii="Arial" w:cs="Arial" w:eastAsia="Arial" w:hAnsi="Arial"/>
          <w:b/>
          <w:bCs/>
          <w:color w:val="2E86C1"/>
          <w:sz w:val="20"/>
          <w:szCs w:val="20"/>
        </w:rPr>
        <w:t xml:space="preserve">GraphRAG Response (confidence: 79%):</w:t>
      </w:r>
    </w:p>
    <w:p>
      <w:pPr>
        <w:spacing w:after="40"/>
        <w:ind w:left="240"/>
      </w:pPr>
      <w:r>
        <w:rPr>
          <w:rFonts w:ascii="Consolas" w:cs="Consolas" w:eastAsia="Consolas" w:hAnsi="Consolas"/>
          <w:color w:val="2C3E50"/>
          <w:sz w:val="19"/>
          <w:szCs w:val="19"/>
        </w:rPr>
        <w:t xml:space="preserve">Two BOD contexts in Miami-Dade County:</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1. General effluent standard: Must not exceed 30 mg/l BOD</w:t>
      </w:r>
    </w:p>
    <w:p>
      <w:pPr>
        <w:spacing w:after="40"/>
        <w:ind w:left="240"/>
      </w:pPr>
      <w:r>
        <w:rPr>
          <w:rFonts w:ascii="Consolas" w:cs="Consolas" w:eastAsia="Consolas" w:hAnsi="Consolas"/>
          <w:color w:val="2C3E50"/>
          <w:sz w:val="19"/>
          <w:szCs w:val="19"/>
        </w:rPr>
        <w:t xml:space="preserve">   (§24-42 Prohibitions against water pollution) [G2]</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2. New facilities: Must achieve 95% BOD removal,</w:t>
      </w:r>
    </w:p>
    <w:p>
      <w:pPr>
        <w:spacing w:after="40"/>
        <w:ind w:left="240"/>
      </w:pPr>
      <w:r>
        <w:rPr>
          <w:rFonts w:ascii="Consolas" w:cs="Consolas" w:eastAsia="Consolas" w:hAnsi="Consolas"/>
          <w:color w:val="2C3E50"/>
          <w:sz w:val="19"/>
          <w:szCs w:val="19"/>
        </w:rPr>
        <w:t xml:space="preserve">   effluent ≤15.0 mg/l (§24-42.1 Tertiary treatment) [G4]</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3. POTW discharges: Must comply with 40 CFR 403.5</w:t>
      </w:r>
    </w:p>
    <w:p>
      <w:pPr>
        <w:spacing w:after="40"/>
        <w:ind w:left="240"/>
      </w:pPr>
      <w:r>
        <w:rPr>
          <w:rFonts w:ascii="Consolas" w:cs="Consolas" w:eastAsia="Consolas" w:hAnsi="Consolas"/>
          <w:color w:val="2C3E50"/>
          <w:sz w:val="19"/>
          <w:szCs w:val="19"/>
        </w:rPr>
        <w:t xml:space="preserve">   pretreatment standards (§24-42.4) [G1]</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Gaps: BOD limits for POTW discharges not explicitly stated</w:t>
      </w:r>
    </w:p>
    <w:p>
      <w:pPr>
        <w:spacing w:after="40"/>
        <w:ind w:left="240"/>
      </w:pPr>
      <w:r>
        <w:rPr>
          <w:rFonts w:ascii="Consolas" w:cs="Consolas" w:eastAsia="Consolas" w:hAnsi="Consolas"/>
          <w:color w:val="2C3E50"/>
          <w:sz w:val="19"/>
          <w:szCs w:val="19"/>
        </w:rPr>
        <w:t xml:space="preserve">in retrieved sections.</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“Two specific Miami-Dade limits: 30 mg/l general, 15 mg/l for new facilities with tertiary treatment. It found three different regulatory sections and explained which one applies when. It even flagged that POTW discharge limits aren’t explicitly stated — that’s the system being honest about what it couldn’t find. Compare that to the baseline telling you about Indian water standards.”</w:t>
      </w:r>
    </w:p>
    <w:p>
      <w:r>
        <w:br w:type="page"/>
      </w:r>
    </w:p>
    <w:p>
      <w:pPr>
        <w:pStyle w:val="Heading1"/>
      </w:pPr>
      <w:r>
        <w:rPr>
          <w:b/>
          <w:bCs/>
        </w:rPr>
        <w:t xml:space="preserve">Act 3: Cross-Domain Bridging</w:t>
      </w:r>
    </w:p>
    <w:p>
      <w:pPr>
        <w:spacing w:after="80"/>
        <w:jc w:val="right"/>
      </w:pPr>
      <w:r>
        <w:rPr>
          <w:rFonts w:ascii="Arial" w:cs="Arial" w:eastAsia="Arial" w:hAnsi="Arial"/>
          <w:i/>
          <w:iCs/>
          <w:color w:val="7F8C8D"/>
          <w:sz w:val="20"/>
          <w:szCs w:val="20"/>
        </w:rPr>
        <w:t xml:space="preserve">⏱ ~2 minutes</w:t>
      </w:r>
    </w:p>
    <w:p>
      <w:pPr>
        <w:spacing w:after="120"/>
        <w:rPr>
          <w:b/>
          <w:bCs/>
          <w:sz w:val="24"/>
          <w:szCs w:val="24"/>
        </w:rPr>
      </w:pPr>
      <w:r>
        <w:rPr>
          <w:rFonts w:ascii="Arial" w:cs="Arial" w:eastAsia="Arial" w:hAnsi="Arial"/>
          <w:b/>
          <w:bCs/>
          <w:sz w:val="24"/>
          <w:szCs w:val="24"/>
        </w:rPr>
        <w:t xml:space="preserve">Query: “Are there penalties for exceeding BOD limits in industrial discharge?”</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Run on baseline first.</w:t>
      </w:r>
    </w:p>
    <w:p>
      <w:pPr>
        <w:spacing w:after="60"/>
      </w:pPr>
    </w:p>
    <w:p>
      <w:pPr>
        <w:pStyle w:val="Heading3"/>
      </w:pPr>
      <w:r>
        <w:rPr>
          <w:b/>
          <w:bCs/>
        </w:rPr>
        <w:t xml:space="preserve">What the baseline returns:</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I couldn’t find this in the provided sections of Chapter 24.</w:t>
      </w:r>
    </w:p>
    <w:p>
      <w:pPr>
        <w:spacing w:after="40"/>
        <w:ind w:left="240"/>
      </w:pPr>
      <w:r>
        <w:rPr>
          <w:rFonts w:ascii="Consolas" w:cs="Consolas" w:eastAsia="Consolas" w:hAnsi="Consolas"/>
          <w:color w:val="2C3E50"/>
          <w:sz w:val="19"/>
          <w:szCs w:val="19"/>
        </w:rPr>
        <w:t xml:space="preserve">The context outlines prohibitions against discharges violating</w:t>
      </w:r>
    </w:p>
    <w:p>
      <w:pPr>
        <w:spacing w:after="40"/>
        <w:ind w:left="240"/>
      </w:pPr>
      <w:r>
        <w:rPr>
          <w:rFonts w:ascii="Consolas" w:cs="Consolas" w:eastAsia="Consolas" w:hAnsi="Consolas"/>
          <w:color w:val="2C3E50"/>
          <w:sz w:val="19"/>
          <w:szCs w:val="19"/>
        </w:rPr>
        <w:t xml:space="preserve">effluent standards (e.g., Sec. 24-42(1)) and references unlawful</w:t>
      </w:r>
    </w:p>
    <w:p>
      <w:pPr>
        <w:spacing w:after="40"/>
        <w:ind w:left="240"/>
      </w:pPr>
      <w:r>
        <w:rPr>
          <w:rFonts w:ascii="Consolas" w:cs="Consolas" w:eastAsia="Consolas" w:hAnsi="Consolas"/>
          <w:color w:val="2C3E50"/>
          <w:sz w:val="19"/>
          <w:szCs w:val="19"/>
        </w:rPr>
        <w:t xml:space="preserve">acts under federal pretreatment standards (Sec. 24-42.4(3)), but</w:t>
      </w:r>
    </w:p>
    <w:p>
      <w:pPr>
        <w:spacing w:after="40"/>
        <w:ind w:left="240"/>
      </w:pPr>
      <w:r>
        <w:rPr>
          <w:rFonts w:ascii="Consolas" w:cs="Consolas" w:eastAsia="Consolas" w:hAnsi="Consolas"/>
          <w:color w:val="2C3E50"/>
          <w:sz w:val="19"/>
          <w:szCs w:val="19"/>
        </w:rPr>
        <w:t xml:space="preserve">it does not specify penalties for exceeding BOD limits.</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“The baseline found the discharge standards but couldn’t bridge to the penalties section. Penalties use different words — ‘civil remedies,’ ‘violations,’ ‘fines.’ Text search can’t connect ‘BOD limits’ to ‘Sec. 24-30 Penalties generally’ because the terminology doesn’t overlap.”</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Now run on RegOS.</w:t>
      </w:r>
    </w:p>
    <w:p>
      <w:pPr>
        <w:spacing w:after="60"/>
      </w:pPr>
    </w:p>
    <w:p>
      <w:pPr>
        <w:pStyle w:val="Heading3"/>
      </w:pPr>
      <w:r>
        <w:rPr>
          <w:b/>
          <w:bCs/>
        </w:rPr>
        <w:t xml:space="preserve">What RegOS returns:</w:t>
      </w:r>
    </w:p>
    <w:p>
      <w:pPr>
        <w:spacing w:after="40"/>
      </w:pPr>
      <w:r>
        <w:rPr>
          <w:rFonts w:ascii="Arial" w:cs="Arial" w:eastAsia="Arial" w:hAnsi="Arial"/>
          <w:b/>
          <w:bCs/>
          <w:color w:val="2E86C1"/>
          <w:sz w:val="20"/>
          <w:szCs w:val="20"/>
        </w:rPr>
        <w:t xml:space="preserve">GraphRAG Response (confidence: 81%):</w:t>
      </w:r>
    </w:p>
    <w:p>
      <w:pPr>
        <w:spacing w:after="40"/>
        <w:ind w:left="240"/>
      </w:pPr>
      <w:r>
        <w:rPr>
          <w:rFonts w:ascii="Consolas" w:cs="Consolas" w:eastAsia="Consolas" w:hAnsi="Consolas"/>
          <w:color w:val="2C3E50"/>
          <w:sz w:val="19"/>
          <w:szCs w:val="19"/>
        </w:rPr>
        <w:t xml:space="preserve">Yes, penalties apply. Violations of BOD standards under Chapter 24:</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  • Fines up to $2,000 per day (Sec. 24-30) [G3]</w:t>
      </w:r>
    </w:p>
    <w:p>
      <w:pPr>
        <w:spacing w:after="40"/>
        <w:ind w:left="240"/>
      </w:pPr>
      <w:r>
        <w:rPr>
          <w:rFonts w:ascii="Consolas" w:cs="Consolas" w:eastAsia="Consolas" w:hAnsi="Consolas"/>
          <w:color w:val="2C3E50"/>
          <w:sz w:val="19"/>
          <w:szCs w:val="19"/>
        </w:rPr>
        <w:t xml:space="preserve">  • Each day of violation = separate offense</w:t>
      </w:r>
    </w:p>
    <w:p>
      <w:pPr>
        <w:spacing w:after="40"/>
        <w:ind w:left="240"/>
      </w:pPr>
      <w:r>
        <w:rPr>
          <w:rFonts w:ascii="Consolas" w:cs="Consolas" w:eastAsia="Consolas" w:hAnsi="Consolas"/>
          <w:color w:val="2C3E50"/>
          <w:sz w:val="19"/>
          <w:szCs w:val="19"/>
        </w:rPr>
        <w:t xml:space="preserve">  • Additional: imprisonment up to 60 days</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Exception: Temporary exceedances due to abnormal occurrences</w:t>
      </w:r>
    </w:p>
    <w:p>
      <w:pPr>
        <w:spacing w:after="40"/>
        <w:ind w:left="240"/>
      </w:pPr>
      <w:r>
        <w:rPr>
          <w:rFonts w:ascii="Consolas" w:cs="Consolas" w:eastAsia="Consolas" w:hAnsi="Consolas"/>
          <w:color w:val="2C3E50"/>
          <w:sz w:val="19"/>
          <w:szCs w:val="19"/>
        </w:rPr>
        <w:t xml:space="preserve">(equipment breakdown) may not incur penalties if promptly</w:t>
      </w:r>
    </w:p>
    <w:p>
      <w:pPr>
        <w:spacing w:after="40"/>
        <w:ind w:left="240"/>
      </w:pPr>
      <w:r>
        <w:rPr>
          <w:rFonts w:ascii="Consolas" w:cs="Consolas" w:eastAsia="Consolas" w:hAnsi="Consolas"/>
          <w:color w:val="2C3E50"/>
          <w:sz w:val="19"/>
          <w:szCs w:val="19"/>
        </w:rPr>
        <w:t xml:space="preserve">reported (Sec. 24-20) [G2]</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Sections: [G4] §24-42, [G5] §24-42.1, [G3] §24-30,</w:t>
      </w:r>
    </w:p>
    <w:p>
      <w:pPr>
        <w:spacing w:after="40"/>
        <w:ind w:left="240"/>
      </w:pPr>
      <w:r>
        <w:rPr>
          <w:rFonts w:ascii="Consolas" w:cs="Consolas" w:eastAsia="Consolas" w:hAnsi="Consolas"/>
          <w:color w:val="2C3E50"/>
          <w:sz w:val="19"/>
          <w:szCs w:val="19"/>
        </w:rPr>
        <w:t xml:space="preserve">[G2] §24-20</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“RegOS found four sections: the BOD limits, the tertiary treatment requirements, the penalties section, and the abnormal occurrence reporting exception. It connected discharge standards to penalties to exceptions — three different parts of the regulation that use completely different terminology. That’s the graph working. The knowledge graph knows these concepts are related even though the words don’t match. 81% confidence — the highest score we’ve seen today.”</w:t>
      </w:r>
    </w:p>
    <w:p>
      <w:r>
        <w:br w:type="page"/>
      </w:r>
    </w:p>
    <w:p>
      <w:pPr>
        <w:pStyle w:val="Heading1"/>
      </w:pPr>
      <w:r>
        <w:rPr>
          <w:b/>
          <w:bCs/>
        </w:rPr>
        <w:t xml:space="preserve">Act 4: When Queries Are Vague or Off-Topic</w:t>
      </w:r>
    </w:p>
    <w:p>
      <w:pPr>
        <w:spacing w:after="80"/>
        <w:jc w:val="right"/>
      </w:pPr>
      <w:r>
        <w:rPr>
          <w:rFonts w:ascii="Arial" w:cs="Arial" w:eastAsia="Arial" w:hAnsi="Arial"/>
          <w:i/>
          <w:iCs/>
          <w:color w:val="7F8C8D"/>
          <w:sz w:val="20"/>
          <w:szCs w:val="20"/>
        </w:rPr>
        <w:t xml:space="preserve">⏱ ~2 minutes</w:t>
      </w:r>
    </w:p>
    <w:p>
      <w:pPr>
        <w:spacing w:after="120"/>
        <w:rPr>
          <w:b/>
          <w:bCs/>
          <w:sz w:val="24"/>
          <w:szCs w:val="24"/>
        </w:rPr>
      </w:pPr>
      <w:r>
        <w:rPr>
          <w:rFonts w:ascii="Arial" w:cs="Arial" w:eastAsia="Arial" w:hAnsi="Arial"/>
          <w:b/>
          <w:bCs/>
          <w:sz w:val="24"/>
          <w:szCs w:val="24"/>
        </w:rPr>
        <w:t xml:space="preserve">Query: “tell me about regulations”</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Run on both systems.</w:t>
      </w:r>
    </w:p>
    <w:p>
      <w:pPr>
        <w:spacing w:after="60"/>
      </w:pPr>
    </w:p>
    <w:p>
      <w:pPr>
        <w:pStyle w:val="Heading3"/>
      </w:pPr>
      <w:r>
        <w:rPr>
          <w:b/>
          <w:bCs/>
        </w:rPr>
        <w:t xml:space="preserve">Baseline:</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I couldn’t find this in the provided sections of Chapter 24.</w:t>
      </w:r>
    </w:p>
    <w:p>
      <w:pPr>
        <w:spacing w:after="40"/>
        <w:ind w:left="240"/>
      </w:pPr>
      <w:r>
        <w:rPr>
          <w:rFonts w:ascii="Consolas" w:cs="Consolas" w:eastAsia="Consolas" w:hAnsi="Consolas"/>
          <w:color w:val="2C3E50"/>
          <w:sz w:val="19"/>
          <w:szCs w:val="19"/>
        </w:rPr>
        <w:t xml:space="preserve">The context includes definitions of federal regulations (FIFRA,</w:t>
      </w:r>
    </w:p>
    <w:p>
      <w:pPr>
        <w:spacing w:after="40"/>
        <w:ind w:left="240"/>
      </w:pPr>
      <w:r>
        <w:rPr>
          <w:rFonts w:ascii="Consolas" w:cs="Consolas" w:eastAsia="Consolas" w:hAnsi="Consolas"/>
          <w:color w:val="2C3E50"/>
          <w:sz w:val="19"/>
          <w:szCs w:val="19"/>
        </w:rPr>
        <w:t xml:space="preserve">FPA, NPDWR) but no specific regulations are detailed here.</w:t>
      </w:r>
    </w:p>
    <w:p>
      <w:pPr>
        <w:spacing w:after="60"/>
      </w:pPr>
    </w:p>
    <w:p>
      <w:pPr>
        <w:pStyle w:val="Heading3"/>
      </w:pPr>
      <w:r>
        <w:rPr>
          <w:b/>
          <w:bCs/>
        </w:rPr>
        <w:t xml:space="preserve">RegOS:</w:t>
      </w:r>
    </w:p>
    <w:p>
      <w:pPr>
        <w:spacing w:after="40"/>
      </w:pPr>
      <w:r>
        <w:rPr>
          <w:rFonts w:ascii="Arial" w:cs="Arial" w:eastAsia="Arial" w:hAnsi="Arial"/>
          <w:b/>
          <w:bCs/>
          <w:color w:val="2E86C1"/>
          <w:sz w:val="20"/>
          <w:szCs w:val="20"/>
        </w:rPr>
        <w:t xml:space="preserve">GraphRAG Response (confidence: 70%):</w:t>
      </w:r>
    </w:p>
    <w:p>
      <w:pPr>
        <w:spacing w:after="40"/>
        <w:ind w:left="240"/>
      </w:pPr>
      <w:r>
        <w:rPr>
          <w:rFonts w:ascii="Consolas" w:cs="Consolas" w:eastAsia="Consolas" w:hAnsi="Consolas"/>
          <w:color w:val="2C3E50"/>
          <w:sz w:val="19"/>
          <w:szCs w:val="19"/>
        </w:rPr>
        <w:t xml:space="preserve">Miami-Dade Chapter 24 establishes a regulatory framework including:</w:t>
      </w:r>
    </w:p>
    <w:p>
      <w:pPr>
        <w:spacing w:after="40"/>
        <w:ind w:left="240"/>
      </w:pPr>
      <w:r>
        <w:rPr>
          <w:rFonts w:ascii="Consolas" w:cs="Consolas" w:eastAsia="Consolas" w:hAnsi="Consolas"/>
          <w:color w:val="2C3E50"/>
          <w:sz w:val="19"/>
          <w:szCs w:val="19"/>
        </w:rPr>
        <w:t xml:space="preserve">  • Rulemaking: Board of County Commissioners adopts rules [G1]</w:t>
      </w:r>
    </w:p>
    <w:p>
      <w:pPr>
        <w:spacing w:after="40"/>
        <w:ind w:left="240"/>
      </w:pPr>
      <w:r>
        <w:rPr>
          <w:rFonts w:ascii="Consolas" w:cs="Consolas" w:eastAsia="Consolas" w:hAnsi="Consolas"/>
          <w:color w:val="2C3E50"/>
          <w:sz w:val="19"/>
          <w:szCs w:val="19"/>
        </w:rPr>
        <w:t xml:space="preserve">  • Incorporated regulations: FL Admin Code + EPA rules [G2]</w:t>
      </w:r>
    </w:p>
    <w:p>
      <w:pPr>
        <w:spacing w:after="40"/>
        <w:ind w:left="240"/>
      </w:pPr>
      <w:r>
        <w:rPr>
          <w:rFonts w:ascii="Consolas" w:cs="Consolas" w:eastAsia="Consolas" w:hAnsi="Consolas"/>
          <w:color w:val="2C3E50"/>
          <w:sz w:val="19"/>
          <w:szCs w:val="19"/>
        </w:rPr>
        <w:t xml:space="preserve">  • Facility rules: Metal recycling requirements [G3]</w:t>
      </w:r>
    </w:p>
    <w:p>
      <w:pPr>
        <w:spacing w:after="40"/>
        <w:ind w:left="240"/>
      </w:pPr>
      <w:r>
        <w:rPr>
          <w:rFonts w:ascii="Consolas" w:cs="Consolas" w:eastAsia="Consolas" w:hAnsi="Consolas"/>
          <w:color w:val="2C3E50"/>
          <w:sz w:val="19"/>
          <w:szCs w:val="19"/>
        </w:rPr>
        <w:t xml:space="preserve">  • Environmental programs: EEL endangered lands [G4]</w:t>
      </w:r>
    </w:p>
    <w:p>
      <w:pPr>
        <w:spacing w:after="40"/>
        <w:ind w:left="240"/>
      </w:pPr>
      <w:r>
        <w:rPr>
          <w:rFonts w:ascii="Consolas" w:cs="Consolas" w:eastAsia="Consolas" w:hAnsi="Consolas"/>
          <w:color w:val="2C3E50"/>
          <w:sz w:val="19"/>
          <w:szCs w:val="19"/>
        </w:rPr>
        <w:t xml:space="preserve">  • Enforcement: Stop orders and injunctions [G5]</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“The baseline gives up — ‘I couldn’t find this.’ RegOS actually gives a useful overview of the Chapter 24 framework. But notice the confidence dropped to 70% — right at the edge of the HIGH band. The system is telling you: I found stuff, but the query was vague so the matches might not be what you actually wanted.”</w:t>
      </w:r>
    </w:p>
    <w:p>
      <w:pPr>
        <w:spacing w:after="60"/>
      </w:pPr>
    </w:p>
    <w:p>
      <w:pPr>
        <w:spacing w:after="120"/>
        <w:rPr>
          <w:b/>
          <w:bCs/>
          <w:sz w:val="24"/>
          <w:szCs w:val="24"/>
        </w:rPr>
      </w:pPr>
      <w:r>
        <w:rPr>
          <w:rFonts w:ascii="Arial" w:cs="Arial" w:eastAsia="Arial" w:hAnsi="Arial"/>
          <w:b/>
          <w:bCs/>
          <w:sz w:val="24"/>
          <w:szCs w:val="24"/>
        </w:rPr>
        <w:t xml:space="preserve">Query: “hello”</w:t>
      </w:r>
    </w:p>
    <w:p>
      <w:pPr>
        <w:spacing w:after="60"/>
      </w:pPr>
    </w:p>
    <w:p>
      <w:pPr>
        <w:pStyle w:val="Heading3"/>
      </w:pPr>
      <w:r>
        <w:rPr>
          <w:b/>
          <w:bCs/>
        </w:rPr>
        <w:t xml:space="preserve">Baseline:</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Hello! How can I assist you today? 😊</w:t>
      </w:r>
    </w:p>
    <w:p>
      <w:pPr>
        <w:spacing w:after="60"/>
      </w:pPr>
    </w:p>
    <w:p>
      <w:pPr>
        <w:pStyle w:val="Heading3"/>
      </w:pPr>
      <w:r>
        <w:rPr>
          <w:b/>
          <w:bCs/>
        </w:rPr>
        <w:t xml:space="preserve">RegOS:</w:t>
      </w:r>
    </w:p>
    <w:p>
      <w:pPr>
        <w:spacing w:after="40"/>
      </w:pPr>
      <w:r>
        <w:rPr>
          <w:rFonts w:ascii="Arial" w:cs="Arial" w:eastAsia="Arial" w:hAnsi="Arial"/>
          <w:b/>
          <w:bCs/>
          <w:color w:val="2E86C1"/>
          <w:sz w:val="20"/>
          <w:szCs w:val="20"/>
        </w:rPr>
        <w:t xml:space="preserve">GraphRAG Response:</w:t>
      </w:r>
    </w:p>
    <w:p>
      <w:pPr>
        <w:spacing w:after="40"/>
        <w:ind w:left="240"/>
      </w:pPr>
      <w:r>
        <w:rPr>
          <w:rFonts w:ascii="Consolas" w:cs="Consolas" w:eastAsia="Consolas" w:hAnsi="Consolas"/>
          <w:color w:val="2C3E50"/>
          <w:sz w:val="19"/>
          <w:szCs w:val="19"/>
        </w:rPr>
        <w:t xml:space="preserve">Hello! I can help you navigate Miami-Dade County Chapter 24</w:t>
      </w:r>
    </w:p>
    <w:p>
      <w:pPr>
        <w:spacing w:after="40"/>
        <w:ind w:left="240"/>
      </w:pPr>
      <w:r>
        <w:rPr>
          <w:rFonts w:ascii="Consolas" w:cs="Consolas" w:eastAsia="Consolas" w:hAnsi="Consolas"/>
          <w:color w:val="2C3E50"/>
          <w:sz w:val="19"/>
          <w:szCs w:val="19"/>
        </w:rPr>
        <w:t xml:space="preserve">requirements. What compliance question can I assist with?</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 No Regulatory Context Found ━━</w:t>
      </w:r>
    </w:p>
    <w:p>
      <w:pPr>
        <w:spacing w:after="40"/>
        <w:ind w:left="240"/>
      </w:pPr>
      <w:r>
        <w:rPr>
          <w:rFonts w:ascii="Consolas" w:cs="Consolas" w:eastAsia="Consolas" w:hAnsi="Consolas"/>
          <w:color w:val="2C3E50"/>
          <w:sz w:val="19"/>
          <w:szCs w:val="19"/>
        </w:rPr>
        <w:t xml:space="preserve">RegOS could not locate any Chapter 24 sections relevant to</w:t>
      </w:r>
    </w:p>
    <w:p>
      <w:pPr>
        <w:spacing w:after="40"/>
        <w:ind w:left="240"/>
      </w:pPr>
      <w:r>
        <w:rPr>
          <w:rFonts w:ascii="Consolas" w:cs="Consolas" w:eastAsia="Consolas" w:hAnsi="Consolas"/>
          <w:color w:val="2C3E50"/>
          <w:sz w:val="19"/>
          <w:szCs w:val="19"/>
        </w:rPr>
        <w:t xml:space="preserve">this query. Try rephrasing with specific regulatory terms</w:t>
      </w:r>
    </w:p>
    <w:p>
      <w:pPr>
        <w:spacing w:after="40"/>
        <w:ind w:left="240"/>
      </w:pPr>
      <w:r>
        <w:rPr>
          <w:rFonts w:ascii="Consolas" w:cs="Consolas" w:eastAsia="Consolas" w:hAnsi="Consolas"/>
          <w:color w:val="2C3E50"/>
          <w:sz w:val="19"/>
          <w:szCs w:val="19"/>
        </w:rPr>
        <w:t xml:space="preserve">such as effluent limits, pretreatment requirements, or</w:t>
      </w:r>
    </w:p>
    <w:p>
      <w:pPr>
        <w:spacing w:after="40"/>
        <w:ind w:left="240"/>
      </w:pPr>
      <w:r>
        <w:rPr>
          <w:rFonts w:ascii="Consolas" w:cs="Consolas" w:eastAsia="Consolas" w:hAnsi="Consolas"/>
          <w:color w:val="2C3E50"/>
          <w:sz w:val="19"/>
          <w:szCs w:val="19"/>
        </w:rPr>
        <w:t xml:space="preserve">discharge permit conditions.</w:t>
      </w:r>
    </w:p>
    <w:p>
      <w:pPr>
        <w:spacing w:after="40"/>
        <w:ind w:left="240"/>
      </w:pPr>
      <w:r>
        <w:rPr>
          <w:rFonts w:ascii="Consolas" w:cs="Consolas" w:eastAsia="Consolas" w:hAnsi="Consolas"/>
          <w:color w:val="2C3E50"/>
          <w:sz w:val="19"/>
          <w:szCs w:val="19"/>
        </w:rPr>
        <w:t xml:space="preserve">Ref: GRD-20260227-37D5</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“Two very different responses to ‘hello.’ The baseline gives a generic chatbot greeting with a smiley emoji. RegOS identifies itself as a Chapter 24 tool, tells you exactly what it can help with, and — critically — fires a guardrail notice. It says: I found nothing relevant, here’s a reference ID for your audit trail, and here’s how to ask a better question. That guardrail reference — GRD-20260227-37D5 — is logged in the audit database.”</w:t>
      </w:r>
    </w:p>
    <w:p>
      <w:r>
        <w:br w:type="page"/>
      </w:r>
    </w:p>
    <w:p>
      <w:pPr>
        <w:pStyle w:val="Heading1"/>
      </w:pPr>
      <w:r>
        <w:rPr>
          <w:b/>
          <w:bCs/>
        </w:rPr>
        <w:t xml:space="preserve">Act 5: Automated Compliance Checking</w:t>
      </w:r>
    </w:p>
    <w:p>
      <w:pPr>
        <w:spacing w:after="80"/>
        <w:jc w:val="right"/>
      </w:pPr>
      <w:r>
        <w:rPr>
          <w:rFonts w:ascii="Arial" w:cs="Arial" w:eastAsia="Arial" w:hAnsi="Arial"/>
          <w:i/>
          <w:iCs/>
          <w:color w:val="7F8C8D"/>
          <w:sz w:val="20"/>
          <w:szCs w:val="20"/>
        </w:rPr>
        <w:t xml:space="preserve">⏱ ~2 minutes</w:t>
      </w:r>
    </w:p>
    <w:p>
      <w:pPr>
        <w:spacing w:after="120"/>
        <w:rPr>
          <w:b/>
          <w:bCs/>
          <w:sz w:val="24"/>
          <w:szCs w:val="24"/>
        </w:rPr>
      </w:pPr>
      <w:r>
        <w:rPr>
          <w:rFonts w:ascii="Arial" w:cs="Arial" w:eastAsia="Arial" w:hAnsi="Arial"/>
          <w:b/>
          <w:bCs/>
          <w:sz w:val="24"/>
          <w:szCs w:val="24"/>
        </w:rPr>
        <w:t xml:space="preserve">Query: “My facility’s BOD reading is 45 mg/L — am I compliant?”</w:t>
      </w:r>
    </w:p>
    <w:p>
      <w:pPr>
        <w:spacing w:after="60"/>
      </w:pPr>
    </w:p>
    <w:p>
      <w:pPr>
        <w:spacing w:after="120"/>
      </w:pPr>
      <w:r>
        <w:rPr>
          <w:rFonts w:ascii="Arial" w:cs="Arial" w:eastAsia="Arial" w:hAnsi="Arial"/>
          <w:b/>
          <w:bCs/>
          <w:color w:val="922B21"/>
          <w:sz w:val="22"/>
          <w:szCs w:val="22"/>
        </w:rPr>
        <w:t xml:space="preserve">▶ DO: </w:t>
      </w:r>
      <w:r>
        <w:rPr>
          <w:rFonts w:ascii="Arial" w:cs="Arial" w:eastAsia="Arial" w:hAnsi="Arial"/>
          <w:sz w:val="22"/>
          <w:szCs w:val="22"/>
        </w:rPr>
        <w:t xml:space="preserve">Run on both systems.</w:t>
      </w:r>
    </w:p>
    <w:p>
      <w:pPr>
        <w:spacing w:after="60"/>
      </w:pPr>
    </w:p>
    <w:p>
      <w:pPr>
        <w:pStyle w:val="Heading3"/>
      </w:pPr>
      <w:r>
        <w:rPr>
          <w:b/>
          <w:bCs/>
        </w:rPr>
        <w:t xml:space="preserve">Baseline:</w:t>
      </w:r>
    </w:p>
    <w:p>
      <w:pPr>
        <w:spacing w:after="40"/>
      </w:pPr>
      <w:r>
        <w:rPr>
          <w:rFonts w:ascii="Arial" w:cs="Arial" w:eastAsia="Arial" w:hAnsi="Arial"/>
          <w:b/>
          <w:bCs/>
          <w:color w:val="2E86C1"/>
          <w:sz w:val="20"/>
          <w:szCs w:val="20"/>
        </w:rPr>
        <w:t xml:space="preserve">RAG Response:</w:t>
      </w:r>
    </w:p>
    <w:p>
      <w:pPr>
        <w:spacing w:after="40"/>
        <w:ind w:left="240"/>
      </w:pPr>
      <w:r>
        <w:rPr>
          <w:rFonts w:ascii="Consolas" w:cs="Consolas" w:eastAsia="Consolas" w:hAnsi="Consolas"/>
          <w:color w:val="2C3E50"/>
          <w:sz w:val="19"/>
          <w:szCs w:val="19"/>
        </w:rPr>
        <w:t xml:space="preserve">I couldn’t find this in the provided sections of Chapter 24.</w:t>
      </w:r>
    </w:p>
    <w:p>
      <w:pPr>
        <w:spacing w:after="40"/>
        <w:ind w:left="240"/>
      </w:pPr>
      <w:r>
        <w:rPr>
          <w:rFonts w:ascii="Consolas" w:cs="Consolas" w:eastAsia="Consolas" w:hAnsi="Consolas"/>
          <w:color w:val="2C3E50"/>
          <w:sz w:val="19"/>
          <w:szCs w:val="19"/>
        </w:rPr>
        <w:t xml:space="preserve">The context does not specify BOD limits or compliance thresholds.</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“The baseline can’t even find BOD limits, let alone tell you if you’re compliant. The user is stuck.”</w:t>
      </w:r>
    </w:p>
    <w:p>
      <w:pPr>
        <w:spacing w:after="60"/>
      </w:pPr>
    </w:p>
    <w:p>
      <w:pPr>
        <w:pStyle w:val="Heading3"/>
      </w:pPr>
      <w:r>
        <w:rPr>
          <w:b/>
          <w:bCs/>
        </w:rPr>
        <w:t xml:space="preserve">RegOS:</w:t>
      </w:r>
    </w:p>
    <w:p>
      <w:pPr>
        <w:spacing w:after="40"/>
      </w:pPr>
      <w:r>
        <w:rPr>
          <w:rFonts w:ascii="Arial" w:cs="Arial" w:eastAsia="Arial" w:hAnsi="Arial"/>
          <w:b/>
          <w:bCs/>
          <w:color w:val="2E86C1"/>
          <w:sz w:val="20"/>
          <w:szCs w:val="20"/>
        </w:rPr>
        <w:t xml:space="preserve">GraphRAG Response (confidence: 78%):</w:t>
      </w:r>
    </w:p>
    <w:p>
      <w:pPr>
        <w:spacing w:after="40"/>
        <w:ind w:left="240"/>
      </w:pPr>
      <w:r>
        <w:rPr>
          <w:rFonts w:ascii="Consolas" w:cs="Consolas" w:eastAsia="Consolas" w:hAnsi="Consolas"/>
          <w:color w:val="2C3E50"/>
          <w:sz w:val="19"/>
          <w:szCs w:val="19"/>
        </w:rPr>
        <w:t xml:space="preserve">Your BOD reading of 45 mg/L EXCEEDS applicable limits:</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1. General limit: 30 mg/L (Sec. 24-42(2)) [G2]</w:t>
      </w:r>
    </w:p>
    <w:p>
      <w:pPr>
        <w:spacing w:after="40"/>
        <w:ind w:left="240"/>
      </w:pPr>
      <w:r>
        <w:rPr>
          <w:rFonts w:ascii="Consolas" w:cs="Consolas" w:eastAsia="Consolas" w:hAnsi="Consolas"/>
          <w:color w:val="2C3E50"/>
          <w:sz w:val="19"/>
          <w:szCs w:val="19"/>
        </w:rPr>
        <w:t xml:space="preserve">   → Your 45 mg/L violates this standard</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2. Tertiary treatment: ≤15.0 mg/L (Sec. 24-42.1(1)) [G1]</w:t>
      </w:r>
    </w:p>
    <w:p>
      <w:pPr>
        <w:spacing w:after="40"/>
        <w:ind w:left="240"/>
      </w:pPr>
      <w:r>
        <w:rPr>
          <w:rFonts w:ascii="Consolas" w:cs="Consolas" w:eastAsia="Consolas" w:hAnsi="Consolas"/>
          <w:color w:val="2C3E50"/>
          <w:sz w:val="19"/>
          <w:szCs w:val="19"/>
        </w:rPr>
        <w:t xml:space="preserve">   → Your reading far exceeds this stricter limit</w:t>
      </w:r>
    </w:p>
    <w:p>
      <w:pPr>
        <w:spacing w:after="40"/>
        <w:ind w:left="240"/>
      </w:pPr>
      <w:r>
        <w:rPr>
          <w:rFonts w:ascii="Consolas" w:cs="Consolas" w:eastAsia="Consolas" w:hAnsi="Consolas"/>
          <w:color w:val="2C3E50"/>
          <w:sz w:val="19"/>
          <w:szCs w:val="19"/>
        </w:rPr>
        <w:t xml:space="preserve"/>
      </w:r>
    </w:p>
    <w:p>
      <w:pPr>
        <w:spacing w:after="40"/>
        <w:ind w:left="240"/>
      </w:pPr>
      <w:r>
        <w:rPr>
          <w:rFonts w:ascii="Consolas" w:cs="Consolas" w:eastAsia="Consolas" w:hAnsi="Consolas"/>
          <w:color w:val="2C3E50"/>
          <w:sz w:val="19"/>
          <w:szCs w:val="19"/>
        </w:rPr>
        <w:t xml:space="preserve">What You Need To Do:</w:t>
      </w:r>
    </w:p>
    <w:p>
      <w:pPr>
        <w:spacing w:after="40"/>
        <w:ind w:left="240"/>
      </w:pPr>
      <w:r>
        <w:rPr>
          <w:rFonts w:ascii="Consolas" w:cs="Consolas" w:eastAsia="Consolas" w:hAnsi="Consolas"/>
          <w:color w:val="2C3E50"/>
          <w:sz w:val="19"/>
          <w:szCs w:val="19"/>
        </w:rPr>
        <w:t xml:space="preserve">  • Clarify facility type (sewage/industrial, surface water/</w:t>
      </w:r>
    </w:p>
    <w:p>
      <w:pPr>
        <w:spacing w:after="40"/>
        <w:ind w:left="240"/>
      </w:pPr>
      <w:r>
        <w:rPr>
          <w:rFonts w:ascii="Consolas" w:cs="Consolas" w:eastAsia="Consolas" w:hAnsi="Consolas"/>
          <w:color w:val="2C3E50"/>
          <w:sz w:val="19"/>
          <w:szCs w:val="19"/>
        </w:rPr>
        <w:t xml:space="preserve">    outfall/deep well)</w:t>
      </w:r>
    </w:p>
    <w:p>
      <w:pPr>
        <w:spacing w:after="40"/>
        <w:ind w:left="240"/>
      </w:pPr>
      <w:r>
        <w:rPr>
          <w:rFonts w:ascii="Consolas" w:cs="Consolas" w:eastAsia="Consolas" w:hAnsi="Consolas"/>
          <w:color w:val="2C3E50"/>
          <w:sz w:val="19"/>
          <w:szCs w:val="19"/>
        </w:rPr>
        <w:t xml:space="preserve">  • Implement treatment upgrades</w:t>
      </w:r>
    </w:p>
    <w:p>
      <w:pPr>
        <w:spacing w:after="40"/>
        <w:ind w:left="240"/>
      </w:pPr>
      <w:r>
        <w:rPr>
          <w:rFonts w:ascii="Consolas" w:cs="Consolas" w:eastAsia="Consolas" w:hAnsi="Consolas"/>
          <w:color w:val="2C3E50"/>
          <w:sz w:val="19"/>
          <w:szCs w:val="19"/>
        </w:rPr>
        <w:t xml:space="preserve">  • Notify Miami-Dade Environmental Protection Division</w:t>
      </w:r>
    </w:p>
    <w:p>
      <w:pPr>
        <w:spacing w:after="40"/>
        <w:ind w:left="240"/>
      </w:pPr>
      <w:r>
        <w:rPr>
          <w:rFonts w:ascii="Consolas" w:cs="Consolas" w:eastAsia="Consolas" w:hAnsi="Consolas"/>
          <w:color w:val="2C3E50"/>
          <w:sz w:val="19"/>
          <w:szCs w:val="19"/>
        </w:rPr>
        <w:t xml:space="preserve">  • Submit compliance plan with corrective actions</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“RegOS detected the measurement in the question — BOD, 45 mg/L — looked up the applicable Chapter 24 limits, and told you: you’re in breach. Both the 30 mg/l general limit and the 15 mg/l tertiary limit. It also told you what to do about it: clarify your facility type, upgrade treatment, notify the county. This isn’t the AI guessing from text — it evaluated against specific regulatory thresholds programmatically.”</w:t>
      </w:r>
    </w:p>
    <w:p>
      <w:r>
        <w:br w:type="page"/>
      </w:r>
    </w:p>
    <w:p>
      <w:pPr>
        <w:pStyle w:val="Heading1"/>
      </w:pPr>
      <w:r>
        <w:rPr>
          <w:b/>
          <w:bCs/>
        </w:rPr>
        <w:t xml:space="preserve">The Scorecard</w:t>
      </w:r>
    </w:p>
    <w:p>
      <w:pPr>
        <w:spacing w:after="80"/>
        <w:jc w:val="right"/>
      </w:pPr>
      <w:r>
        <w:rPr>
          <w:rFonts w:ascii="Arial" w:cs="Arial" w:eastAsia="Arial" w:hAnsi="Arial"/>
          <w:i/>
          <w:iCs/>
          <w:color w:val="7F8C8D"/>
          <w:sz w:val="20"/>
          <w:szCs w:val="20"/>
        </w:rPr>
        <w:t xml:space="preserve">⏱ Show this summary</w:t>
      </w:r>
    </w:p>
    <w:p>
      <w:pPr>
        <w:spacing w:after="120"/>
      </w:pPr>
      <w:r>
        <w:rPr>
          <w:rFonts w:ascii="Arial" w:cs="Arial" w:eastAsia="Arial" w:hAnsi="Arial"/>
          <w:sz w:val="22"/>
          <w:szCs w:val="22"/>
        </w:rPr>
        <w:t xml:space="preserve">Here’s how both systems performed across all 6 queries:</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Baseline (RAG)</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RegOS (GraphRAG)</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Everglades treatment standards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prep standards, operator licenses. No discharge limits.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 15mg/l, TSS 15mg/l, P 1mg/l, Bird Drive Basin Plan. Conf: 80%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 limits for industrial discharge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worldwide answer: EPA, EU, India. Wrong jurisdiction.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mg/l general + 15 mg/l tertiary. Miami-Dade specific. Conf: 79%</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Penalties for exceeding BOD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couldn’t find this.”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$2,000/day fines, 60 days imprisonment, 4 sections bridged. Conf: 81%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 me about regulations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couldn’t find this.”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Ch.24 framework overview: rulemaking, enforcement, programs. Conf: 70%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Hello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greeting with emoji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greeting + guardrail notice + audit ref</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 45 mg/L — compliant?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couldn’t find this.”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 exceeds 30mg/l and 15mg/l limits. Action plan provided. Conf: 78%</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w:t>
            </w:r>
          </w:p>
        </w:tc>
      </w:tr>
    </w:tbl>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“Six queries. The baseline failed on four of them outright — ‘I couldn’t find this’ three times, plus one completely wrong jurisdiction. RegOS found the right regulatory content every time. The confidence scores range from 70% to 81%, and they rank correctly: cross-domain queries that bridge multiple sections score highest, vague queries score lowest.”</w:t>
      </w:r>
    </w:p>
    <w:p>
      <w:r>
        <w:br w:type="page"/>
      </w:r>
    </w:p>
    <w:p>
      <w:pPr>
        <w:pStyle w:val="Heading1"/>
      </w:pPr>
      <w:r>
        <w:rPr>
          <w:b/>
          <w:bCs/>
        </w:rPr>
        <w:t xml:space="preserve">Closing: What Makes This Work</w:t>
      </w:r>
    </w:p>
    <w:p>
      <w:pPr>
        <w:spacing w:after="80"/>
        <w:jc w:val="right"/>
      </w:pPr>
      <w:r>
        <w:rPr>
          <w:rFonts w:ascii="Arial" w:cs="Arial" w:eastAsia="Arial" w:hAnsi="Arial"/>
          <w:i/>
          <w:iCs/>
          <w:color w:val="7F8C8D"/>
          <w:sz w:val="20"/>
          <w:szCs w:val="20"/>
        </w:rPr>
        <w:t xml:space="preserve">⏱ ~1 minute</w:t>
      </w: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“What you’ve seen isn’t a better search engine. It’s a fundamentally different approach. The baseline uses text similarity — it matches words. RegOS uses a knowledge graph with a 3-layer architecture: ontology concepts at the top, regulatory document sections in the middle, specific entities at the bottom. When someone asks about penalties for exceeding BOD limits, the graph traverses from discharge standards to penalty provisions to exception clauses — three sections that share zero keywords but are conceptually connected.”</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“On top of that: every answer gets a confidence score so you know how much to trust it. Every interaction is logged with tamper-evident hashing for compliance audit. Measurements get checked against 96 regulatory thresholds programmatically. And when confidence is low, the system auto-escalates to human review.”</w:t>
      </w:r>
    </w:p>
    <w:p>
      <w:pPr>
        <w:spacing w:after="60"/>
      </w:pPr>
    </w:p>
    <w:p>
      <w:pPr>
        <w:pBdr>
          <w:left w:val="single" w:color="1B4F72" w:sz="6" w:space="8"/>
        </w:pBdr>
        <w:spacing w:after="160"/>
        <w:ind w:left="360"/>
      </w:pPr>
      <w:r>
        <w:rPr>
          <w:rFonts w:ascii="Arial" w:cs="Arial" w:eastAsia="Arial" w:hAnsi="Arial"/>
          <w:b/>
          <w:bCs/>
          <w:color w:val="1B4F72"/>
          <w:sz w:val="22"/>
          <w:szCs w:val="22"/>
        </w:rPr>
        <w:t xml:space="preserve">SAY: </w:t>
      </w:r>
      <w:r>
        <w:rPr>
          <w:rFonts w:ascii="Arial" w:cs="Arial" w:eastAsia="Arial" w:hAnsi="Arial"/>
          <w:i/>
          <w:iCs/>
          <w:sz w:val="22"/>
          <w:szCs w:val="22"/>
        </w:rPr>
        <w:t xml:space="preserve">“This is version 0.17.3 running live. We’ve rebuilt the graph, rewritten the retrieval pipeline, fixed a Cypher injection vulnerability, and rebalanced confidence scoring for the new schema. It’s production-ready.”</w:t>
      </w:r>
    </w:p>
    <w:p>
      <w:pPr>
        <w:spacing w:after="60"/>
      </w:pPr>
    </w:p>
    <w:p>
      <w:pPr>
        <w:pStyle w:val="Heading2"/>
      </w:pPr>
      <w:r>
        <w:rPr>
          <w:b/>
          <w:bCs/>
        </w:rPr>
        <w:t xml:space="preserve">What’s Next</w:t>
      </w:r>
    </w:p>
    <w:p>
      <w:pPr>
        <w:pStyle w:val="ListParagraph"/>
        <w:numPr>
          <w:ilvl w:val="0"/>
          <w:numId w:val="2"/>
        </w:numPr>
      </w:pPr>
      <w:r>
        <w:rPr>
          <w:rFonts w:ascii="Arial" w:cs="Arial" w:eastAsia="Arial" w:hAnsi="Arial"/>
          <w:sz w:val="22"/>
          <w:szCs w:val="22"/>
        </w:rPr>
        <w:t xml:space="preserve">Vector search integration — 128-dim embeddings ready on every document node</w:t>
      </w:r>
    </w:p>
    <w:p>
      <w:pPr>
        <w:pStyle w:val="ListParagraph"/>
        <w:numPr>
          <w:ilvl w:val="0"/>
          <w:numId w:val="2"/>
        </w:numPr>
      </w:pPr>
      <w:r>
        <w:rPr>
          <w:rFonts w:ascii="Arial" w:cs="Arial" w:eastAsia="Arial" w:hAnsi="Arial"/>
          <w:sz w:val="22"/>
          <w:szCs w:val="22"/>
        </w:rPr>
        <w:t xml:space="preserve">SCADA streaming API — real-time sensor data evaluation against Chapter 24 thresholds</w:t>
      </w:r>
    </w:p>
    <w:p>
      <w:pPr>
        <w:pStyle w:val="ListParagraph"/>
        <w:numPr>
          <w:ilvl w:val="0"/>
          <w:numId w:val="2"/>
        </w:numPr>
      </w:pPr>
      <w:r>
        <w:rPr>
          <w:rFonts w:ascii="Arial" w:cs="Arial" w:eastAsia="Arial" w:hAnsi="Arial"/>
          <w:sz w:val="22"/>
          <w:szCs w:val="22"/>
        </w:rPr>
        <w:t xml:space="preserve">APAS Telemetry bridge — polling field sensor readings into the compliance pipeline</w:t>
      </w:r>
    </w:p>
    <w:p>
      <w:pPr>
        <w:pStyle w:val="ListParagraph"/>
        <w:numPr>
          <w:ilvl w:val="0"/>
          <w:numId w:val="2"/>
        </w:numPr>
        <w:spacing w:after="200"/>
      </w:pPr>
      <w:r>
        <w:rPr>
          <w:rFonts w:ascii="Arial" w:cs="Arial" w:eastAsia="Arial" w:hAnsi="Arial"/>
          <w:sz w:val="22"/>
          <w:szCs w:val="22"/>
        </w:rPr>
        <w:t xml:space="preserve">Compliance dashboard — breach history, confidence trends, escalation status</w:t>
      </w:r>
    </w:p>
    <w:p>
      <w:r>
        <w:br w:type="page"/>
      </w:r>
    </w:p>
    <w:p>
      <w:pPr>
        <w:pStyle w:val="Heading1"/>
      </w:pPr>
      <w:r>
        <w:rPr>
          <w:b/>
          <w:bCs/>
        </w:rPr>
        <w:t xml:space="preserve">Quick Reference Cheat Sheet</w:t>
      </w:r>
    </w:p>
    <w:p>
      <w:pPr>
        <w:spacing w:after="120"/>
        <w:rPr>
          <w:i/>
          <w:iCs/>
          <w:color w:val="7F8C8D"/>
        </w:rPr>
      </w:pPr>
      <w:r>
        <w:rPr>
          <w:rFonts w:ascii="Arial" w:cs="Arial" w:eastAsia="Arial" w:hAnsi="Arial"/>
          <w:i/>
          <w:iCs/>
          <w:color w:val="7F8C8D"/>
          <w:sz w:val="22"/>
          <w:szCs w:val="22"/>
        </w:rPr>
        <w:t xml:space="preserve">Keep this on your phone during the demo.</w:t>
      </w:r>
    </w:p>
    <w:p>
      <w:pPr>
        <w:spacing w:after="60"/>
      </w:pPr>
    </w:p>
    <w:p>
      <w:pPr>
        <w:pStyle w:val="Heading2"/>
      </w:pPr>
      <w:r>
        <w:rPr>
          <w:b/>
          <w:bCs/>
        </w:rPr>
        <w:t xml:space="preserve">Queries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800"/>
        <w:gridCol w:w="49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Run On</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treatment standards apply to facilities near the Everglades?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plan prep. RegOS: actual limits + Basin Plan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BOD limits for industrial discharge?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worldwide generic. RegOS: 30mg/l + 15mg/l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there penalties for exceeding BOD limits?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can’t find it. RegOS: $2K/day, bridges 4 sections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 me about regulations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can’t find it. RegOS: full framework overview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hello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emoji. RegOS: guardrail + audit ref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BOD is 45 mg/L — am I compliant?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can’t find it. RegOS: BREACH determination</w:t>
            </w:r>
          </w:p>
        </w:tc>
      </w:tr>
    </w:tbl>
    <w:p>
      <w:pPr>
        <w:spacing w:after="60"/>
      </w:pPr>
    </w:p>
    <w:p>
      <w:pPr>
        <w:pStyle w:val="Heading2"/>
      </w:pPr>
      <w:r>
        <w:rPr>
          <w:b/>
          <w:bCs/>
        </w:rPr>
        <w:t xml:space="preserve">Valve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Valve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show_confidence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badge visible on every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show_trace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for Acts 1–3, true for scorecard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clutters the side-by-side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r>
    </w:tbl>
    <w:p>
      <w:pPr>
        <w:spacing w:after="60"/>
      </w:pPr>
    </w:p>
    <w:p>
      <w:pPr>
        <w:pStyle w:val="Heading2"/>
      </w:pPr>
      <w:r>
        <w:rPr>
          <w:b/>
          <w:bCs/>
        </w:rPr>
        <w:t xml:space="preserve">If Things Go Wrong</w:t>
      </w:r>
    </w:p>
    <w:p>
      <w:pPr>
        <w:pStyle w:val="ListParagraph"/>
        <w:numPr>
          <w:ilvl w:val="0"/>
          <w:numId w:val="2"/>
        </w:numPr>
      </w:pPr>
      <w:r>
        <w:rPr>
          <w:rFonts w:ascii="Arial" w:cs="Arial" w:eastAsia="Arial" w:hAnsi="Arial"/>
          <w:sz w:val="22"/>
          <w:szCs w:val="22"/>
        </w:rPr>
        <w:t xml:space="preserve">Neo4j slow? Free tier sleeps. Warm up with “What is BOD?” before the demo.</w:t>
      </w:r>
    </w:p>
    <w:p>
      <w:pPr>
        <w:pStyle w:val="ListParagraph"/>
        <w:numPr>
          <w:ilvl w:val="0"/>
          <w:numId w:val="2"/>
        </w:numPr>
      </w:pPr>
      <w:r>
        <w:rPr>
          <w:rFonts w:ascii="Arial" w:cs="Arial" w:eastAsia="Arial" w:hAnsi="Arial"/>
          <w:sz w:val="22"/>
          <w:szCs w:val="22"/>
        </w:rPr>
        <w:t xml:space="preserve">Confidence always 0%? Check Neo4j password valve: Admin → Functions → graphrag_filter.</w:t>
      </w:r>
    </w:p>
    <w:p>
      <w:pPr>
        <w:pStyle w:val="ListParagraph"/>
        <w:numPr>
          <w:ilvl w:val="0"/>
          <w:numId w:val="2"/>
        </w:numPr>
      </w:pPr>
      <w:r>
        <w:rPr>
          <w:rFonts w:ascii="Arial" w:cs="Arial" w:eastAsia="Arial" w:hAnsi="Arial"/>
          <w:sz w:val="22"/>
          <w:szCs w:val="22"/>
        </w:rPr>
        <w:t xml:space="preserve">Sources panel empty? Refresh the page.</w:t>
      </w:r>
    </w:p>
    <w:p>
      <w:pPr>
        <w:pStyle w:val="ListParagraph"/>
        <w:numPr>
          <w:ilvl w:val="0"/>
          <w:numId w:val="2"/>
        </w:numPr>
        <w:spacing w:after="200"/>
      </w:pPr>
      <w:r>
        <w:rPr>
          <w:rFonts w:ascii="Arial" w:cs="Arial" w:eastAsia="Arial" w:hAnsi="Arial"/>
          <w:sz w:val="22"/>
          <w:szCs w:val="22"/>
        </w:rPr>
        <w:t xml:space="preserve">Answer seems wrong? That’s a reasoning error, not a retrieval error — use it as a teaching moment.</w:t>
      </w:r>
    </w:p>
    <w:p>
      <w:pPr>
        <w:spacing w:after="60"/>
      </w:pPr>
    </w:p>
    <w:p>
      <w:pPr>
        <w:pStyle w:val="Heading2"/>
      </w:pPr>
      <w:r>
        <w:rPr>
          <w:b/>
          <w:bCs/>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GraphRAG Filter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4-step retrieval: doc search → entity traversal → concept expansion → direct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v0.17.3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FEA Graph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693 nodes, 2,351 rels. 3 layers: ontology → documents → entities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 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Scoring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weighted signals, HIGH (≥0.70) / MEDIUM (≥0.45) / 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v0.17.3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Evaluation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 regulatory thresholds, SHA-256 evidence hashing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query/response logged with tamper-evident hashing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Out-of-scope detection, zero-retrieval notice, jurisdiction check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v0.12.0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b/>
        <w:bCs/>
        <w:color w:val="1B4F72"/>
        <w:sz w:val="18"/>
        <w:szCs w:val="18"/>
      </w:rPr>
      <w:t xml:space="preserve">RegOS Demo Script</w:t>
    </w:r>
    <w:r>
      <w:rPr>
        <w:rFonts w:ascii="Arial" w:cs="Arial" w:eastAsia="Arial" w:hAnsi="Arial"/>
        <w:color w:val="7F8C8D"/>
        <w:sz w:val="18"/>
        <w:szCs w:val="18"/>
      </w:rPr>
      <w:t xml:space="preserve">  |  APAS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2026-02-27T09:31:44.496Z</dcterms:created>
  <dcterms:modified xsi:type="dcterms:W3CDTF">2026-02-27T09:31:44.497Z</dcterms:modified>
</cp:coreProperties>
</file>

<file path=docProps/custom.xml><?xml version="1.0" encoding="utf-8"?>
<Properties xmlns="http://schemas.openxmlformats.org/officeDocument/2006/custom-properties" xmlns:vt="http://schemas.openxmlformats.org/officeDocument/2006/docPropsVTypes"/>
</file>