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RegOS Integration Response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Addressing All Integration Requirements — Item-by-Item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  —  APAS AI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12 ITEMS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Already Built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8"/>
                <w:szCs w:val="28"/>
              </w:rPr>
              <w:t xml:space="preserve">3 ITEMS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Not Built (By Design)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8"/>
                <w:szCs w:val="28"/>
              </w:rPr>
              <w:t xml:space="preserve">3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0"/>
                <w:szCs w:val="20"/>
              </w:rPr>
              <w:t xml:space="preserve">Attached / Documented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Static Data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three requested files exist in the repository and are production-ready. They are delivered alongside this document and documented below with their full schemas.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1.1 regulatory_thresholds.json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 — exists at data/regulatory_thresholds.json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22,937 bytes (22 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 curated Chapter 24 thresholds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graphrag_filter.py → _evaluate_thresholds() for deterministic PASS/FAIL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/app/backend/data/regulatory_thresholds.json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Schema (per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Biochemical oxygen demand (BOD)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parameter name. Must match _PARAM_ALIASES keys in graphrag_filter.py.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limit value (stored as string, parsed to float at runtime).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mg/l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measurement. Matched against user query units.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 direction: "max" (must not exceed), "min" (must not fall below), "exact".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 shall not exceed 30 mg/l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regulatory text. Shown to user and injected into LLM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24_42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 24 section reference (underscore format). Used for facility disambiguation.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concentration_limit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Category: "concentration_limit", "percentage", "temperature", "ph_range", "turbidity".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Coverage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96 thresholds cover: effluent quality (BOD, TSS, DO, pH, oil/grease, turbidity), heavy metals (Cu, Pb, Zn, Cr, Ni, Cd, Hg, As, Ag, cyanide), temperature (92°F freshwater, 95°F marine), FOG (food service), treatment efficiency (90% min), stormwater, and more. Sections referenced: 24-42 (general surface water), 24-42.1 (tertiary effluent), 24-42.4 (industrial pretreatment).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1.2 concepts.json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 — exists at data/concepts.json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9,867 bytes (10 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regulatory domain concepts (15 in the discovery doc was based on an earlier count; the full file has 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graphrag_filter.py → Step 3 concept expansion in the retrieval pipeline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Schema (per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concept identifier (e.g., SEWER_DISCHARGE_LIMITS). Used as lookup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concept name (e.g., Sewer Discharge Limits).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 of the regulatory domain. Used for fuzzy matching in concept expansion.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primary_sections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 24 sections that define this concept (e.g., ["24-42", "24-42.4", "24-42.5"]).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1.3 apas_metric_mappings.json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 — exists at data/apas_metric_mappings.json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6,048 bytes (6 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mappings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SCADA metrics mapped (1 evaluable: temperature)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 effluent sensor templates (BOD, TSS, DO, pH, oil/grease, turbidity, Cu, Pb, Zn, Cr, Ni, cyanide, FOG, temperature)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Schema (per mapping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apas_source_id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APAS source identifier (e.g., 123scada_pump_station).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apas_metric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Wildcard metric pattern (e.g., rtu.*.temperature, effluent.*.bod).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regos_parameter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 Chapter 24 parameter name. null if no regulatory threshold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regos_unit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expected by the threshold engine. null if not evaluable.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unit_conversion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object|undef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conversion: { from, to, formula }. E.g., { from: "°C", to: "°F", formula: "value * 9/5 + 32"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evaluate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Whether to run threshold evaluation. false = operational metric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explanation of this metric and its regulatory relevance.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API Access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Sidecar API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— FastAPI sidecar at api/regos_api.py (468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/api/regos/query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8300 (configurable via REGOS_API_PORT env 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/api/regos/health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/api/regos/info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Currently internal network only. VPN/tunneling or firewall rule needed if calling from external network. Decision required from infrastructure team.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Request Schema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/api/regos/query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string,          // Required. The compliance query.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boolean,            // Default: false. SSE streaming.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"show_reasoning": boolean,    // Default: false. Reasoning tokens.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"context": string | null,     // Optional facility context preamble.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"show_trace": boolean,        // Default: false. Retrieval trace.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"conversation_id": string | null, // Continue existing chat.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"messages": Message[] | null  // Advanced: full message history.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Response Schema (Blocking Mode)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"content": string,            // Full enriched response with citations.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"reasoning": string | null,   // Reasoning tokens (if available).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string,              // Model ID used (e.g., "better-hardeepai").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"HIGH" | "MEDIUM" | "LOW" | null,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"usage": { prompt_tokens, completion_tokens, total_tokens } | null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Service Account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EXISTS — uses OPENWEBUI_TOKEN env 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sidecar reads OPENWEBUI_TOKEN at startup and uses it for all requests to Open WebUI. One env var = one token.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needed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 a dedicated service account in Open WebUI admin (Settings → Users). Generate an API token for that account. Set it as OPENWEBUI_TOKEN on the sidecar. This is a manual admin step, not a code gap.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API tokens inherit the user's permissions. Create a non-admin user with query-only access for the integration service account.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CORS / Network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— CORS middleware already configured: allow_origins=["*"], allow_methods=["*"], allow_headers=["*"]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api/regos_api.py lines 69–74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Wide open (all origins). If you want to restrict to specific origins, change allow_origins to your domain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 through your backend (recommended). Direct browser-to-sidecar calls expose the token. Your backend calls sidecar with the token server-side.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Technical Specs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Response Schema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IN CODE — all three metadata objects are set in graphrag_filter.py outlet() (lines 2567–2650)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graphrag_confidence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on the assistant message when a guardrail does NOT fire and retrieval completes successfully.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"score": number,    // 0.0–1.0 composite confidence score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"band": string,     // "HIGH" (≥0.70) | "MEDIUM" (0.45–0.69) | "LOW" (&lt;0.45)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"signals": 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"entity_scores": number[],      // Fulltext match scores per entity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"entity_count": number,         // Number of entities found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"concept_section_count": number, // Sections via concept expansion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"direct_scores": number[],      // Direct fulltext search scores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"final_section_count": number,  // Total sections after dedup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"graph_section_uuids": string[], // Section IDs from graph steps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"direct_section_uuids": string[] // Section IDs from direct search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 — when is this null? </w:t>
      </w:r>
      <w:r>
        <w:rPr>
          <w:rFonts w:ascii="Arial" w:cs="Arial" w:eastAsia="Arial" w:hAnsi="Arial"/>
          <w:sz w:val="22"/>
          <w:szCs w:val="22"/>
        </w:rPr>
        <w:t xml:space="preserve">When a guardrail fires (out_of_scope, jurisdiction, zero_retrieval, neo4j_unavailable), graphrag_confidence is NOT set on the message at all. When Neo4j is down with KB fallback active, it is also NOT set (type becomes neo4j_degraded instead). Your code should treat a missing graphrag_confidence key as "no confidence data available."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graphrag_guardrail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on every assistant message (either guardrail fired or not).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"triggered": boolean,  // true if query was blocked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"type": string,        // One of: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"out_of_scope"       — keyword exclusion match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"jurisdiction"       — non-Miami-Dade location detected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"zero_retrieval"     — no graph results at all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"neo4j_unavailable"  — connection failure, hard block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// "neo4j_degraded"     — connection failure, KB-only fallback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"reason": string,      // Human-readable explanation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"ref": string | null   // GRD-YYYYMMDD-XXXX reference (null for neo4j_degraded)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 blocks query: </w:t>
      </w:r>
      <w:r>
        <w:rPr>
          <w:rFonts w:ascii="Arial" w:cs="Arial" w:eastAsia="Arial" w:hAnsi="Arial"/>
          <w:sz w:val="22"/>
          <w:szCs w:val="22"/>
        </w:rPr>
        <w:t xml:space="preserve">triggered=true, type="out_of_scope"|"jurisdiction"|"zero_retrieval"|"neo4j_unavailable". The LLM response is replaced with a guardrail notice. graphrag_confidence is NOT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Neo4j down, KB fallback: </w:t>
      </w:r>
      <w:r>
        <w:rPr>
          <w:rFonts w:ascii="Arial" w:cs="Arial" w:eastAsia="Arial" w:hAnsi="Arial"/>
          <w:sz w:val="22"/>
          <w:szCs w:val="22"/>
        </w:rPr>
        <w:t xml:space="preserve">triggered=false, type="neo4j_degraded". Query proceeds with Knowledge Base only. graphrag_confidence is NOT present. Response includes a degraded mode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 operation: </w:t>
      </w:r>
      <w:r>
        <w:rPr>
          <w:rFonts w:ascii="Arial" w:cs="Arial" w:eastAsia="Arial" w:hAnsi="Arial"/>
          <w:sz w:val="22"/>
          <w:szCs w:val="22"/>
        </w:rPr>
        <w:t xml:space="preserve">graphrag_guardrail may not be present at all when everything works normally and no guardrail/degraded state is active. Check for key existence.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graphrag_escalation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Only set when escalation triggers (low confidence). Not present on high-confidence responses.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"triggered": boolean,           // always true when present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"target": string,               // escalation target (default: "compliance-review")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"case_ref": string,             // REG-YYYYMMDD-XXXX unique case reference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"reason": string,               // "Low retrieval confidence (42%): weak entity matching"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"confidence_score": number,     // 0.0–1.0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"confidence_band": string       // "LOW" or "MEDIUM"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case: </w:t>
      </w:r>
      <w:r>
        <w:rPr>
          <w:rFonts w:ascii="Arial" w:cs="Arial" w:eastAsia="Arial" w:hAnsi="Arial"/>
          <w:sz w:val="22"/>
          <w:szCs w:val="22"/>
        </w:rPr>
        <w:t xml:space="preserve">Only present when confidence &lt; escalation_threshold (default 0.65). If not present on the message, no escalation occurred. Never present alongside a guardrail (guardrails take priority).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Rate Limits / Cost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No rate limiter exists in the sidecar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doesn't exist: </w:t>
      </w:r>
      <w:r>
        <w:rPr>
          <w:rFonts w:ascii="Arial" w:cs="Arial" w:eastAsia="Arial" w:hAnsi="Arial"/>
          <w:sz w:val="22"/>
          <w:szCs w:val="22"/>
        </w:rPr>
        <w:t xml:space="preserve">The sidecar is a thin proxy — it forwards requests to Open WebUI, which forwards to OpenRouter. Rate limiting should live at the layer that owns the constraint: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OpenRouter rate limits: </w:t>
      </w:r>
      <w:r>
        <w:rPr>
          <w:rFonts w:ascii="Arial" w:cs="Arial" w:eastAsia="Arial" w:hAnsi="Arial"/>
          <w:sz w:val="22"/>
          <w:szCs w:val="22"/>
        </w:rPr>
        <w:t xml:space="preserve">Depend on your plan. Check your OpenRouter dashboard for requests/minute and tokens/minute limits. The sidecar itself has no artificial throttle.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per query: </w:t>
      </w:r>
      <w:r>
        <w:rPr>
          <w:rFonts w:ascii="Arial" w:cs="Arial" w:eastAsia="Arial" w:hAnsi="Arial"/>
          <w:sz w:val="22"/>
          <w:szCs w:val="22"/>
        </w:rPr>
        <w:t xml:space="preserve">Depends on the active model. For Gemini 2.0 Flash via OpenRouter, approximate cost is ~$0.001–$0.003 per query (input + output tokens). Neo4j Aura has its own pricing for graph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Throughput: </w:t>
      </w:r>
      <w:r>
        <w:rPr>
          <w:rFonts w:ascii="Arial" w:cs="Arial" w:eastAsia="Arial" w:hAnsi="Arial"/>
          <w:sz w:val="22"/>
          <w:szCs w:val="22"/>
        </w:rPr>
        <w:t xml:space="preserve">The sidecar uses async Python (aiohttp + FastAPI). It can handle concurrent requests limited only by: (a) OpenRouter rate limits, (b) Neo4j connection pool, (c) server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Implement rate limiting on YOUR side (your backend proxy), not in the sidecar. This gives you control over your own consumption budget without depending on us to change config.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Model ID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— Model ID exposed via GET /api/regos/info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model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better-hardeepai (Gemini 2.0 Flash via OpenRouter with RegOS system prompt + GraphRAG 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model changes?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integration does NOT break. The sidecar always uses REGOS_MODEL_ID env var. GET /api/regos/info always returns the current model. The GraphRAG filter is model-agnostic — it works with any model it's enabled 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 GET /api/regos/info on startup or periodically to log which model is active. This is informational only — the API contract doesn't change with the model.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Ongoing Sync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Update Notification Mechanism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BUILT — No threshold version endpoint or change notification exists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doesn't exist: </w:t>
      </w:r>
      <w:r>
        <w:rPr>
          <w:rFonts w:ascii="Arial" w:cs="Arial" w:eastAsia="Arial" w:hAnsi="Arial"/>
          <w:sz w:val="22"/>
          <w:szCs w:val="22"/>
        </w:rPr>
        <w:t xml:space="preserve">RegOS was built as a single-tenant system where the operator (us) manually updates the threshold file and redeploys. There was no multi-consumer use case until now. Building a version endpoint is straightforward but wasn't prioritized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change frequency: </w:t>
      </w:r>
      <w:r>
        <w:rPr>
          <w:rFonts w:ascii="Arial" w:cs="Arial" w:eastAsia="Arial" w:hAnsi="Arial"/>
          <w:sz w:val="22"/>
          <w:szCs w:val="22"/>
        </w:rPr>
        <w:t xml:space="preserve">Chapter 24 thresholds change only when Miami-Dade County amends the ordinance. This happens perhaps 1–2 times per year. The current file has been stable since initial curation.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automated ingestion: </w:t>
      </w:r>
      <w:r>
        <w:rPr>
          <w:rFonts w:ascii="Arial" w:cs="Arial" w:eastAsia="Arial" w:hAnsi="Arial"/>
          <w:sz w:val="22"/>
          <w:szCs w:val="22"/>
        </w:rPr>
        <w:t xml:space="preserve">Threshold updates are manual (a human reads the amended ordinance and updates the JSON). There's no pipeline that could silently change the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 options if you need this: </w:t>
      </w:r>
      <w:r>
        <w:rPr>
          <w:rFonts w:ascii="Arial" w:cs="Arial" w:eastAsia="Arial" w:hAnsi="Arial"/>
          <w:sz w:val="22"/>
          <w:szCs w:val="22"/>
        </w:rPr>
        <w:t xml:space="preserve">(a) Pull from the git repo (we push changes there), (b) We build a GET /api/regos/thresholds/version endpoint returning a SHA-256 hash of the file, (c) We send a manual notification when thresholds change. Recommend option (a) or (b) — both are quick to implement if you decide you need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Access to Breach Logging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EXISTS, EXTERNAL WRITE ACCESS DOES NOT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breach database schema is fully defined and operational. It lives inside the Docker container at /app/backend/data/regos_breaches.db. Every threshold evaluation is automatically logged there. Here is the complete schema: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threshold_evaluations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record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(UTC)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user ID who submitted the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session ID (prefixed with 'api-' for sidecar calls)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parameter name (e.g., Biochemical oxygen demand (BOD))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numeric value from the user's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regulatory limit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threshold_direction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"max", "min", or "exact"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threshold_unit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of the threshold (e.g., mg/l, °F, 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Chapter 24 section reference (e.g., 24_42)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"COMPLIANT", "BREACH", "BORDERLINE"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limit (positive = within, negative = exceeds)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pct_of_limit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value as percentage of limit (e.g., 150.0 = 50% over)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regulatory text for this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of the evaluation for tamper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query_text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user query that triggered the evaluation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external write access doesn't exist: </w:t>
      </w:r>
      <w:r>
        <w:rPr>
          <w:rFonts w:ascii="Arial" w:cs="Arial" w:eastAsia="Arial" w:hAnsi="Arial"/>
          <w:sz w:val="22"/>
          <w:szCs w:val="22"/>
        </w:rPr>
        <w:t xml:space="preserve">The breach DB is an internal audit trail inside the Docker container. Exposing write access creates data integrity risks — external writes could bypass the SHA-256 evidence hashing that makes the trail tamper-evident. Our recommendation: maintain your own audit log on your side. If you need a unified view, we can build a read-only GET /api/regos/breaches endpoint to expose evaluations via HTTP, or mount the SQLite file as a shared Docker volume for read access.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Summary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regulatory_thresholds.json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attached. 96 entries, schema documented above.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attached. 30 concepts, schema documented above.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apas_metric_mappings.json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attached. 8 active + 14 templates, schema documented.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API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/api/regos/query on port 8300. Request/response schemas above.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exists. Provision a dedicated user in Open WebUI admin.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/ network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allows all origins. Proxy through your backend (recommended).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schema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TypeScript-level schemas with edge cases documented in Section 3.1.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 /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rate limiter by design. Implement on your side. See Section 3.2.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ID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better-hardeepai. GET /api/regos/info returns current model. Model-agnostic.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notification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Low-frequency changes. Pull from git repo or request a version endpoint.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DB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schema documented in Section 4.2. 16 columns.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Breach DB write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design — external writes bypass tamper detection. Maintain own log.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three data files (regulatory_thresholds.json, concepts.json, apas_metric_mappings.json) are delivered alongside this document in the same directory. They can be copied directly into your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RegOS Integration Response</w:t>
    </w:r>
    <w: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2026-03-08T06:43:18.781Z</dcterms:created>
  <dcterms:modified xsi:type="dcterms:W3CDTF">2026-03-08T06:43:18.781Z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