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4"/>
          <w:szCs w:val="44"/>
        </w:rPr>
        <w:t xml:space="preserve">RegOS Security Research</w:t>
      </w:r>
    </w:p>
    <w:p>
      <w:pPr>
        <w:spacing w:after="400"/>
        <w:jc w:val="center"/>
      </w:pPr>
      <w:r>
        <w:rPr>
          <w:rFonts w:ascii="Arial" w:cs="Arial" w:eastAsia="Arial" w:hAnsi="Arial"/>
          <w:color w:val="2E5984"/>
          <w:sz w:val="36"/>
          <w:szCs w:val="36"/>
        </w:rPr>
        <w:t xml:space="preserve">Confidence Score: User Feedback Loop</w:t>
      </w:r>
    </w:p>
    <w:p>
      <w:pPr>
        <w:spacing w:after="120"/>
        <w:jc w:val="center"/>
      </w:pPr>
      <w:r>
        <w:rPr>
          <w:rFonts w:ascii="Arial" w:cs="Arial" w:eastAsia="Arial" w:hAnsi="Arial"/>
          <w:color w:val="666666"/>
          <w:sz w:val="24"/>
          <w:szCs w:val="24"/>
        </w:rPr>
        <w:t xml:space="preserve">P1/P2 Backlog Item #9 — Deep Research Report</w:t>
      </w:r>
    </w:p>
    <w:p>
      <w:pPr>
        <w:pBdr>
          <w:bottom w:val="single" w:color="1B3A5C" w:sz="8" w:space="1"/>
        </w:pBdr>
        <w:spacing w:after="600"/>
        <w:jc w:val="center"/>
      </w:pPr>
      <w:r>
        <w:rPr>
          <w:rFonts w:ascii="Arial" w:cs="Arial" w:eastAsia="Arial" w:hAnsi="Arial"/>
          <w:b/>
          <w:bCs/>
          <w:color w:val="C0392B"/>
          <w:sz w:val="24"/>
          <w:szCs w:val="24"/>
        </w:rPr>
        <w:t xml:space="preserve">Revision 2 — March 20, 2026</w:t>
      </w:r>
    </w:p>
    <w:p>
      <w:pPr>
        <w:spacing w:after="80"/>
        <w:jc w:val="center"/>
      </w:pPr>
      <w:r>
        <w:rPr>
          <w:rFonts w:ascii="Arial" w:cs="Arial" w:eastAsia="Arial" w:hAnsi="Arial"/>
          <w:color w:val="666666"/>
          <w:sz w:val="20"/>
          <w:szCs w:val="20"/>
        </w:rPr>
        <w:t xml:space="preserve">Original: March 18, 2026  |  Revised: March 20, 2026</w:t>
      </w:r>
    </w:p>
    <w:p>
      <w:pPr>
        <w:spacing w:after="80"/>
        <w:jc w:val="center"/>
      </w:pPr>
      <w:r>
        <w:rPr>
          <w:rFonts w:ascii="Arial" w:cs="Arial" w:eastAsia="Arial" w:hAnsi="Arial"/>
          <w:color w:val="666666"/>
          <w:sz w:val="20"/>
          <w:szCs w:val="20"/>
        </w:rPr>
        <w:t xml:space="preserve">Prepared by: Anmol Pokhriyal  |  Team: RegOS / OneWater / APAS Group</w:t>
      </w:r>
    </w:p>
    <w:p>
      <w:pPr>
        <w:spacing w:after="80"/>
        <w:jc w:val="center"/>
      </w:pPr>
      <w:r>
        <w:rPr>
          <w:rFonts w:ascii="Arial" w:cs="Arial" w:eastAsia="Arial" w:hAnsi="Arial"/>
          <w:color w:val="666666"/>
          <w:sz w:val="20"/>
          <w:szCs w:val="20"/>
        </w:rPr>
        <w:t xml:space="preserve">Reviewed by: Soham Mukherjee, CTO</w:t>
      </w:r>
    </w:p>
    <w:p>
      <w:pPr>
        <w:spacing w:after="400"/>
        <w:jc w:val="center"/>
      </w:pPr>
      <w:r>
        <w:rPr>
          <w:rFonts w:ascii="Arial" w:cs="Arial" w:eastAsia="Arial" w:hAnsi="Arial"/>
          <w:b/>
          <w:bCs/>
          <w:color w:val="C0392B"/>
          <w:sz w:val="20"/>
          <w:szCs w:val="20"/>
        </w:rPr>
        <w:t xml:space="preserve">Status: Approved with Revisions — All 5 critical issues addressed</w:t>
      </w:r>
    </w:p>
    <w:p>
      <w:r>
        <w:br w:type="page"/>
      </w:r>
    </w:p>
    <w:p>
      <w:pPr>
        <w:pStyle w:val="Heading1"/>
        <w:spacing w:after="200" w:before="360"/>
      </w:pPr>
      <w:r>
        <w:rPr>
          <w:rFonts w:ascii="Arial" w:cs="Arial" w:eastAsia="Arial" w:hAnsi="Arial"/>
          <w:b/>
          <w:bCs/>
          <w:color w:val="1B3A5C"/>
          <w:sz w:val="32"/>
          <w:szCs w:val="32"/>
        </w:rPr>
        <w:t xml:space="preserve">Revision Summary</w:t>
      </w:r>
    </w:p>
    <w:p>
      <w:pPr>
        <w:spacing w:after="120"/>
      </w:pPr>
      <w:r>
        <w:rPr>
          <w:rFonts w:ascii="Arial" w:cs="Arial" w:eastAsia="Arial" w:hAnsi="Arial"/>
          <w:sz w:val="22"/>
          <w:szCs w:val="22"/>
        </w:rPr>
        <w:t xml:space="preserve">This revision addresses five critical issues identified during CTO review on March 20, 2026, plus two additional gaps (testing strategy and audit logging specification). Changes are marked throughout the document with [REVISION]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000"/>
        <w:gridCol w:w="2760"/>
      </w:tblGrid>
      <w:tr>
        <w:tc>
          <w:tcPr>
            <w:tcW w:type="dxa" w:w="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27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confidence is dead weight (hardcoded 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token signal; redistribute 0.08 weight to remaining 4 signals in Pre-Phase 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 §4.0, §4.2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heuristic proxies undermine feedback loop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lightweight NLI-based faithfulness + LLM self-eval hallucination checks in Pre-Phase 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 §4.0, §4.2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rollback or safety bound mechanism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±0.05/week delta constraint + automatic rollback if ECE degrades &gt;5pp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 Phase C, §4.5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Cold start 50–100 ratings insufficient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Increased to 150–200, stratified across confidence bins with targeted edge cases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§4.2 Phase 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Implicit signal reliability unvalidated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 as observational in Phase A; validate correlation in Phase B before promoting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 Phase A/B</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strategy missing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§4.6: unit tests, integration tests, simulation harness, regression tests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logging specification insufficient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§4.5: full audit spec with schema, retention, and regulator-ready trail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r>
    </w:tbl>
    <w:p>
      <w:r>
        <w:br w:type="page"/>
      </w:r>
    </w:p>
    <w:p>
      <w:pPr>
        <w:pStyle w:val="Heading1"/>
        <w:spacing w:after="200" w:before="360"/>
      </w:pPr>
      <w:r>
        <w:rPr>
          <w:rFonts w:ascii="Arial" w:cs="Arial" w:eastAsia="Arial" w:hAnsi="Arial"/>
          <w:b/>
          <w:bCs/>
          <w:color w:val="1B3A5C"/>
          <w:sz w:val="32"/>
          <w:szCs w:val="32"/>
        </w:rPr>
        <w:t xml:space="preserve">1. Executive Summary</w:t>
      </w:r>
    </w:p>
    <w:p>
      <w:pPr>
        <w:spacing w:after="120"/>
      </w:pPr>
      <w:r>
        <w:rPr>
          <w:rFonts w:ascii="Arial" w:cs="Arial" w:eastAsia="Arial" w:hAnsi="Arial"/>
          <w:sz w:val="22"/>
          <w:szCs w:val="22"/>
        </w:rPr>
        <w:t xml:space="preserve">This report addresses RegOS P1/P2 Backlog Item #9: Confidence Score User Feedback Loop. The current RegOS confidence scoring system uses a 5-signal weighted composite (retrieval confidence 0.30, faithfulness 0.35, hallucination detection 0.20, token confidence 0.08, context relevance 0.07) that produces a score from 0–100%. The signal weights were set based on literature review and domain judgment, not empirical evidence from actual user interactions.</w:t>
      </w:r>
    </w:p>
    <w:p>
      <w:pPr>
        <w:spacing w:after="120"/>
      </w:pPr>
      <w:r>
        <w:rPr>
          <w:rFonts w:ascii="Arial" w:cs="Arial" w:eastAsia="Arial" w:hAnsi="Arial"/>
          <w:sz w:val="22"/>
          <w:szCs w:val="22"/>
        </w:rPr>
        <w:t xml:space="preserve">The backlog item asks: when users rate responses as helpful or unhelpful (thumbs up/down), can those ratings feed back into the confidence scoring system to improve calibration over time?</w:t>
      </w:r>
    </w:p>
    <w:p>
      <w:pPr>
        <w:spacing w:after="120"/>
      </w:pPr>
      <w:r>
        <w:rPr>
          <w:rFonts w:ascii="Arial" w:cs="Arial" w:eastAsia="Arial" w:hAnsi="Arial"/>
          <w:sz w:val="22"/>
          <w:szCs w:val="22"/>
        </w:rPr>
        <w:t xml:space="preserve">The answer is yes, and the research literature provides concrete methods for doing it. This report covers what the research says, what production systems actually do, what the risks are, and how to implement it for RegOS specifically.</w:t>
      </w:r>
    </w:p>
    <w:p>
      <w:pPr>
        <w:pStyle w:val="Heading2"/>
        <w:spacing w:after="160" w:before="280"/>
      </w:pPr>
      <w:r>
        <w:rPr>
          <w:rFonts w:ascii="Arial" w:cs="Arial" w:eastAsia="Arial" w:hAnsi="Arial"/>
          <w:b/>
          <w:bCs/>
          <w:color w:val="2E5984"/>
          <w:sz w:val="26"/>
          <w:szCs w:val="26"/>
        </w:rPr>
        <w:t xml:space="preserve">1.1 Key Findings</w:t>
      </w:r>
    </w:p>
    <w:p>
      <w:pPr>
        <w:pStyle w:val="ListParagraph"/>
        <w:numPr>
          <w:ilvl w:val="0"/>
          <w:numId w:val="2"/>
        </w:numPr>
        <w:spacing w:after="80"/>
      </w:pPr>
      <w:r>
        <w:rPr>
          <w:rFonts w:ascii="Arial" w:cs="Arial" w:eastAsia="Arial" w:hAnsi="Arial"/>
          <w:sz w:val="22"/>
          <w:szCs w:val="22"/>
        </w:rPr>
        <w:t xml:space="preserve">Binary feedback (thumbs up/down) is useful but sparse. Expect 0.1–0.5% of users to rate responses. Supplement with implicit signals: citation clicks, query reformulations, answer copy/export events.</w:t>
      </w:r>
    </w:p>
    <w:p>
      <w:pPr>
        <w:pStyle w:val="ListParagraph"/>
        <w:numPr>
          <w:ilvl w:val="0"/>
          <w:numId w:val="2"/>
        </w:numPr>
        <w:spacing w:after="80"/>
      </w:pPr>
      <w:r>
        <w:rPr>
          <w:rFonts w:ascii="Arial" w:cs="Arial" w:eastAsia="Arial" w:hAnsi="Arial"/>
          <w:sz w:val="22"/>
          <w:szCs w:val="22"/>
        </w:rPr>
        <w:t xml:space="preserve">Expected Calibration Error (ECE) is the standard metric for measuring whether confidence scores match reality. Compute it weekly: bin responses by confidence level, compare against actual user agreement rate in each bin.</w:t>
      </w:r>
    </w:p>
    <w:p>
      <w:pPr>
        <w:pStyle w:val="ListParagraph"/>
        <w:numPr>
          <w:ilvl w:val="0"/>
          <w:numId w:val="2"/>
        </w:numPr>
        <w:spacing w:after="80"/>
      </w:pPr>
      <w:r>
        <w:rPr>
          <w:rFonts w:ascii="Arial" w:cs="Arial" w:eastAsia="Arial" w:hAnsi="Arial"/>
          <w:sz w:val="22"/>
          <w:szCs w:val="22"/>
        </w:rPr>
        <w:t xml:space="preserve">Thompson Sampling (a multi-armed bandit algorithm) is a proven framework for learning optimal signal weights from sparse binary feedback without requiring full RLHF retraining.</w:t>
      </w:r>
    </w:p>
    <w:p>
      <w:pPr>
        <w:pStyle w:val="ListParagraph"/>
        <w:numPr>
          <w:ilvl w:val="0"/>
          <w:numId w:val="2"/>
        </w:numPr>
        <w:spacing w:after="80"/>
      </w:pPr>
      <w:r>
        <w:rPr>
          <w:rFonts w:ascii="Arial" w:cs="Arial" w:eastAsia="Arial" w:hAnsi="Arial"/>
          <w:sz w:val="22"/>
          <w:szCs w:val="22"/>
        </w:rPr>
        <w:t xml:space="preserve">Cold start is a 4–8 week problem. Bootstrap with 150–200 domain expert ratings stratified across confidence bins, then transition to user feedback as volume grows.</w:t>
      </w:r>
    </w:p>
    <w:p>
      <w:pPr>
        <w:pStyle w:val="ListParagraph"/>
        <w:numPr>
          <w:ilvl w:val="0"/>
          <w:numId w:val="2"/>
        </w:numPr>
        <w:spacing w:after="80"/>
      </w:pPr>
      <w:r>
        <w:rPr>
          <w:rFonts w:ascii="Arial" w:cs="Arial" w:eastAsia="Arial" w:hAnsi="Arial"/>
          <w:sz w:val="22"/>
          <w:szCs w:val="22"/>
        </w:rPr>
        <w:t xml:space="preserve">Feedback poisoning is a real risk in regulated AI. Adversarial users can manipulate the system by giving dishonest ratings. Mitigate with user trust scoring, robust aggregation, per-user weight caps, and minimum consensus requirements.</w:t>
      </w:r>
    </w:p>
    <w:p>
      <w:pPr>
        <w:pStyle w:val="ListParagraph"/>
        <w:numPr>
          <w:ilvl w:val="0"/>
          <w:numId w:val="2"/>
        </w:numPr>
        <w:spacing w:after="80"/>
      </w:pPr>
      <w:r>
        <w:rPr>
          <w:rFonts w:ascii="Arial" w:cs="Arial" w:eastAsia="Arial" w:hAnsi="Arial"/>
          <w:sz w:val="22"/>
          <w:szCs w:val="22"/>
        </w:rPr>
        <w:t xml:space="preserve">The regulatory domain specifically benefits from categorised feedback (“Was this accurate?”, “Did it cite the right regulations?”, “Is this current?”) over generic thumbs up/down.</w:t>
      </w:r>
    </w:p>
    <w:p>
      <w:pPr>
        <w:spacing w:after="120"/>
      </w:pPr>
      <w:r>
        <w:rPr>
          <w:rFonts w:ascii="Arial" w:cs="Arial" w:eastAsia="Arial" w:hAnsi="Arial"/>
          <w:i/>
          <w:iCs/>
          <w:color w:val="C0392B"/>
          <w:sz w:val="20"/>
          <w:szCs w:val="20"/>
        </w:rPr>
        <w:t xml:space="preserve">[REVISION] Added per CTO review: the following two findings are new.</w:t>
      </w:r>
    </w:p>
    <w:p>
      <w:pPr>
        <w:pStyle w:val="ListParagraph"/>
        <w:numPr>
          <w:ilvl w:val="0"/>
          <w:numId w:val="2"/>
        </w:numPr>
        <w:spacing w:after="80"/>
      </w:pPr>
      <w:r>
        <w:rPr>
          <w:rFonts w:ascii="Arial" w:cs="Arial" w:eastAsia="Arial" w:hAnsi="Arial"/>
          <w:b/>
          <w:bCs/>
          <w:sz w:val="22"/>
          <w:szCs w:val="22"/>
        </w:rPr>
        <w:t xml:space="preserve">The token confidence signal is dead weight. </w:t>
      </w:r>
      <w:r>
        <w:rPr>
          <w:rFonts w:ascii="Arial" w:cs="Arial" w:eastAsia="Arial" w:hAnsi="Arial"/>
          <w:sz w:val="22"/>
          <w:szCs w:val="22"/>
        </w:rPr>
        <w:t xml:space="preserve">It is hardcoded to 0.5 in graphrag_filter.py (line 467) and contributes nothing to differentiation. It must be removed or replaced before the feedback loop launches. Feeding a constant into Thompson Sampling wastes a search dimension and slows convergence.</w:t>
      </w:r>
    </w:p>
    <w:p>
      <w:pPr>
        <w:pStyle w:val="ListParagraph"/>
        <w:numPr>
          <w:ilvl w:val="0"/>
          <w:numId w:val="2"/>
        </w:numPr>
        <w:spacing w:after="80"/>
      </w:pPr>
      <w:r>
        <w:rPr>
          <w:rFonts w:ascii="Arial" w:cs="Arial" w:eastAsia="Arial" w:hAnsi="Arial"/>
          <w:b/>
          <w:bCs/>
          <w:sz w:val="22"/>
          <w:szCs w:val="22"/>
        </w:rPr>
        <w:t xml:space="preserve">Three of five signals are correlated proxies. </w:t>
      </w:r>
      <w:r>
        <w:rPr>
          <w:rFonts w:ascii="Arial" w:cs="Arial" w:eastAsia="Arial" w:hAnsi="Arial"/>
          <w:sz w:val="22"/>
          <w:szCs w:val="22"/>
        </w:rPr>
        <w:t xml:space="preserve">Faithfulness, hallucination-free, and context relevance are all derived from the retrieval confidence signal (lines 438–477). The system effectively has ~1.5 independent signals, not 5. Thompson Sampling requires genuinely independent dimensions to learn meaningful weights. A Pre-Phase A must instrument real evaluators.</w:t>
      </w:r>
    </w:p>
    <w:p>
      <w:pPr>
        <w:pStyle w:val="Heading1"/>
        <w:spacing w:after="200" w:before="360"/>
      </w:pPr>
      <w:r>
        <w:rPr>
          <w:rFonts w:ascii="Arial" w:cs="Arial" w:eastAsia="Arial" w:hAnsi="Arial"/>
          <w:b/>
          <w:bCs/>
          <w:color w:val="1B3A5C"/>
          <w:sz w:val="32"/>
          <w:szCs w:val="32"/>
        </w:rPr>
        <w:t xml:space="preserve">2. Current State</w:t>
      </w:r>
    </w:p>
    <w:p>
      <w:pPr>
        <w:spacing w:after="120"/>
      </w:pPr>
      <w:r>
        <w:rPr>
          <w:rFonts w:ascii="Arial" w:cs="Arial" w:eastAsia="Arial" w:hAnsi="Arial"/>
          <w:sz w:val="22"/>
          <w:szCs w:val="22"/>
        </w:rPr>
        <w:t xml:space="preserve">The GraphRAG filter (v0.17.3, graphrag_filter.py) computes confidence as a weighted sum of 5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63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 Confidence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Neo4j vector similarity + graph traversal. Real signal — computed from entity scores, concept expansion, section coverage.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Faithfulness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PROXY. </w:t>
            </w:r>
            <w:r>
              <w:rPr>
                <w:rFonts w:ascii="Arial" w:cs="Arial" w:eastAsia="Arial" w:hAnsi="Arial"/>
                <w:sz w:val="20"/>
                <w:szCs w:val="20"/>
              </w:rPr>
              <w:t xml:space="preserve">Approximated as 0.5 × min(retrieval_confidence × 1.3, 1.0) + 0.5 × avg_entity_overlap. Not an independent signal.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Hallucination-Free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PROXY. </w:t>
            </w:r>
            <w:r>
              <w:rPr>
                <w:rFonts w:ascii="Arial" w:cs="Arial" w:eastAsia="Arial" w:hAnsi="Arial"/>
                <w:sz w:val="20"/>
                <w:szCs w:val="20"/>
              </w:rPr>
              <w:t xml:space="preserve">Approximated as 0.6 × retrieval_confidence + 0.4 × norm_sections. Not an independent signal.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Confidence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DEAD. </w:t>
            </w:r>
            <w:r>
              <w:rPr>
                <w:rFonts w:ascii="Arial" w:cs="Arial" w:eastAsia="Arial" w:hAnsi="Arial"/>
                <w:sz w:val="20"/>
                <w:szCs w:val="20"/>
              </w:rPr>
              <w:t xml:space="preserve">Hardcoded to 0.5. Requires logprobs=True on LLM inference, which Nemotron/current model does not expose.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Relevance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PROXY. </w:t>
            </w:r>
            <w:r>
              <w:rPr>
                <w:rFonts w:ascii="Arial" w:cs="Arial" w:eastAsia="Arial" w:hAnsi="Arial"/>
                <w:sz w:val="20"/>
                <w:szCs w:val="20"/>
              </w:rPr>
              <w:t xml:space="preserve">Approximated as 0.5 × norm_sections + 0.3 × norm_doc_count + 0.2 × norm_concept. Derived entirely from retrieval sub-signals.</w:t>
            </w:r>
          </w:p>
        </w:tc>
      </w:tr>
    </w:tbl>
    <w:p>
      <w:pPr>
        <w:spacing w:after="120" w:before="200"/>
      </w:pPr>
    </w:p>
    <w:p>
      <w:pPr>
        <w:spacing w:after="120"/>
      </w:pPr>
      <w:r>
        <w:rPr>
          <w:rFonts w:ascii="Arial" w:cs="Arial" w:eastAsia="Arial" w:hAnsi="Arial"/>
          <w:i/>
          <w:iCs/>
          <w:color w:val="C0392B"/>
          <w:sz w:val="20"/>
          <w:szCs w:val="20"/>
        </w:rPr>
        <w:t xml:space="preserve">[REVISION] The following signal independence analysis is new, added per CTO review issue 2.2.</w:t>
      </w:r>
    </w:p>
    <w:p>
      <w:pPr>
        <w:pStyle w:val="Heading2"/>
        <w:spacing w:after="160" w:before="280"/>
      </w:pPr>
      <w:r>
        <w:rPr>
          <w:rFonts w:ascii="Arial" w:cs="Arial" w:eastAsia="Arial" w:hAnsi="Arial"/>
          <w:b/>
          <w:bCs/>
          <w:color w:val="2E5984"/>
          <w:sz w:val="26"/>
          <w:szCs w:val="26"/>
        </w:rPr>
        <w:t xml:space="preserve">2.1 Signal Independence Problem</w:t>
      </w:r>
    </w:p>
    <w:p>
      <w:pPr>
        <w:spacing w:after="120"/>
      </w:pPr>
      <w:r>
        <w:rPr>
          <w:rFonts w:ascii="Arial" w:cs="Arial" w:eastAsia="Arial" w:hAnsi="Arial"/>
          <w:sz w:val="22"/>
          <w:szCs w:val="22"/>
        </w:rPr>
        <w:t xml:space="preserve">The table above reveals a critical structural issue: the confidence architecture describes 5 signals but only ~1.5 are genuinely independent. Retrieval confidence is the only real signal computed from actual retrieval data. Faithfulness, hallucination-free, and context relevance are all mathematical transformations of retrieval confidence and its sub-components (entity scores, section counts). Token confidence is a constant.</w:t>
      </w:r>
    </w:p>
    <w:p>
      <w:pPr>
        <w:spacing w:after="120"/>
      </w:pPr>
      <w:r>
        <w:rPr>
          <w:rFonts w:ascii="Arial" w:cs="Arial" w:eastAsia="Arial" w:hAnsi="Arial"/>
          <w:sz w:val="22"/>
          <w:szCs w:val="22"/>
        </w:rPr>
        <w:t xml:space="preserve">This means Thompson Sampling would be optimising weights over a space where 4 of 5 dimensions are either redundant or inert. The algorithm would struggle to converge because changing the weight on faithfulness has nearly the same effect as changing the weight on hallucination-free — they move together.</w:t>
      </w:r>
    </w:p>
    <w:p>
      <w:pPr>
        <w:spacing w:after="120"/>
      </w:pPr>
      <w:r>
        <w:rPr>
          <w:rFonts w:ascii="Arial" w:cs="Arial" w:eastAsia="Arial" w:hAnsi="Arial"/>
          <w:b/>
          <w:bCs/>
          <w:sz w:val="22"/>
          <w:szCs w:val="22"/>
        </w:rPr>
        <w:t xml:space="preserve">Resolution: </w:t>
      </w:r>
      <w:r>
        <w:rPr>
          <w:rFonts w:ascii="Arial" w:cs="Arial" w:eastAsia="Arial" w:hAnsi="Arial"/>
          <w:sz w:val="22"/>
          <w:szCs w:val="22"/>
        </w:rPr>
        <w:t xml:space="preserve">Pre-Phase A (Section 4.0) introduces lightweight independent evaluators for faithfulness and hallucination detection, and removes the token confidence signal entirely. After Pre-Phase A, the system will have 4 signals with at least 3 genuinely independent dimensions.</w:t>
      </w:r>
    </w:p>
    <w:p>
      <w:r>
        <w:br w:type="page"/>
      </w:r>
    </w:p>
    <w:p>
      <w:pPr>
        <w:pStyle w:val="Heading1"/>
        <w:spacing w:after="200" w:before="360"/>
      </w:pPr>
      <w:r>
        <w:rPr>
          <w:rFonts w:ascii="Arial" w:cs="Arial" w:eastAsia="Arial" w:hAnsi="Arial"/>
          <w:b/>
          <w:bCs/>
          <w:color w:val="1B3A5C"/>
          <w:sz w:val="32"/>
          <w:szCs w:val="32"/>
        </w:rPr>
        <w:t xml:space="preserve">3. What the Research Says</w:t>
      </w:r>
    </w:p>
    <w:p>
      <w:pPr>
        <w:pStyle w:val="Heading2"/>
        <w:spacing w:after="160" w:before="280"/>
      </w:pPr>
      <w:r>
        <w:rPr>
          <w:rFonts w:ascii="Arial" w:cs="Arial" w:eastAsia="Arial" w:hAnsi="Arial"/>
          <w:b/>
          <w:bCs/>
          <w:color w:val="2E5984"/>
          <w:sz w:val="26"/>
          <w:szCs w:val="26"/>
        </w:rPr>
        <w:t xml:space="preserve">3.1 Confidence Calibration Is a Solved Problem (Statistically)</w:t>
      </w:r>
    </w:p>
    <w:p>
      <w:pPr>
        <w:spacing w:after="120"/>
      </w:pPr>
      <w:r>
        <w:rPr>
          <w:rFonts w:ascii="Arial" w:cs="Arial" w:eastAsia="Arial" w:hAnsi="Arial"/>
          <w:sz w:val="22"/>
          <w:szCs w:val="22"/>
        </w:rPr>
        <w:t xml:space="preserve">The concept of calibration has a precise definition: a system is well-calibrated if, among all responses where it reports 80% confidence, exactly 80% of them are rated as correct by users. The gap between reported confidence and actual accuracy is measured by Expected Calibration Error (ECE).</w:t>
      </w:r>
    </w:p>
    <w:p>
      <w:pPr>
        <w:spacing w:after="120"/>
      </w:pPr>
      <w:r>
        <w:rPr>
          <w:rFonts w:ascii="Arial" w:cs="Arial" w:eastAsia="Arial" w:hAnsi="Arial"/>
          <w:sz w:val="22"/>
          <w:szCs w:val="22"/>
        </w:rPr>
        <w:t xml:space="preserve">ECE works like this: divide all responses into bins by confidence level (e.g., 0–20%, 20–40%, ..., 80–100%). For each bin, compute the fraction of responses users rated positively. The difference between the bin’s average confidence and its actual positive rate is the calibration error for that bin. ECE is the weighted average across all bins.</w:t>
      </w:r>
    </w:p>
    <w:p>
      <w:pPr>
        <w:spacing w:after="120"/>
      </w:pPr>
      <w:r>
        <w:rPr>
          <w:rFonts w:ascii="Arial" w:cs="Arial" w:eastAsia="Arial" w:hAnsi="Arial"/>
          <w:sz w:val="22"/>
          <w:szCs w:val="22"/>
        </w:rPr>
        <w:t xml:space="preserve">A survey of confidence calibration methods (NAACL 2024) catalogues 20+ approaches, from simple temperature scaling to Bayesian binning. For our use case, the simplest effective method is temperature scaling: multiply the raw confidence by a single learned parameter that stretches or compresses the distribution. Adjust the parameter weekly to minimize ECE.</w:t>
      </w:r>
    </w:p>
    <w:p>
      <w:pPr>
        <w:spacing w:after="120"/>
      </w:pPr>
      <w:r>
        <w:rPr>
          <w:rFonts w:ascii="Arial" w:cs="Arial" w:eastAsia="Arial" w:hAnsi="Arial"/>
          <w:sz w:val="22"/>
          <w:szCs w:val="22"/>
        </w:rPr>
        <w:t xml:space="preserve">Sources: “A Survey of Confidence Estimation and Calibration in Large Language Models” (NAACL 2024); “Rewarding Doubt: A Reinforcement Learning Approach to Calibrated Confidence” (arXiv 2503.02623, March 2025); “Just Ask for Calibration” (EMNLP 2023, arXiv 2305.14975).</w:t>
      </w:r>
    </w:p>
    <w:p>
      <w:pPr>
        <w:pStyle w:val="Heading2"/>
        <w:spacing w:after="160" w:before="280"/>
      </w:pPr>
      <w:r>
        <w:rPr>
          <w:rFonts w:ascii="Arial" w:cs="Arial" w:eastAsia="Arial" w:hAnsi="Arial"/>
          <w:b/>
          <w:bCs/>
          <w:color w:val="2E5984"/>
          <w:sz w:val="26"/>
          <w:szCs w:val="26"/>
        </w:rPr>
        <w:t xml:space="preserve">3.2 Feedback Is Sparse — But That Is Normal</w:t>
      </w:r>
    </w:p>
    <w:p>
      <w:pPr>
        <w:spacing w:after="120"/>
      </w:pPr>
      <w:r>
        <w:rPr>
          <w:rFonts w:ascii="Arial" w:cs="Arial" w:eastAsia="Arial" w:hAnsi="Arial"/>
          <w:sz w:val="22"/>
          <w:szCs w:val="22"/>
        </w:rPr>
        <w:t xml:space="preserve">Less than 1% of users voluntarily rate AI responses. This is consistent across every production system studied. Perplexity, which processes millions of daily queries, relies on a combination of explicit ratings and rich implicit signals to achieve sufficient feedback volume.</w:t>
      </w:r>
    </w:p>
    <w:p>
      <w:pPr>
        <w:spacing w:after="120"/>
      </w:pPr>
      <w:r>
        <w:rPr>
          <w:rFonts w:ascii="Arial" w:cs="Arial" w:eastAsia="Arial" w:hAnsi="Arial"/>
          <w:sz w:val="22"/>
          <w:szCs w:val="22"/>
        </w:rPr>
        <w:t xml:space="preserve">The research offers three solutions for sparse feedback:</w:t>
      </w:r>
    </w:p>
    <w:p>
      <w:pPr>
        <w:spacing w:after="120"/>
      </w:pPr>
      <w:r>
        <w:rPr>
          <w:rFonts w:ascii="Arial" w:cs="Arial" w:eastAsia="Arial" w:hAnsi="Arial"/>
          <w:b/>
          <w:bCs/>
          <w:sz w:val="22"/>
          <w:szCs w:val="22"/>
        </w:rPr>
        <w:t xml:space="preserve">1. Implicit signals: </w:t>
      </w:r>
      <w:r>
        <w:rPr>
          <w:rFonts w:ascii="Arial" w:cs="Arial" w:eastAsia="Arial" w:hAnsi="Arial"/>
          <w:sz w:val="22"/>
          <w:szCs w:val="22"/>
        </w:rPr>
        <w:t xml:space="preserve">Track user behavior that indicates trust or distrust without requiring a click. Citation source clicks (user verified the source), answer copy/export (user trusts it enough to use it), query reformulation within 2 minutes (user was not satisfied), and session abandonment (user gave up). These are continuous signals that require no user effort.</w:t>
      </w:r>
    </w:p>
    <w:p>
      <w:pPr>
        <w:spacing w:after="120"/>
      </w:pPr>
      <w:r>
        <w:rPr>
          <w:rFonts w:ascii="Arial" w:cs="Arial" w:eastAsia="Arial" w:hAnsi="Arial"/>
          <w:i/>
          <w:iCs/>
          <w:color w:val="C0392B"/>
          <w:sz w:val="20"/>
          <w:szCs w:val="20"/>
        </w:rPr>
        <w:t xml:space="preserve">[REVISION] Per CTO review issue 2.5: implicit signals require validation before incorporation into calibration. Copying an answer may indicate disagreement (copying to dispute/share for review), not agreement. These must be collected as observational data first and validated against explicit ratings before being used as calibration inputs. See Phase A/B adjustments in Section 4.2.</w:t>
      </w:r>
    </w:p>
    <w:p>
      <w:pPr>
        <w:spacing w:after="120"/>
      </w:pPr>
      <w:r>
        <w:rPr>
          <w:rFonts w:ascii="Arial" w:cs="Arial" w:eastAsia="Arial" w:hAnsi="Arial"/>
          <w:b/>
          <w:bCs/>
          <w:sz w:val="22"/>
          <w:szCs w:val="22"/>
        </w:rPr>
        <w:t xml:space="preserve">2. Better UX framing: </w:t>
      </w:r>
      <w:r>
        <w:rPr>
          <w:rFonts w:ascii="Arial" w:cs="Arial" w:eastAsia="Arial" w:hAnsi="Arial"/>
          <w:sz w:val="22"/>
          <w:szCs w:val="22"/>
        </w:rPr>
        <w:t xml:space="preserve">Changing the feedback prompt from generic “Was this helpful?” to specific “Did we answer your question?” increased response rates 5x in production (from 0.1% to 0.5%). Enterprise teams that ask component-specific questions (“Was the retrieval relevant?” vs “Was the answer well-written?”) achieve 30–40% feedback rates.</w:t>
      </w:r>
    </w:p>
    <w:p>
      <w:pPr>
        <w:spacing w:after="120"/>
      </w:pPr>
      <w:r>
        <w:rPr>
          <w:rFonts w:ascii="Arial" w:cs="Arial" w:eastAsia="Arial" w:hAnsi="Arial"/>
          <w:b/>
          <w:bCs/>
          <w:sz w:val="22"/>
          <w:szCs w:val="22"/>
        </w:rPr>
        <w:t xml:space="preserve">3. Thompson Sampling: </w:t>
      </w:r>
      <w:r>
        <w:rPr>
          <w:rFonts w:ascii="Arial" w:cs="Arial" w:eastAsia="Arial" w:hAnsi="Arial"/>
          <w:sz w:val="22"/>
          <w:szCs w:val="22"/>
        </w:rPr>
        <w:t xml:space="preserve">A multi-armed bandit algorithm designed for learning from sparse binary signals. Instead of requiring thousands of ratings to retrain a model, Thompson Sampling updates a probability distribution after each single rating. It naturally balances exploring new weight combinations with exploiting known good ones.</w:t>
      </w:r>
    </w:p>
    <w:p>
      <w:pPr>
        <w:spacing w:after="120"/>
      </w:pPr>
      <w:r>
        <w:rPr>
          <w:rFonts w:ascii="Arial" w:cs="Arial" w:eastAsia="Arial" w:hAnsi="Arial"/>
          <w:sz w:val="22"/>
          <w:szCs w:val="22"/>
        </w:rPr>
        <w:t xml:space="preserve">Sources: “RLUF: Reinforcement Learning from User Feedback” (arXiv 2505.14946); Perplexity architecture (ByteByteGo); “Systematically Improving RAG” (GitHub 567-labs); Spotify confidence scoring (Spotify Engineering Blog, Dec 2024).</w:t>
      </w:r>
    </w:p>
    <w:p>
      <w:pPr>
        <w:pStyle w:val="Heading2"/>
        <w:spacing w:after="160" w:before="280"/>
      </w:pPr>
      <w:r>
        <w:rPr>
          <w:rFonts w:ascii="Arial" w:cs="Arial" w:eastAsia="Arial" w:hAnsi="Arial"/>
          <w:b/>
          <w:bCs/>
          <w:color w:val="2E5984"/>
          <w:sz w:val="26"/>
          <w:szCs w:val="26"/>
        </w:rPr>
        <w:t xml:space="preserve">3.3 Thompson Sampling for Signal Weight Optimisation</w:t>
      </w:r>
    </w:p>
    <w:p>
      <w:pPr>
        <w:spacing w:after="120"/>
      </w:pPr>
      <w:r>
        <w:rPr>
          <w:rFonts w:ascii="Arial" w:cs="Arial" w:eastAsia="Arial" w:hAnsi="Arial"/>
          <w:sz w:val="22"/>
          <w:szCs w:val="22"/>
        </w:rPr>
        <w:t xml:space="preserve">Thompson Sampling is the recommended approach for RegOS because it is designed for exactly our situation: binary feedback (thumbs up/down), sparse data (few ratings), and a multi-dimensional parameter space (signal weights to optimise).</w:t>
      </w:r>
    </w:p>
    <w:p>
      <w:pPr>
        <w:spacing w:after="120"/>
      </w:pPr>
      <w:r>
        <w:rPr>
          <w:rFonts w:ascii="Arial" w:cs="Arial" w:eastAsia="Arial" w:hAnsi="Arial"/>
          <w:i/>
          <w:iCs/>
          <w:color w:val="C0392B"/>
          <w:sz w:val="20"/>
          <w:szCs w:val="20"/>
        </w:rPr>
        <w:t xml:space="preserve">[REVISION] Per CTO review issue 2.1: after removing token confidence, the parameter space is 4 signal weights, not 5. This is a net benefit — fewer dimensions means faster convergence.</w:t>
      </w:r>
    </w:p>
    <w:p>
      <w:pPr>
        <w:spacing w:after="120"/>
      </w:pPr>
      <w:r>
        <w:rPr>
          <w:rFonts w:ascii="Arial" w:cs="Arial" w:eastAsia="Arial" w:hAnsi="Arial"/>
          <w:sz w:val="22"/>
          <w:szCs w:val="22"/>
        </w:rPr>
        <w:t xml:space="preserve">Here is how it works in our context:</w:t>
      </w:r>
    </w:p>
    <w:p>
      <w:pPr>
        <w:pStyle w:val="ListParagraph"/>
        <w:numPr>
          <w:ilvl w:val="0"/>
          <w:numId w:val="2"/>
        </w:numPr>
        <w:spacing w:after="80"/>
      </w:pPr>
      <w:r>
        <w:rPr>
          <w:rFonts w:ascii="Arial" w:cs="Arial" w:eastAsia="Arial" w:hAnsi="Arial"/>
          <w:sz w:val="22"/>
          <w:szCs w:val="22"/>
        </w:rPr>
        <w:t xml:space="preserve">The system maintains a probability distribution (Beta distribution) over the “quality” of different signal weight configurations.</w:t>
      </w:r>
    </w:p>
    <w:p>
      <w:pPr>
        <w:pStyle w:val="ListParagraph"/>
        <w:numPr>
          <w:ilvl w:val="0"/>
          <w:numId w:val="2"/>
        </w:numPr>
        <w:spacing w:after="80"/>
      </w:pPr>
      <w:r>
        <w:rPr>
          <w:rFonts w:ascii="Arial" w:cs="Arial" w:eastAsia="Arial" w:hAnsi="Arial"/>
          <w:sz w:val="22"/>
          <w:szCs w:val="22"/>
        </w:rPr>
        <w:t xml:space="preserve">For each new response, the system samples a weight configuration from the current distribution and uses it to compute the confidence score.</w:t>
      </w:r>
    </w:p>
    <w:p>
      <w:pPr>
        <w:pStyle w:val="ListParagraph"/>
        <w:numPr>
          <w:ilvl w:val="0"/>
          <w:numId w:val="2"/>
        </w:numPr>
        <w:spacing w:after="80"/>
      </w:pPr>
      <w:r>
        <w:rPr>
          <w:rFonts w:ascii="Arial" w:cs="Arial" w:eastAsia="Arial" w:hAnsi="Arial"/>
          <w:sz w:val="22"/>
          <w:szCs w:val="22"/>
        </w:rPr>
        <w:t xml:space="preserve">When the user rates the response (thumbs up = success, thumbs down = failure), the distribution is updated: thumbs up shifts the distribution toward higher quality for that weight configuration, thumbs down shifts it lower.</w:t>
      </w:r>
    </w:p>
    <w:p>
      <w:pPr>
        <w:pStyle w:val="ListParagraph"/>
        <w:numPr>
          <w:ilvl w:val="0"/>
          <w:numId w:val="2"/>
        </w:numPr>
        <w:spacing w:after="80"/>
      </w:pPr>
      <w:r>
        <w:rPr>
          <w:rFonts w:ascii="Arial" w:cs="Arial" w:eastAsia="Arial" w:hAnsi="Arial"/>
          <w:sz w:val="22"/>
          <w:szCs w:val="22"/>
        </w:rPr>
        <w:t xml:space="preserve">Over time, the distribution concentrates around the weight configurations that best predict user agreement. Weights that lead to overconfident or underconfident scores are naturally down-weighted.</w:t>
      </w:r>
    </w:p>
    <w:p>
      <w:pPr>
        <w:spacing w:after="120"/>
      </w:pPr>
      <w:r>
        <w:rPr>
          <w:rFonts w:ascii="Arial" w:cs="Arial" w:eastAsia="Arial" w:hAnsi="Arial"/>
          <w:sz w:val="22"/>
          <w:szCs w:val="22"/>
        </w:rPr>
        <w:t xml:space="preserve">The mathematics are simple. For each candidate weight vector w, maintain a Beta(α, β) distribution where α = thumbs_up_count + 1 and β = thumbs_down_count + 1. To select weights for a new response, sample from each candidate’s Beta distribution and pick the one with the highest sample. This achieves O(log T) regret, meaning it converges to optimal weights quickly even with sparse feedback.</w:t>
      </w:r>
    </w:p>
    <w:p>
      <w:pPr>
        <w:spacing w:after="120"/>
      </w:pPr>
      <w:r>
        <w:rPr>
          <w:rFonts w:ascii="Arial" w:cs="Arial" w:eastAsia="Arial" w:hAnsi="Arial"/>
          <w:sz w:val="22"/>
          <w:szCs w:val="22"/>
        </w:rPr>
        <w:t xml:space="preserve">Sources: “Analysis of Thompson Sampling for the Multi-Armed Bandit Problem” (Agrawal &amp; Goyal, COLT 2012); “A Tutorial on Thompson Sampling” (Stanford, Russo et al.); “Thompson Sampling for Dynamic Multi-Armed Bandits” (Kwon et al.).</w:t>
      </w:r>
    </w:p>
    <w:p>
      <w:pPr>
        <w:pStyle w:val="Heading2"/>
        <w:spacing w:after="160" w:before="280"/>
      </w:pPr>
      <w:r>
        <w:rPr>
          <w:rFonts w:ascii="Arial" w:cs="Arial" w:eastAsia="Arial" w:hAnsi="Arial"/>
          <w:b/>
          <w:bCs/>
          <w:color w:val="2E5984"/>
          <w:sz w:val="26"/>
          <w:szCs w:val="26"/>
        </w:rPr>
        <w:t xml:space="preserve">3.4 Feedback Poisoning Is a Real Risk</w:t>
      </w:r>
    </w:p>
    <w:p>
      <w:pPr>
        <w:spacing w:after="120"/>
      </w:pPr>
      <w:r>
        <w:rPr>
          <w:rFonts w:ascii="Arial" w:cs="Arial" w:eastAsia="Arial" w:hAnsi="Arial"/>
          <w:sz w:val="22"/>
          <w:szCs w:val="22"/>
        </w:rPr>
        <w:t xml:space="preserve">In a regulated compliance tool, adversarial feedback is not hypothetical. A user who disagrees with a regulatory interpretation could systematically downvote correct responses to degrade the system’s confidence calibration. Research shows that corrupting as little as 0.5% of feedback annotations can embed backdoors in RLHF-trained models.</w:t>
      </w:r>
    </w:p>
    <w:p>
      <w:pPr>
        <w:spacing w:after="120"/>
      </w:pPr>
      <w:r>
        <w:rPr>
          <w:rFonts w:ascii="Arial" w:cs="Arial" w:eastAsia="Arial" w:hAnsi="Arial"/>
          <w:sz w:val="22"/>
          <w:szCs w:val="22"/>
        </w:rPr>
        <w:t xml:space="preserve">The research recommends five defenses:</w:t>
      </w:r>
    </w:p>
    <w:p>
      <w:pPr>
        <w:pStyle w:val="ListParagraph"/>
        <w:numPr>
          <w:ilvl w:val="0"/>
          <w:numId w:val="2"/>
        </w:numPr>
        <w:spacing w:after="80"/>
      </w:pPr>
      <w:r>
        <w:rPr>
          <w:rFonts w:ascii="Arial" w:cs="Arial" w:eastAsia="Arial" w:hAnsi="Arial"/>
          <w:b/>
          <w:bCs/>
          <w:sz w:val="22"/>
          <w:szCs w:val="22"/>
        </w:rPr>
        <w:t xml:space="preserve">Per-user weight caps: </w:t>
      </w:r>
      <w:r>
        <w:rPr>
          <w:rFonts w:ascii="Arial" w:cs="Arial" w:eastAsia="Arial" w:hAnsi="Arial"/>
          <w:sz w:val="22"/>
          <w:szCs w:val="22"/>
        </w:rPr>
        <w:t xml:space="preserve">No single user’s feedback should account for more than 1–2% of total training weight.</w:t>
      </w:r>
    </w:p>
    <w:p>
      <w:pPr>
        <w:pStyle w:val="ListParagraph"/>
        <w:numPr>
          <w:ilvl w:val="0"/>
          <w:numId w:val="2"/>
        </w:numPr>
        <w:spacing w:after="80"/>
      </w:pPr>
      <w:r>
        <w:rPr>
          <w:rFonts w:ascii="Arial" w:cs="Arial" w:eastAsia="Arial" w:hAnsi="Arial"/>
          <w:b/>
          <w:bCs/>
          <w:sz w:val="22"/>
          <w:szCs w:val="22"/>
        </w:rPr>
        <w:t xml:space="preserve">User trust scoring: </w:t>
      </w:r>
      <w:r>
        <w:rPr>
          <w:rFonts w:ascii="Arial" w:cs="Arial" w:eastAsia="Arial" w:hAnsi="Arial"/>
          <w:sz w:val="22"/>
          <w:szCs w:val="22"/>
        </w:rPr>
        <w:t xml:space="preserve">Compute a trust score for each user based on the historical consistency of their feedback. Feedback from high-trust users (whose ratings align with expert assessments) is weighted more heavily.</w:t>
      </w:r>
    </w:p>
    <w:p>
      <w:pPr>
        <w:pStyle w:val="ListParagraph"/>
        <w:numPr>
          <w:ilvl w:val="0"/>
          <w:numId w:val="2"/>
        </w:numPr>
        <w:spacing w:after="80"/>
      </w:pPr>
      <w:r>
        <w:rPr>
          <w:rFonts w:ascii="Arial" w:cs="Arial" w:eastAsia="Arial" w:hAnsi="Arial"/>
          <w:b/>
          <w:bCs/>
          <w:sz w:val="22"/>
          <w:szCs w:val="22"/>
        </w:rPr>
        <w:t xml:space="preserve">Robust aggregation: </w:t>
      </w:r>
      <w:r>
        <w:rPr>
          <w:rFonts w:ascii="Arial" w:cs="Arial" w:eastAsia="Arial" w:hAnsi="Arial"/>
          <w:sz w:val="22"/>
          <w:szCs w:val="22"/>
        </w:rPr>
        <w:t xml:space="preserve">Instead of simple averaging, use trimmed mean or median aggregation that discards outlier ratings.</w:t>
      </w:r>
    </w:p>
    <w:p>
      <w:pPr>
        <w:pStyle w:val="ListParagraph"/>
        <w:numPr>
          <w:ilvl w:val="0"/>
          <w:numId w:val="2"/>
        </w:numPr>
        <w:spacing w:after="80"/>
      </w:pPr>
      <w:r>
        <w:rPr>
          <w:rFonts w:ascii="Arial" w:cs="Arial" w:eastAsia="Arial" w:hAnsi="Arial"/>
          <w:b/>
          <w:bCs/>
          <w:sz w:val="22"/>
          <w:szCs w:val="22"/>
        </w:rPr>
        <w:t xml:space="preserve">Temporal decay: </w:t>
      </w:r>
      <w:r>
        <w:rPr>
          <w:rFonts w:ascii="Arial" w:cs="Arial" w:eastAsia="Arial" w:hAnsi="Arial"/>
          <w:sz w:val="22"/>
          <w:szCs w:val="22"/>
        </w:rPr>
        <w:t xml:space="preserve">Weight recent feedback more heavily than old feedback (with a 90-day half-life). This limits the duration of a poisoning campaign’s impact and also helps the system adapt to genuine regulatory changes.</w:t>
      </w:r>
    </w:p>
    <w:p>
      <w:pPr>
        <w:pStyle w:val="ListParagraph"/>
        <w:numPr>
          <w:ilvl w:val="0"/>
          <w:numId w:val="2"/>
        </w:numPr>
        <w:spacing w:after="80"/>
      </w:pPr>
      <w:r>
        <w:rPr>
          <w:rFonts w:ascii="Arial" w:cs="Arial" w:eastAsia="Arial" w:hAnsi="Arial"/>
          <w:b/>
          <w:bCs/>
          <w:sz w:val="22"/>
          <w:szCs w:val="22"/>
        </w:rPr>
        <w:t xml:space="preserve">Minimum consensus requirement: </w:t>
      </w:r>
      <w:r>
        <w:rPr>
          <w:rFonts w:ascii="Arial" w:cs="Arial" w:eastAsia="Arial" w:hAnsi="Arial"/>
          <w:sz w:val="22"/>
          <w:szCs w:val="22"/>
        </w:rPr>
        <w:t xml:space="preserve">Require at least 5 concordant ratings before a feedback signal is incorporated into weight updates. This prevents isolated ratings from having outsized influence.</w:t>
      </w:r>
    </w:p>
    <w:p>
      <w:pPr>
        <w:spacing w:after="120"/>
      </w:pPr>
      <w:r>
        <w:rPr>
          <w:rFonts w:ascii="Arial" w:cs="Arial" w:eastAsia="Arial" w:hAnsi="Arial"/>
          <w:sz w:val="22"/>
          <w:szCs w:val="22"/>
        </w:rPr>
        <w:t xml:space="preserve">Sources: “Towards Poisoning Robustness Certification for NLG” (arXiv 2602.09757); “Universal Jailbreak Backdoors from Poisoned Human Feedback” (arXiv 2311.14455); “Hybrid Reputation Aggregation” (arXiv 2509.18044); “Certified Robustness to Data Poisoning” (arXiv 2406.05670).</w:t>
      </w:r>
    </w:p>
    <w:p>
      <w:pPr>
        <w:pStyle w:val="Heading2"/>
        <w:spacing w:after="160" w:before="280"/>
      </w:pPr>
      <w:r>
        <w:rPr>
          <w:rFonts w:ascii="Arial" w:cs="Arial" w:eastAsia="Arial" w:hAnsi="Arial"/>
          <w:b/>
          <w:bCs/>
          <w:color w:val="2E5984"/>
          <w:sz w:val="26"/>
          <w:szCs w:val="26"/>
        </w:rPr>
        <w:t xml:space="preserve">3.5 The Cold Start Problem</w:t>
      </w:r>
    </w:p>
    <w:p>
      <w:pPr>
        <w:spacing w:after="120"/>
      </w:pPr>
      <w:r>
        <w:rPr>
          <w:rFonts w:ascii="Arial" w:cs="Arial" w:eastAsia="Arial" w:hAnsi="Arial"/>
          <w:sz w:val="22"/>
          <w:szCs w:val="22"/>
        </w:rPr>
        <w:t xml:space="preserve">When the feedback system first launches, there is no feedback data. The system cannot calibrate because it has nothing to calibrate against.</w:t>
      </w:r>
    </w:p>
    <w:p>
      <w:pPr>
        <w:spacing w:after="120"/>
      </w:pPr>
      <w:r>
        <w:rPr>
          <w:rFonts w:ascii="Arial" w:cs="Arial" w:eastAsia="Arial" w:hAnsi="Arial"/>
          <w:sz w:val="22"/>
          <w:szCs w:val="22"/>
        </w:rPr>
        <w:t xml:space="preserve">The standard solution is phased bootstrapping:</w:t>
      </w:r>
    </w:p>
    <w:p>
      <w:pPr>
        <w:spacing w:after="120"/>
      </w:pPr>
      <w:r>
        <w:rPr>
          <w:rFonts w:ascii="Arial" w:cs="Arial" w:eastAsia="Arial" w:hAnsi="Arial"/>
          <w:i/>
          <w:iCs/>
          <w:color w:val="C0392B"/>
          <w:sz w:val="20"/>
          <w:szCs w:val="20"/>
        </w:rPr>
        <w:t xml:space="preserve">[REVISION] Per CTO review issue 2.4: bootstrap volume increased from 50–100 to 150–200 expert ratings, stratified across confidence bins. For a system with 5 confidence bins and 4 signal dimensions, 50 ratings do not provide statistically meaningful per-bin coverage. If ratings cluster in the 60–80% band (likely for regulatory content), tail bins (0–20% and 80–100%) will be empty.</w:t>
      </w:r>
    </w:p>
    <w:p>
      <w:pPr>
        <w:spacing w:after="120"/>
      </w:pPr>
      <w:r>
        <w:rPr>
          <w:rFonts w:ascii="Arial" w:cs="Arial" w:eastAsia="Arial" w:hAnsi="Arial"/>
          <w:b/>
          <w:bCs/>
          <w:sz w:val="22"/>
          <w:szCs w:val="22"/>
        </w:rPr>
        <w:t xml:space="preserve">Weeks 1–4: </w:t>
      </w:r>
      <w:r>
        <w:rPr>
          <w:rFonts w:ascii="Arial" w:cs="Arial" w:eastAsia="Arial" w:hAnsi="Arial"/>
          <w:sz w:val="22"/>
          <w:szCs w:val="22"/>
        </w:rPr>
        <w:t xml:space="preserve">Use expert-curated benchmarks. Have a domain expert (compliance officer or regulatory lawyer) rate 150–200 representative responses stratified across confidence bins. Deliberately include queries that produce very high and very low confidence scores to ensure all bins have coverage. Use these ratings to establish the initial calibration baseline and identify which signals are most predictive.</w:t>
      </w:r>
    </w:p>
    <w:p>
      <w:pPr>
        <w:spacing w:after="120"/>
      </w:pPr>
      <w:r>
        <w:rPr>
          <w:rFonts w:ascii="Arial" w:cs="Arial" w:eastAsia="Arial" w:hAnsi="Arial"/>
          <w:b/>
          <w:bCs/>
          <w:sz w:val="22"/>
          <w:szCs w:val="22"/>
        </w:rPr>
        <w:t xml:space="preserve">Weeks 4–12: </w:t>
      </w:r>
      <w:r>
        <w:rPr>
          <w:rFonts w:ascii="Arial" w:cs="Arial" w:eastAsia="Arial" w:hAnsi="Arial"/>
          <w:sz w:val="22"/>
          <w:szCs w:val="22"/>
        </w:rPr>
        <w:t xml:space="preserve">Blend expert and user feedback. Expert ratings are weighted 3x compared to general user ratings. As user feedback volume grows, gradually reduce the expert weight.</w:t>
      </w:r>
    </w:p>
    <w:p>
      <w:pPr>
        <w:spacing w:after="120"/>
      </w:pPr>
      <w:r>
        <w:rPr>
          <w:rFonts w:ascii="Arial" w:cs="Arial" w:eastAsia="Arial" w:hAnsi="Arial"/>
          <w:b/>
          <w:bCs/>
          <w:sz w:val="22"/>
          <w:szCs w:val="22"/>
        </w:rPr>
        <w:t xml:space="preserve">Months 3+: </w:t>
      </w:r>
      <w:r>
        <w:rPr>
          <w:rFonts w:ascii="Arial" w:cs="Arial" w:eastAsia="Arial" w:hAnsi="Arial"/>
          <w:sz w:val="22"/>
          <w:szCs w:val="22"/>
        </w:rPr>
        <w:t xml:space="preserve">User feedback becomes the primary calibration signal. Expert ratings are reserved for periodic audits (quarterly) to verify the system has not drifted.</w:t>
      </w:r>
    </w:p>
    <w:p>
      <w:pPr>
        <w:spacing w:after="120"/>
      </w:pPr>
      <w:r>
        <w:rPr>
          <w:rFonts w:ascii="Arial" w:cs="Arial" w:eastAsia="Arial" w:hAnsi="Arial"/>
          <w:sz w:val="22"/>
          <w:szCs w:val="22"/>
        </w:rPr>
        <w:t xml:space="preserve">Sources: “Cold Start (Recommender Systems)” (Wikipedia); “Addressing Data Sparsity and Cold Start” (Taylor &amp; Francis, 2024); “The AI Learns to Lie to Please You” (MDPI, 2024).</w:t>
      </w:r>
    </w:p>
    <w:p>
      <w:pPr>
        <w:pStyle w:val="Heading2"/>
        <w:spacing w:after="160" w:before="280"/>
      </w:pPr>
      <w:r>
        <w:rPr>
          <w:rFonts w:ascii="Arial" w:cs="Arial" w:eastAsia="Arial" w:hAnsi="Arial"/>
          <w:b/>
          <w:bCs/>
          <w:color w:val="2E5984"/>
          <w:sz w:val="26"/>
          <w:szCs w:val="26"/>
        </w:rPr>
        <w:t xml:space="preserve">3.6 The Regulatory Domain Is Different</w:t>
      </w:r>
    </w:p>
    <w:p>
      <w:pPr>
        <w:spacing w:after="120"/>
      </w:pPr>
      <w:r>
        <w:rPr>
          <w:rFonts w:ascii="Arial" w:cs="Arial" w:eastAsia="Arial" w:hAnsi="Arial"/>
          <w:sz w:val="22"/>
          <w:szCs w:val="22"/>
        </w:rPr>
        <w:t xml:space="preserve">Legal and regulatory AI has specific requirements that generic feedback systems do not address:</w:t>
      </w:r>
    </w:p>
    <w:p>
      <w:pPr>
        <w:pStyle w:val="ListParagraph"/>
        <w:numPr>
          <w:ilvl w:val="0"/>
          <w:numId w:val="2"/>
        </w:numPr>
        <w:spacing w:after="80"/>
      </w:pPr>
      <w:r>
        <w:rPr>
          <w:rFonts w:ascii="Arial" w:cs="Arial" w:eastAsia="Arial" w:hAnsi="Arial"/>
          <w:b/>
          <w:bCs/>
          <w:sz w:val="22"/>
          <w:szCs w:val="22"/>
        </w:rPr>
        <w:t xml:space="preserve">Ambiguity is genuine. </w:t>
      </w:r>
      <w:r>
        <w:rPr>
          <w:rFonts w:ascii="Arial" w:cs="Arial" w:eastAsia="Arial" w:hAnsi="Arial"/>
          <w:sz w:val="22"/>
          <w:szCs w:val="22"/>
        </w:rPr>
        <w:t xml:space="preserve">Regulations often have multiple valid interpretations. A 60% confidence score is not a failure — it is accurate information that the regulation is genuinely ambiguous. Users need to be trained that moderate confidence is valuable, not broken.</w:t>
      </w:r>
    </w:p>
    <w:p>
      <w:pPr>
        <w:pStyle w:val="ListParagraph"/>
        <w:numPr>
          <w:ilvl w:val="0"/>
          <w:numId w:val="2"/>
        </w:numPr>
        <w:spacing w:after="80"/>
      </w:pPr>
      <w:r>
        <w:rPr>
          <w:rFonts w:ascii="Arial" w:cs="Arial" w:eastAsia="Arial" w:hAnsi="Arial"/>
          <w:b/>
          <w:bCs/>
          <w:sz w:val="22"/>
          <w:szCs w:val="22"/>
        </w:rPr>
        <w:t xml:space="preserve">Expert feedback is worth more than lay feedback. </w:t>
      </w:r>
      <w:r>
        <w:rPr>
          <w:rFonts w:ascii="Arial" w:cs="Arial" w:eastAsia="Arial" w:hAnsi="Arial"/>
          <w:sz w:val="22"/>
          <w:szCs w:val="22"/>
        </w:rPr>
        <w:t xml:space="preserve">A compliance officer’s rating should carry more weight than a casual user’s. The feedback system should weight by user role (admin, compliance officer, general user).</w:t>
      </w:r>
    </w:p>
    <w:p>
      <w:pPr>
        <w:pStyle w:val="ListParagraph"/>
        <w:numPr>
          <w:ilvl w:val="0"/>
          <w:numId w:val="2"/>
        </w:numPr>
        <w:spacing w:after="80"/>
      </w:pPr>
      <w:r>
        <w:rPr>
          <w:rFonts w:ascii="Arial" w:cs="Arial" w:eastAsia="Arial" w:hAnsi="Arial"/>
          <w:b/>
          <w:bCs/>
          <w:sz w:val="22"/>
          <w:szCs w:val="22"/>
        </w:rPr>
        <w:t xml:space="preserve">Incorrect regulatory advice is a bigger reputational risk than overconfidence. </w:t>
      </w:r>
      <w:r>
        <w:rPr>
          <w:rFonts w:ascii="Arial" w:cs="Arial" w:eastAsia="Arial" w:hAnsi="Arial"/>
          <w:sz w:val="22"/>
          <w:szCs w:val="22"/>
        </w:rPr>
        <w:t xml:space="preserve">The system should calibrate toward conservatism — it is better to report 60% confidence when the true accuracy is 70% than to report 90% when the true accuracy is 70%.</w:t>
      </w:r>
    </w:p>
    <w:p>
      <w:pPr>
        <w:pStyle w:val="ListParagraph"/>
        <w:numPr>
          <w:ilvl w:val="0"/>
          <w:numId w:val="2"/>
        </w:numPr>
        <w:spacing w:after="80"/>
      </w:pPr>
      <w:r>
        <w:rPr>
          <w:rFonts w:ascii="Arial" w:cs="Arial" w:eastAsia="Arial" w:hAnsi="Arial"/>
          <w:b/>
          <w:bCs/>
          <w:sz w:val="22"/>
          <w:szCs w:val="22"/>
        </w:rPr>
        <w:t xml:space="preserve">Regulatory context changes. </w:t>
      </w:r>
      <w:r>
        <w:rPr>
          <w:rFonts w:ascii="Arial" w:cs="Arial" w:eastAsia="Arial" w:hAnsi="Arial"/>
          <w:sz w:val="22"/>
          <w:szCs w:val="22"/>
        </w:rPr>
        <w:t xml:space="preserve">New ordinances, court decisions, and amendments change what the correct answer is. The feedback system must use temporal weighting so old feedback does not anchor the system to outdated interpretations.</w:t>
      </w:r>
    </w:p>
    <w:p>
      <w:r>
        <w:br w:type="page"/>
      </w:r>
    </w:p>
    <w:p>
      <w:pPr>
        <w:pStyle w:val="Heading1"/>
        <w:spacing w:after="200" w:before="360"/>
      </w:pPr>
      <w:r>
        <w:rPr>
          <w:rFonts w:ascii="Arial" w:cs="Arial" w:eastAsia="Arial" w:hAnsi="Arial"/>
          <w:b/>
          <w:bCs/>
          <w:color w:val="1B3A5C"/>
          <w:sz w:val="32"/>
          <w:szCs w:val="32"/>
        </w:rPr>
        <w:t xml:space="preserve">4. Recommended Implementation for RegOS</w:t>
      </w:r>
    </w:p>
    <w:p>
      <w:pPr>
        <w:pStyle w:val="Heading2"/>
        <w:spacing w:after="160" w:before="280"/>
      </w:pPr>
      <w:r>
        <w:rPr>
          <w:rFonts w:ascii="Arial" w:cs="Arial" w:eastAsia="Arial" w:hAnsi="Arial"/>
          <w:b/>
          <w:bCs/>
          <w:color w:val="2E5984"/>
          <w:sz w:val="26"/>
          <w:szCs w:val="26"/>
        </w:rPr>
        <w:t xml:space="preserve">4.0 Pre-Phase A: Signal Independence (NEW)</w:t>
      </w:r>
    </w:p>
    <w:p>
      <w:pPr>
        <w:spacing w:after="120"/>
      </w:pPr>
      <w:r>
        <w:rPr>
          <w:rFonts w:ascii="Arial" w:cs="Arial" w:eastAsia="Arial" w:hAnsi="Arial"/>
          <w:i/>
          <w:iCs/>
          <w:color w:val="C0392B"/>
          <w:sz w:val="20"/>
          <w:szCs w:val="20"/>
        </w:rPr>
        <w:t xml:space="preserve">[REVISION] This entire section is new, added to address CTO review issues 2.1 and 2.2.</w:t>
      </w:r>
    </w:p>
    <w:p>
      <w:pPr>
        <w:spacing w:after="120"/>
      </w:pPr>
      <w:r>
        <w:rPr>
          <w:rFonts w:ascii="Arial" w:cs="Arial" w:eastAsia="Arial" w:hAnsi="Arial"/>
          <w:sz w:val="22"/>
          <w:szCs w:val="22"/>
        </w:rPr>
        <w:t xml:space="preserve">Before launching the feedback loop, the confidence signal architecture must be restructured so Thompson Sampling has genuinely independent dimensions to optimise. This is a prerequisite for all subsequent phases.</w:t>
      </w:r>
    </w:p>
    <w:p>
      <w:pPr>
        <w:pStyle w:val="Heading3"/>
        <w:spacing w:after="120" w:before="200"/>
      </w:pPr>
      <w:r>
        <w:rPr>
          <w:rFonts w:ascii="Arial" w:cs="Arial" w:eastAsia="Arial" w:hAnsi="Arial"/>
          <w:b/>
          <w:bCs/>
          <w:color w:val="3A6FA0"/>
          <w:sz w:val="24"/>
          <w:szCs w:val="24"/>
        </w:rPr>
        <w:t xml:space="preserve">4.0.1 Remove Token Confidence Signal</w:t>
      </w:r>
    </w:p>
    <w:p>
      <w:pPr>
        <w:spacing w:after="120"/>
      </w:pPr>
      <w:r>
        <w:rPr>
          <w:rFonts w:ascii="Arial" w:cs="Arial" w:eastAsia="Arial" w:hAnsi="Arial"/>
          <w:sz w:val="22"/>
          <w:szCs w:val="22"/>
        </w:rPr>
        <w:t xml:space="preserve">The token confidence signal (weight 0.08) is hardcoded to 0.5 in graphrag_filter.py line 467. It requires logprobs=True on LLM inference, which the current model (Nemotron via Open WebUI) does not expose. Feeding a constant value into Thompson Sampling wastes one dimension of the search space and slows convergence.</w:t>
      </w:r>
    </w:p>
    <w:p>
      <w:pPr>
        <w:spacing w:after="120"/>
      </w:pPr>
      <w:r>
        <w:rPr>
          <w:rFonts w:ascii="Arial" w:cs="Arial" w:eastAsia="Arial" w:hAnsi="Arial"/>
          <w:b/>
          <w:bCs/>
          <w:sz w:val="22"/>
          <w:szCs w:val="22"/>
        </w:rPr>
        <w:t xml:space="preserve">Action: </w:t>
      </w:r>
      <w:r>
        <w:rPr>
          <w:rFonts w:ascii="Arial" w:cs="Arial" w:eastAsia="Arial" w:hAnsi="Arial"/>
          <w:sz w:val="22"/>
          <w:szCs w:val="22"/>
        </w:rPr>
        <w:t xml:space="preserve">Remove token_confidence from the weight vector entirely. Redistribute its 0.08 weight proportionally to the remaining four signals. The new baseline weights become: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5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Old Weight</w:t>
            </w:r>
          </w:p>
        </w:tc>
        <w:tc>
          <w:tcPr>
            <w:tcW w:type="dxa" w:w="15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New Weight</w:t>
            </w:r>
          </w:p>
        </w:tc>
        <w:tc>
          <w:tcPr>
            <w:tcW w:type="dxa" w:w="312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 Confidence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signal (unchanged)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Faithfulness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 become real signal (see 4.0.2)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Hallucination-Free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 become real signal (see 4.0.3)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Relevance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Proxy retained — see 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Confidence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Hardcoded 0.5, no value</w:t>
            </w:r>
          </w:p>
        </w:tc>
      </w:tr>
    </w:tbl>
    <w:p>
      <w:pPr>
        <w:spacing w:after="120" w:before="160"/>
      </w:pPr>
    </w:p>
    <w:p>
      <w:pPr>
        <w:spacing w:after="120"/>
      </w:pPr>
      <w:r>
        <w:rPr>
          <w:rFonts w:ascii="Arial" w:cs="Arial" w:eastAsia="Arial" w:hAnsi="Arial"/>
          <w:sz w:val="22"/>
          <w:szCs w:val="22"/>
        </w:rPr>
        <w:t xml:space="preserve">Rationale for keeping context relevance as a proxy: while it is derived from retrieval sub-signals, it measures a different dimension (breadth of coverage across sections and concepts) than the raw retrieval confidence score (which measures match strength). It is the least correlated of the three proxies. Future work can replace it with RAGAS Context Precision + Context Recall.</w:t>
      </w:r>
    </w:p>
    <w:p>
      <w:pPr>
        <w:pStyle w:val="Heading3"/>
        <w:spacing w:after="120" w:before="200"/>
      </w:pPr>
      <w:r>
        <w:rPr>
          <w:rFonts w:ascii="Arial" w:cs="Arial" w:eastAsia="Arial" w:hAnsi="Arial"/>
          <w:b/>
          <w:bCs/>
          <w:color w:val="3A6FA0"/>
          <w:sz w:val="24"/>
          <w:szCs w:val="24"/>
        </w:rPr>
        <w:t xml:space="preserve">4.0.2 Instrument Faithfulness Evaluator</w:t>
      </w:r>
    </w:p>
    <w:p>
      <w:pPr>
        <w:spacing w:after="120"/>
      </w:pPr>
      <w:r>
        <w:rPr>
          <w:rFonts w:ascii="Arial" w:cs="Arial" w:eastAsia="Arial" w:hAnsi="Arial"/>
          <w:sz w:val="22"/>
          <w:szCs w:val="22"/>
        </w:rPr>
        <w:t xml:space="preserve">Replace the faithfulness proxy (line 438–449) with a lightweight NLI-based entailment check. Two options, in order of preference:</w:t>
      </w:r>
    </w:p>
    <w:p>
      <w:pPr>
        <w:pStyle w:val="ListParagraph"/>
        <w:numPr>
          <w:ilvl w:val="0"/>
          <w:numId w:val="3"/>
        </w:numPr>
        <w:spacing w:after="80"/>
      </w:pPr>
      <w:r>
        <w:rPr>
          <w:rFonts w:ascii="Arial" w:cs="Arial" w:eastAsia="Arial" w:hAnsi="Arial"/>
          <w:b/>
          <w:bCs/>
          <w:sz w:val="22"/>
          <w:szCs w:val="22"/>
        </w:rPr>
        <w:t xml:space="preserve">LLM self-evaluation (zero-cost, no new dependency): </w:t>
      </w:r>
      <w:r>
        <w:rPr>
          <w:rFonts w:ascii="Arial" w:cs="Arial" w:eastAsia="Arial" w:hAnsi="Arial"/>
          <w:sz w:val="22"/>
          <w:szCs w:val="22"/>
        </w:rPr>
        <w:t xml:space="preserve">After generating the response, issue a follow-up prompt to the same LLM: “Given only the following context, is every factual claim in the response supported? Answer YES or NO with a 0–1 confidence.” Parse the score. This runs in the outlet phase and adds one LLM call per response. Latency cost: ~1–2 seconds.</w:t>
      </w:r>
    </w:p>
    <w:p>
      <w:pPr>
        <w:pStyle w:val="ListParagraph"/>
        <w:numPr>
          <w:ilvl w:val="0"/>
          <w:numId w:val="3"/>
        </w:numPr>
        <w:spacing w:after="80"/>
      </w:pPr>
      <w:r>
        <w:rPr>
          <w:rFonts w:ascii="Arial" w:cs="Arial" w:eastAsia="Arial" w:hAnsi="Arial"/>
          <w:b/>
          <w:bCs/>
          <w:sz w:val="22"/>
          <w:szCs w:val="22"/>
        </w:rPr>
        <w:t xml:space="preserve">NLI model (higher quality, new dependency): </w:t>
      </w:r>
      <w:r>
        <w:rPr>
          <w:rFonts w:ascii="Arial" w:cs="Arial" w:eastAsia="Arial" w:hAnsi="Arial"/>
          <w:sz w:val="22"/>
          <w:szCs w:val="22"/>
        </w:rPr>
        <w:t xml:space="preserve">Use a lightweight NLI model (e.g., cross-encoder/nli-deberta-v3-base, ~180MB) to compute entailment between each response sentence and the retrieved context. Average entailment scores give a faithfulness score. Adds a Python dependency but runs locally with no API cost.</w:t>
      </w:r>
    </w:p>
    <w:p>
      <w:pPr>
        <w:spacing w:after="120"/>
      </w:pPr>
      <w:r>
        <w:rPr>
          <w:rFonts w:ascii="Arial" w:cs="Arial" w:eastAsia="Arial" w:hAnsi="Arial"/>
          <w:sz w:val="22"/>
          <w:szCs w:val="22"/>
        </w:rPr>
        <w:t xml:space="preserve">Recommendation: Start with option 1 (LLM self-evaluation) in Pre-Phase A. It requires zero new dependencies, fits within the existing filter pattern, and can be replaced with an NLI model later if evaluation quality is insufficient.</w:t>
      </w:r>
    </w:p>
    <w:p>
      <w:pPr>
        <w:pStyle w:val="Heading3"/>
        <w:spacing w:after="120" w:before="200"/>
      </w:pPr>
      <w:r>
        <w:rPr>
          <w:rFonts w:ascii="Arial" w:cs="Arial" w:eastAsia="Arial" w:hAnsi="Arial"/>
          <w:b/>
          <w:bCs/>
          <w:color w:val="3A6FA0"/>
          <w:sz w:val="24"/>
          <w:szCs w:val="24"/>
        </w:rPr>
        <w:t xml:space="preserve">4.0.3 Instrument Hallucination Detector</w:t>
      </w:r>
    </w:p>
    <w:p>
      <w:pPr>
        <w:spacing w:after="120"/>
      </w:pPr>
      <w:r>
        <w:rPr>
          <w:rFonts w:ascii="Arial" w:cs="Arial" w:eastAsia="Arial" w:hAnsi="Arial"/>
          <w:sz w:val="22"/>
          <w:szCs w:val="22"/>
        </w:rPr>
        <w:t xml:space="preserve">Replace the hallucination proxy (line 456–461) with an LLM-based contradiction check:</w:t>
      </w:r>
    </w:p>
    <w:p>
      <w:pPr>
        <w:pStyle w:val="ListParagraph"/>
        <w:numPr>
          <w:ilvl w:val="0"/>
          <w:numId w:val="2"/>
        </w:numPr>
        <w:spacing w:after="80"/>
      </w:pPr>
      <w:r>
        <w:rPr>
          <w:rFonts w:ascii="Arial" w:cs="Arial" w:eastAsia="Arial" w:hAnsi="Arial"/>
          <w:sz w:val="22"/>
          <w:szCs w:val="22"/>
        </w:rPr>
        <w:t xml:space="preserve">Prompt the LLM: “Does the following response contain any claims NOT supported by or contradicting the provided context? List any unsupported claims, or answer NONE.”</w:t>
      </w:r>
    </w:p>
    <w:p>
      <w:pPr>
        <w:pStyle w:val="ListParagraph"/>
        <w:numPr>
          <w:ilvl w:val="0"/>
          <w:numId w:val="2"/>
        </w:numPr>
        <w:spacing w:after="80"/>
      </w:pPr>
      <w:r>
        <w:rPr>
          <w:rFonts w:ascii="Arial" w:cs="Arial" w:eastAsia="Arial" w:hAnsi="Arial"/>
          <w:sz w:val="22"/>
          <w:szCs w:val="22"/>
        </w:rPr>
        <w:t xml:space="preserve">Score: 1.0 if NONE, 0.0 if contradictions found, 0.5 if uncertain. This can be combined with the existing Phase 3 output validation (faithfulness_score in the outlet) for cross-verification.</w:t>
      </w:r>
    </w:p>
    <w:p>
      <w:pPr>
        <w:spacing w:after="120"/>
      </w:pPr>
      <w:r>
        <w:rPr>
          <w:rFonts w:ascii="Arial" w:cs="Arial" w:eastAsia="Arial" w:hAnsi="Arial"/>
          <w:sz w:val="22"/>
          <w:szCs w:val="22"/>
        </w:rPr>
        <w:t xml:space="preserve">The key insight is that faithfulness (“is the response grounded?”) and hallucination detection (“does the response contradict the evidence?”) are distinct checks. One is about omission, the other about commission. This gives Thompson Sampling two genuinely different dimensions to optimise.</w:t>
      </w:r>
    </w:p>
    <w:p>
      <w:pPr>
        <w:pStyle w:val="Heading3"/>
        <w:spacing w:after="120" w:before="200"/>
      </w:pPr>
      <w:r>
        <w:rPr>
          <w:rFonts w:ascii="Arial" w:cs="Arial" w:eastAsia="Arial" w:hAnsi="Arial"/>
          <w:b/>
          <w:bCs/>
          <w:color w:val="3A6FA0"/>
          <w:sz w:val="24"/>
          <w:szCs w:val="24"/>
        </w:rPr>
        <w:t xml:space="preserve">4.0.4 Estimated Effort</w:t>
      </w:r>
    </w:p>
    <w:p>
      <w:pPr>
        <w:spacing w:after="120"/>
      </w:pPr>
      <w:r>
        <w:rPr>
          <w:rFonts w:ascii="Arial" w:cs="Arial" w:eastAsia="Arial" w:hAnsi="Arial"/>
          <w:sz w:val="22"/>
          <w:szCs w:val="22"/>
        </w:rPr>
        <w:t xml:space="preserve">Pre-Phase A adds approximately 80–120 lines of code to graphrag_filter.py. No new dependencies if using LLM self-evaluation. Timeline: 3–5 days. Changes are confined to the _calculate_confidence method and the outlet phase.</w:t>
      </w:r>
    </w:p>
    <w:p>
      <w:pPr>
        <w:pStyle w:val="Heading2"/>
        <w:spacing w:after="160" w:before="280"/>
      </w:pPr>
      <w:r>
        <w:rPr>
          <w:rFonts w:ascii="Arial" w:cs="Arial" w:eastAsia="Arial" w:hAnsi="Arial"/>
          <w:b/>
          <w:bCs/>
          <w:color w:val="2E5984"/>
          <w:sz w:val="26"/>
          <w:szCs w:val="26"/>
        </w:rPr>
        <w:t xml:space="preserve">4.1 Architecture Overview</w:t>
      </w:r>
    </w:p>
    <w:p>
      <w:pPr>
        <w:spacing w:after="120"/>
      </w:pPr>
      <w:r>
        <w:rPr>
          <w:rFonts w:ascii="Arial" w:cs="Arial" w:eastAsia="Arial" w:hAnsi="Arial"/>
          <w:sz w:val="22"/>
          <w:szCs w:val="22"/>
        </w:rPr>
        <w:t xml:space="preserve">The feedback loop follows a five-stage pipeline: collect → measure → validate → optimise → audit. Each stage builds on the previous one, and the system can be paused or rolled back at any stage boundary.</w:t>
      </w:r>
    </w:p>
    <w:p>
      <w:pPr>
        <w:spacing w:after="120"/>
      </w:pPr>
      <w:r>
        <w:rPr>
          <w:rFonts w:ascii="Arial" w:cs="Arial" w:eastAsia="Arial" w:hAnsi="Arial"/>
          <w:i/>
          <w:iCs/>
          <w:color w:val="C0392B"/>
          <w:sz w:val="20"/>
          <w:szCs w:val="20"/>
        </w:rPr>
        <w:t xml:space="preserve">[REVISION] Architecture now includes Pre-Phase A (signal independence) as stage 0, rollback mechanisms at the optimise stage, and continuous audit logging at every stage.</w:t>
      </w:r>
    </w:p>
    <w:p>
      <w:pPr>
        <w:pStyle w:val="Heading2"/>
        <w:spacing w:after="160" w:before="280"/>
      </w:pPr>
      <w:r>
        <w:rPr>
          <w:rFonts w:ascii="Arial" w:cs="Arial" w:eastAsia="Arial" w:hAnsi="Arial"/>
          <w:b/>
          <w:bCs/>
          <w:color w:val="2E5984"/>
          <w:sz w:val="26"/>
          <w:szCs w:val="26"/>
        </w:rPr>
        <w:t xml:space="preserve">4.2 Implementation Phases</w:t>
      </w:r>
    </w:p>
    <w:p>
      <w:pPr>
        <w:pStyle w:val="Heading3"/>
        <w:spacing w:after="120" w:before="200"/>
      </w:pPr>
      <w:r>
        <w:rPr>
          <w:rFonts w:ascii="Arial" w:cs="Arial" w:eastAsia="Arial" w:hAnsi="Arial"/>
          <w:b/>
          <w:bCs/>
          <w:color w:val="3A6FA0"/>
          <w:sz w:val="24"/>
          <w:szCs w:val="24"/>
        </w:rPr>
        <w:t xml:space="preserve">Pre-Phase A: Signal Independence (Week 0–1) [NEW]</w:t>
      </w:r>
    </w:p>
    <w:p>
      <w:pPr>
        <w:pStyle w:val="ListParagraph"/>
        <w:numPr>
          <w:ilvl w:val="0"/>
          <w:numId w:val="4"/>
        </w:numPr>
        <w:spacing w:after="80"/>
      </w:pPr>
      <w:r>
        <w:rPr>
          <w:rFonts w:ascii="Arial" w:cs="Arial" w:eastAsia="Arial" w:hAnsi="Arial"/>
          <w:sz w:val="22"/>
          <w:szCs w:val="22"/>
        </w:rPr>
        <w:t xml:space="preserve">Remove token_confidence signal from weight vector. Redistribute 0.08 weight to remaining 4 signals.</w:t>
      </w:r>
    </w:p>
    <w:p>
      <w:pPr>
        <w:pStyle w:val="ListParagraph"/>
        <w:numPr>
          <w:ilvl w:val="0"/>
          <w:numId w:val="4"/>
        </w:numPr>
        <w:spacing w:after="80"/>
      </w:pPr>
      <w:r>
        <w:rPr>
          <w:rFonts w:ascii="Arial" w:cs="Arial" w:eastAsia="Arial" w:hAnsi="Arial"/>
          <w:sz w:val="22"/>
          <w:szCs w:val="22"/>
        </w:rPr>
        <w:t xml:space="preserve">Implement LLM self-evaluation for faithfulness (outlet phase, one follow-up prompt per response).</w:t>
      </w:r>
    </w:p>
    <w:p>
      <w:pPr>
        <w:pStyle w:val="ListParagraph"/>
        <w:numPr>
          <w:ilvl w:val="0"/>
          <w:numId w:val="4"/>
        </w:numPr>
        <w:spacing w:after="80"/>
      </w:pPr>
      <w:r>
        <w:rPr>
          <w:rFonts w:ascii="Arial" w:cs="Arial" w:eastAsia="Arial" w:hAnsi="Arial"/>
          <w:sz w:val="22"/>
          <w:szCs w:val="22"/>
        </w:rPr>
        <w:t xml:space="preserve">Implement LLM-based hallucination contradiction check (outlet phase, one follow-up prompt per response).</w:t>
      </w:r>
    </w:p>
    <w:p>
      <w:pPr>
        <w:pStyle w:val="ListParagraph"/>
        <w:numPr>
          <w:ilvl w:val="0"/>
          <w:numId w:val="4"/>
        </w:numPr>
        <w:spacing w:after="80"/>
      </w:pPr>
      <w:r>
        <w:rPr>
          <w:rFonts w:ascii="Arial" w:cs="Arial" w:eastAsia="Arial" w:hAnsi="Arial"/>
          <w:sz w:val="22"/>
          <w:szCs w:val="22"/>
        </w:rPr>
        <w:t xml:space="preserve">Run both new evaluators alongside existing proxies for 1 week. Log both old and new signal values to audit database. Compare distributions.</w:t>
      </w:r>
    </w:p>
    <w:p>
      <w:pPr>
        <w:pStyle w:val="ListParagraph"/>
        <w:numPr>
          <w:ilvl w:val="0"/>
          <w:numId w:val="4"/>
        </w:numPr>
        <w:spacing w:after="80"/>
      </w:pPr>
      <w:r>
        <w:rPr>
          <w:rFonts w:ascii="Arial" w:cs="Arial" w:eastAsia="Arial" w:hAnsi="Arial"/>
          <w:sz w:val="22"/>
          <w:szCs w:val="22"/>
        </w:rPr>
        <w:t xml:space="preserve">Once validated, swap new evaluators into the production weight calculation. Archive proxy implementations behind a valve toggle for fallback.</w:t>
      </w:r>
    </w:p>
    <w:p>
      <w:pPr>
        <w:pStyle w:val="Heading3"/>
        <w:spacing w:after="120" w:before="200"/>
      </w:pPr>
      <w:r>
        <w:rPr>
          <w:rFonts w:ascii="Arial" w:cs="Arial" w:eastAsia="Arial" w:hAnsi="Arial"/>
          <w:b/>
          <w:bCs/>
          <w:color w:val="3A6FA0"/>
          <w:sz w:val="24"/>
          <w:szCs w:val="24"/>
        </w:rPr>
        <w:t xml:space="preserve">Phase A: Feedback Collection (Week 1–2)</w:t>
      </w:r>
    </w:p>
    <w:p>
      <w:pPr>
        <w:spacing w:after="120"/>
      </w:pPr>
      <w:r>
        <w:rPr>
          <w:rFonts w:ascii="Arial" w:cs="Arial" w:eastAsia="Arial" w:hAnsi="Arial"/>
          <w:sz w:val="22"/>
          <w:szCs w:val="22"/>
        </w:rPr>
        <w:t xml:space="preserve">Build the feedback storage layer and connect it to Open WebUI’s existing thumbs up/down buttons. This does not change the confidence scoring — it only collects data.</w:t>
      </w:r>
    </w:p>
    <w:p>
      <w:pPr>
        <w:pStyle w:val="ListParagraph"/>
        <w:numPr>
          <w:ilvl w:val="0"/>
          <w:numId w:val="2"/>
        </w:numPr>
        <w:spacing w:after="80"/>
      </w:pPr>
      <w:r>
        <w:rPr>
          <w:rFonts w:ascii="Arial" w:cs="Arial" w:eastAsia="Arial" w:hAnsi="Arial"/>
          <w:sz w:val="22"/>
          <w:szCs w:val="22"/>
        </w:rPr>
        <w:t xml:space="preserve">Create feedback_records table in audit.db (schema in Section 4.5).</w:t>
      </w:r>
    </w:p>
    <w:p>
      <w:pPr>
        <w:pStyle w:val="ListParagraph"/>
        <w:numPr>
          <w:ilvl w:val="0"/>
          <w:numId w:val="2"/>
        </w:numPr>
        <w:spacing w:after="80"/>
      </w:pPr>
      <w:r>
        <w:rPr>
          <w:rFonts w:ascii="Arial" w:cs="Arial" w:eastAsia="Arial" w:hAnsi="Arial"/>
          <w:sz w:val="22"/>
          <w:szCs w:val="22"/>
        </w:rPr>
        <w:t xml:space="preserve">Hook Open WebUI’s thumbs up/down button events to write feedback records.</w:t>
      </w:r>
    </w:p>
    <w:p>
      <w:pPr>
        <w:pStyle w:val="ListParagraph"/>
        <w:numPr>
          <w:ilvl w:val="0"/>
          <w:numId w:val="2"/>
        </w:numPr>
        <w:spacing w:after="80"/>
      </w:pPr>
      <w:r>
        <w:rPr>
          <w:rFonts w:ascii="Arial" w:cs="Arial" w:eastAsia="Arial" w:hAnsi="Arial"/>
          <w:sz w:val="22"/>
          <w:szCs w:val="22"/>
        </w:rPr>
        <w:t xml:space="preserve">Log every feedback event to audit database with full context (user, role, query, confidence score at time of rating, all signal values).</w:t>
      </w:r>
    </w:p>
    <w:p>
      <w:pPr>
        <w:spacing w:after="120"/>
      </w:pPr>
      <w:r>
        <w:rPr>
          <w:rFonts w:ascii="Arial" w:cs="Arial" w:eastAsia="Arial" w:hAnsi="Arial"/>
          <w:i/>
          <w:iCs/>
          <w:color w:val="C0392B"/>
          <w:sz w:val="20"/>
          <w:szCs w:val="20"/>
        </w:rPr>
        <w:t xml:space="preserve">[REVISION] Per CTO review issue 2.5: implicit signals (citation clicks, copy events, reformulation) are collected as observational data only in Phase A. They are NOT fed into calibration. Store them in a separate implicit_signals table with a validated=false flag.</w:t>
      </w:r>
    </w:p>
    <w:p>
      <w:pPr>
        <w:pStyle w:val="ListParagraph"/>
        <w:numPr>
          <w:ilvl w:val="0"/>
          <w:numId w:val="2"/>
        </w:numPr>
        <w:spacing w:after="80"/>
      </w:pPr>
      <w:r>
        <w:rPr>
          <w:rFonts w:ascii="Arial" w:cs="Arial" w:eastAsia="Arial" w:hAnsi="Arial"/>
          <w:sz w:val="22"/>
          <w:szCs w:val="22"/>
        </w:rPr>
        <w:t xml:space="preserve">Collect implicit signals (citation clicks, copy events, query reformulation) into implicit_signals table. These are observational only — not used for calibration until validated in Phase B.</w:t>
      </w:r>
    </w:p>
    <w:p>
      <w:pPr>
        <w:pStyle w:val="Heading3"/>
        <w:spacing w:after="120" w:before="200"/>
      </w:pPr>
      <w:r>
        <w:rPr>
          <w:rFonts w:ascii="Arial" w:cs="Arial" w:eastAsia="Arial" w:hAnsi="Arial"/>
          <w:b/>
          <w:bCs/>
          <w:color w:val="3A6FA0"/>
          <w:sz w:val="24"/>
          <w:szCs w:val="24"/>
        </w:rPr>
        <w:t xml:space="preserve">Phase B: Calibration Dashboard (Week 2–3)</w:t>
      </w:r>
    </w:p>
    <w:p>
      <w:pPr>
        <w:spacing w:after="120"/>
      </w:pPr>
      <w:r>
        <w:rPr>
          <w:rFonts w:ascii="Arial" w:cs="Arial" w:eastAsia="Arial" w:hAnsi="Arial"/>
          <w:sz w:val="22"/>
          <w:szCs w:val="22"/>
        </w:rPr>
        <w:t xml:space="preserve">Before changing anything, measure the current calibration. Build a dashboard that shows ECE and signal-level performance.</w:t>
      </w:r>
    </w:p>
    <w:p>
      <w:pPr>
        <w:pStyle w:val="ListParagraph"/>
        <w:numPr>
          <w:ilvl w:val="0"/>
          <w:numId w:val="2"/>
        </w:numPr>
        <w:spacing w:after="80"/>
      </w:pPr>
      <w:r>
        <w:rPr>
          <w:rFonts w:ascii="Arial" w:cs="Arial" w:eastAsia="Arial" w:hAnsi="Arial"/>
          <w:sz w:val="22"/>
          <w:szCs w:val="22"/>
        </w:rPr>
        <w:t xml:space="preserve">Compute weekly ECE across 5 confidence bins (0–20%, 20–40%, 40–60%, 60–80%, 80–100%).</w:t>
      </w:r>
    </w:p>
    <w:p>
      <w:pPr>
        <w:pStyle w:val="ListParagraph"/>
        <w:numPr>
          <w:ilvl w:val="0"/>
          <w:numId w:val="2"/>
        </w:numPr>
        <w:spacing w:after="80"/>
      </w:pPr>
      <w:r>
        <w:rPr>
          <w:rFonts w:ascii="Arial" w:cs="Arial" w:eastAsia="Arial" w:hAnsi="Arial"/>
          <w:sz w:val="22"/>
          <w:szCs w:val="22"/>
        </w:rPr>
        <w:t xml:space="preserve">Show per-signal correlation with user agreement (which signals are most predictive).</w:t>
      </w:r>
    </w:p>
    <w:p>
      <w:pPr>
        <w:pStyle w:val="ListParagraph"/>
        <w:numPr>
          <w:ilvl w:val="0"/>
          <w:numId w:val="2"/>
        </w:numPr>
        <w:spacing w:after="80"/>
      </w:pPr>
      <w:r>
        <w:rPr>
          <w:rFonts w:ascii="Arial" w:cs="Arial" w:eastAsia="Arial" w:hAnsi="Arial"/>
          <w:sz w:val="22"/>
          <w:szCs w:val="22"/>
        </w:rPr>
        <w:t xml:space="preserve">Display overconfidence and underconfidence rates by bin.</w:t>
      </w:r>
    </w:p>
    <w:p>
      <w:pPr>
        <w:spacing w:after="120"/>
      </w:pPr>
      <w:r>
        <w:rPr>
          <w:rFonts w:ascii="Arial" w:cs="Arial" w:eastAsia="Arial" w:hAnsi="Arial"/>
          <w:i/>
          <w:iCs/>
          <w:color w:val="C0392B"/>
          <w:sz w:val="20"/>
          <w:szCs w:val="20"/>
        </w:rPr>
        <w:t xml:space="preserve">[REVISION] Per CTO review issue 2.5: Phase B adds implicit signal validation. Compute Pearson/Spearman correlation between each implicit signal and explicit ratings. Only promote implicit signals with r &gt; 0.3 (p &lt; 0.05) to calibration inputs in Phase C.</w:t>
      </w:r>
    </w:p>
    <w:p>
      <w:pPr>
        <w:pStyle w:val="ListParagraph"/>
        <w:numPr>
          <w:ilvl w:val="0"/>
          <w:numId w:val="2"/>
        </w:numPr>
        <w:spacing w:after="80"/>
      </w:pPr>
      <w:r>
        <w:rPr>
          <w:rFonts w:ascii="Arial" w:cs="Arial" w:eastAsia="Arial" w:hAnsi="Arial"/>
          <w:sz w:val="22"/>
          <w:szCs w:val="22"/>
        </w:rPr>
        <w:t xml:space="preserve">Validate implicit signal correlation: compute Pearson and Spearman correlation between each implicit signal and explicit thumbs up/down ratings. Only implicit signals with r &gt; 0.3 (p &lt; 0.05) are promoted to calibration inputs for Phase C.</w:t>
      </w:r>
    </w:p>
    <w:p>
      <w:pPr>
        <w:pStyle w:val="Heading3"/>
        <w:spacing w:after="120" w:before="200"/>
      </w:pPr>
      <w:r>
        <w:rPr>
          <w:rFonts w:ascii="Arial" w:cs="Arial" w:eastAsia="Arial" w:hAnsi="Arial"/>
          <w:b/>
          <w:bCs/>
          <w:color w:val="3A6FA0"/>
          <w:sz w:val="24"/>
          <w:szCs w:val="24"/>
        </w:rPr>
        <w:t xml:space="preserve">Phase C: Thompson Sampling Weight Optimisation (Week 3–4)</w:t>
      </w:r>
    </w:p>
    <w:p>
      <w:pPr>
        <w:spacing w:after="120"/>
      </w:pPr>
      <w:r>
        <w:rPr>
          <w:rFonts w:ascii="Arial" w:cs="Arial" w:eastAsia="Arial" w:hAnsi="Arial"/>
          <w:sz w:val="22"/>
          <w:szCs w:val="22"/>
        </w:rPr>
        <w:t xml:space="preserve">Once feedback volume reaches 150+ rated responses (stratified across confidence bins), enable Thompson Sampling to learn optimal signal weights.</w:t>
      </w:r>
    </w:p>
    <w:p>
      <w:pPr>
        <w:spacing w:after="120"/>
      </w:pPr>
      <w:r>
        <w:rPr>
          <w:rFonts w:ascii="Arial" w:cs="Arial" w:eastAsia="Arial" w:hAnsi="Arial"/>
          <w:i/>
          <w:iCs/>
          <w:color w:val="C0392B"/>
          <w:sz w:val="20"/>
          <w:szCs w:val="20"/>
        </w:rPr>
        <w:t xml:space="preserve">[REVISION] Per CTO review issues 2.3 and 2.4: Phase C now includes maximum delta constraints, automatic rollback, and increased bootstrap volume.</w:t>
      </w:r>
    </w:p>
    <w:p>
      <w:pPr>
        <w:pStyle w:val="ListParagraph"/>
        <w:numPr>
          <w:ilvl w:val="0"/>
          <w:numId w:val="2"/>
        </w:numPr>
        <w:spacing w:after="80"/>
      </w:pPr>
      <w:r>
        <w:rPr>
          <w:rFonts w:ascii="Arial" w:cs="Arial" w:eastAsia="Arial" w:hAnsi="Arial"/>
          <w:sz w:val="22"/>
          <w:szCs w:val="22"/>
        </w:rPr>
        <w:t xml:space="preserve">Generate 50 candidate weight vectors. Each vector must sum to 1.0 across 4 signals.</w:t>
      </w:r>
    </w:p>
    <w:p>
      <w:pPr>
        <w:pStyle w:val="ListParagraph"/>
        <w:numPr>
          <w:ilvl w:val="0"/>
          <w:numId w:val="2"/>
        </w:numPr>
        <w:spacing w:after="80"/>
      </w:pPr>
      <w:r>
        <w:rPr>
          <w:rFonts w:ascii="Arial" w:cs="Arial" w:eastAsia="Arial" w:hAnsi="Arial"/>
          <w:sz w:val="22"/>
          <w:szCs w:val="22"/>
        </w:rPr>
        <w:t xml:space="preserve">Maintain Beta(α, β) distribution for each candidate. Update weekly based on feedback batch.</w:t>
      </w:r>
    </w:p>
    <w:p>
      <w:pPr>
        <w:pStyle w:val="ListParagraph"/>
        <w:numPr>
          <w:ilvl w:val="0"/>
          <w:numId w:val="2"/>
        </w:numPr>
        <w:spacing w:after="80"/>
      </w:pPr>
      <w:r>
        <w:rPr>
          <w:rFonts w:ascii="Arial" w:cs="Arial" w:eastAsia="Arial" w:hAnsi="Arial"/>
          <w:b/>
          <w:bCs/>
          <w:sz w:val="22"/>
          <w:szCs w:val="22"/>
        </w:rPr>
        <w:t xml:space="preserve">Maximum delta constraint: </w:t>
      </w:r>
      <w:r>
        <w:rPr>
          <w:rFonts w:ascii="Arial" w:cs="Arial" w:eastAsia="Arial" w:hAnsi="Arial"/>
          <w:sz w:val="22"/>
          <w:szCs w:val="22"/>
        </w:rPr>
        <w:t xml:space="preserve">No single weight may change by more than ±0.05 per weekly update cycle. If the Thompson Sampling winner exceeds this bound, clamp the update to the maximum delta and renormalise.</w:t>
      </w:r>
    </w:p>
    <w:p>
      <w:pPr>
        <w:pStyle w:val="ListParagraph"/>
        <w:numPr>
          <w:ilvl w:val="0"/>
          <w:numId w:val="2"/>
        </w:numPr>
        <w:spacing w:after="80"/>
      </w:pPr>
      <w:r>
        <w:rPr>
          <w:rFonts w:ascii="Arial" w:cs="Arial" w:eastAsia="Arial" w:hAnsi="Arial"/>
          <w:b/>
          <w:bCs/>
          <w:sz w:val="22"/>
          <w:szCs w:val="22"/>
        </w:rPr>
        <w:t xml:space="preserve">Automatic rollback trigger: </w:t>
      </w:r>
      <w:r>
        <w:rPr>
          <w:rFonts w:ascii="Arial" w:cs="Arial" w:eastAsia="Arial" w:hAnsi="Arial"/>
          <w:sz w:val="22"/>
          <w:szCs w:val="22"/>
        </w:rPr>
        <w:t xml:space="preserve">After each weight update, compute ECE on the new weights using the most recent 2 weeks of feedback. If ECE increases by more than 5 percentage points compared to the previous week, automatically revert to the previous weight vector and log the rollback event.</w:t>
      </w:r>
    </w:p>
    <w:p>
      <w:pPr>
        <w:pStyle w:val="ListParagraph"/>
        <w:numPr>
          <w:ilvl w:val="0"/>
          <w:numId w:val="2"/>
        </w:numPr>
        <w:spacing w:after="80"/>
      </w:pPr>
      <w:r>
        <w:rPr>
          <w:rFonts w:ascii="Arial" w:cs="Arial" w:eastAsia="Arial" w:hAnsi="Arial"/>
          <w:b/>
          <w:bCs/>
          <w:sz w:val="22"/>
          <w:szCs w:val="22"/>
        </w:rPr>
        <w:t xml:space="preserve">Bootstrap requirement: </w:t>
      </w:r>
      <w:r>
        <w:rPr>
          <w:rFonts w:ascii="Arial" w:cs="Arial" w:eastAsia="Arial" w:hAnsi="Arial"/>
          <w:sz w:val="22"/>
          <w:szCs w:val="22"/>
        </w:rPr>
        <w:t xml:space="preserve">150–200 expert-rated responses, stratified across confidence bins. Specifically target edge cases: include queries that produce very high (&gt;85%) and very low (&lt;40%) confidence scores to ensure all bins have coverage.</w:t>
      </w:r>
    </w:p>
    <w:p>
      <w:pPr>
        <w:pStyle w:val="ListParagraph"/>
        <w:numPr>
          <w:ilvl w:val="0"/>
          <w:numId w:val="2"/>
        </w:numPr>
        <w:spacing w:after="80"/>
      </w:pPr>
      <w:r>
        <w:rPr>
          <w:rFonts w:ascii="Arial" w:cs="Arial" w:eastAsia="Arial" w:hAnsi="Arial"/>
          <w:sz w:val="22"/>
          <w:szCs w:val="22"/>
        </w:rPr>
        <w:t xml:space="preserve">Every weight update is logged to the audit database with before/after values, ECE scores, and the feedback batch that triggered the update (see Section 4.5).</w:t>
      </w:r>
    </w:p>
    <w:p>
      <w:pPr>
        <w:pStyle w:val="Heading3"/>
        <w:spacing w:after="120" w:before="200"/>
      </w:pPr>
      <w:r>
        <w:rPr>
          <w:rFonts w:ascii="Arial" w:cs="Arial" w:eastAsia="Arial" w:hAnsi="Arial"/>
          <w:b/>
          <w:bCs/>
          <w:color w:val="3A6FA0"/>
          <w:sz w:val="24"/>
          <w:szCs w:val="24"/>
        </w:rPr>
        <w:t xml:space="preserve">Phase D: Temperature Scaling (Ongoing)</w:t>
      </w:r>
    </w:p>
    <w:p>
      <w:pPr>
        <w:spacing w:after="120"/>
      </w:pPr>
      <w:r>
        <w:rPr>
          <w:rFonts w:ascii="Arial" w:cs="Arial" w:eastAsia="Arial" w:hAnsi="Arial"/>
          <w:sz w:val="22"/>
          <w:szCs w:val="22"/>
        </w:rPr>
        <w:t xml:space="preserve">After Thompson Sampling finds good weights, apply temperature scaling to fine-tune the calibration curve. Adjust weekly to minimise ECE.</w:t>
      </w:r>
    </w:p>
    <w:p>
      <w:pPr>
        <w:spacing w:after="120"/>
      </w:pPr>
      <w:r>
        <w:rPr>
          <w:rFonts w:ascii="Arial" w:cs="Arial" w:eastAsia="Arial" w:hAnsi="Arial"/>
          <w:i/>
          <w:iCs/>
          <w:color w:val="C0392B"/>
          <w:sz w:val="20"/>
          <w:szCs w:val="20"/>
        </w:rPr>
        <w:t xml:space="preserve">[REVISION] Per CTO review: Phase D adds quarterly expert audit and monthly anti-poisoning review.</w:t>
      </w:r>
    </w:p>
    <w:p>
      <w:pPr>
        <w:pStyle w:val="ListParagraph"/>
        <w:numPr>
          <w:ilvl w:val="0"/>
          <w:numId w:val="2"/>
        </w:numPr>
        <w:spacing w:after="80"/>
      </w:pPr>
      <w:r>
        <w:rPr>
          <w:rFonts w:ascii="Arial" w:cs="Arial" w:eastAsia="Arial" w:hAnsi="Arial"/>
          <w:b/>
          <w:bCs/>
          <w:sz w:val="22"/>
          <w:szCs w:val="22"/>
        </w:rPr>
        <w:t xml:space="preserve">Quarterly expert audit: </w:t>
      </w:r>
      <w:r>
        <w:rPr>
          <w:rFonts w:ascii="Arial" w:cs="Arial" w:eastAsia="Arial" w:hAnsi="Arial"/>
          <w:sz w:val="22"/>
          <w:szCs w:val="22"/>
        </w:rPr>
        <w:t xml:space="preserve">Domain expert reviews 25–50 responses sampled across confidence bins. Compare expert ratings against system calibration to detect drift.</w:t>
      </w:r>
    </w:p>
    <w:p>
      <w:pPr>
        <w:pStyle w:val="ListParagraph"/>
        <w:numPr>
          <w:ilvl w:val="0"/>
          <w:numId w:val="2"/>
        </w:numPr>
        <w:spacing w:after="80"/>
      </w:pPr>
      <w:r>
        <w:rPr>
          <w:rFonts w:ascii="Arial" w:cs="Arial" w:eastAsia="Arial" w:hAnsi="Arial"/>
          <w:b/>
          <w:bCs/>
          <w:sz w:val="22"/>
          <w:szCs w:val="22"/>
        </w:rPr>
        <w:t xml:space="preserve">Monthly anti-poisoning review: </w:t>
      </w:r>
      <w:r>
        <w:rPr>
          <w:rFonts w:ascii="Arial" w:cs="Arial" w:eastAsia="Arial" w:hAnsi="Arial"/>
          <w:sz w:val="22"/>
          <w:szCs w:val="22"/>
        </w:rPr>
        <w:t xml:space="preserve">Review anti-poisoning flag triggers (per-user cap violations, outlier ratings, suspicious patterns). Investigate any user whose feedback has been flagged more than 3 times.</w:t>
      </w:r>
    </w:p>
    <w:p>
      <w:pPr>
        <w:pStyle w:val="Heading2"/>
        <w:spacing w:after="160" w:before="280"/>
      </w:pPr>
      <w:r>
        <w:rPr>
          <w:rFonts w:ascii="Arial" w:cs="Arial" w:eastAsia="Arial" w:hAnsi="Arial"/>
          <w:b/>
          <w:bCs/>
          <w:color w:val="2E5984"/>
          <w:sz w:val="26"/>
          <w:szCs w:val="26"/>
        </w:rPr>
        <w:t xml:space="preserve">4.3 Anti-Poisoning Defenses</w:t>
      </w:r>
    </w:p>
    <w:p>
      <w:pPr>
        <w:spacing w:after="120"/>
      </w:pPr>
      <w:r>
        <w:rPr>
          <w:rFonts w:ascii="Arial" w:cs="Arial" w:eastAsia="Arial" w:hAnsi="Arial"/>
          <w:sz w:val="22"/>
          <w:szCs w:val="22"/>
        </w:rPr>
        <w:t xml:space="preserve">These should be implemented from day one, not added later:</w:t>
      </w:r>
    </w:p>
    <w:p>
      <w:pPr>
        <w:pStyle w:val="ListParagraph"/>
        <w:numPr>
          <w:ilvl w:val="0"/>
          <w:numId w:val="5"/>
        </w:numPr>
        <w:spacing w:after="80"/>
      </w:pPr>
      <w:r>
        <w:rPr>
          <w:rFonts w:ascii="Arial" w:cs="Arial" w:eastAsia="Arial" w:hAnsi="Arial"/>
          <w:b/>
          <w:bCs/>
          <w:sz w:val="22"/>
          <w:szCs w:val="22"/>
        </w:rPr>
        <w:t xml:space="preserve">Per-user weight caps: </w:t>
      </w:r>
      <w:r>
        <w:rPr>
          <w:rFonts w:ascii="Arial" w:cs="Arial" w:eastAsia="Arial" w:hAnsi="Arial"/>
          <w:sz w:val="22"/>
          <w:szCs w:val="22"/>
        </w:rPr>
        <w:t xml:space="preserve">No single user’s feedback accounts for more than 1–2% of total training weight.</w:t>
      </w:r>
    </w:p>
    <w:p>
      <w:pPr>
        <w:pStyle w:val="ListParagraph"/>
        <w:numPr>
          <w:ilvl w:val="0"/>
          <w:numId w:val="5"/>
        </w:numPr>
        <w:spacing w:after="80"/>
      </w:pPr>
      <w:r>
        <w:rPr>
          <w:rFonts w:ascii="Arial" w:cs="Arial" w:eastAsia="Arial" w:hAnsi="Arial"/>
          <w:b/>
          <w:bCs/>
          <w:sz w:val="22"/>
          <w:szCs w:val="22"/>
        </w:rPr>
        <w:t xml:space="preserve">Role-based weighting: </w:t>
      </w:r>
      <w:r>
        <w:rPr>
          <w:rFonts w:ascii="Arial" w:cs="Arial" w:eastAsia="Arial" w:hAnsi="Arial"/>
          <w:sz w:val="22"/>
          <w:szCs w:val="22"/>
        </w:rPr>
        <w:t xml:space="preserve">Admin/compliance officer feedback weighted 3x vs general users.</w:t>
      </w:r>
    </w:p>
    <w:p>
      <w:pPr>
        <w:pStyle w:val="ListParagraph"/>
        <w:numPr>
          <w:ilvl w:val="0"/>
          <w:numId w:val="5"/>
        </w:numPr>
        <w:spacing w:after="80"/>
      </w:pPr>
      <w:r>
        <w:rPr>
          <w:rFonts w:ascii="Arial" w:cs="Arial" w:eastAsia="Arial" w:hAnsi="Arial"/>
          <w:b/>
          <w:bCs/>
          <w:sz w:val="22"/>
          <w:szCs w:val="22"/>
        </w:rPr>
        <w:t xml:space="preserve">Temporal decay: </w:t>
      </w:r>
      <w:r>
        <w:rPr>
          <w:rFonts w:ascii="Arial" w:cs="Arial" w:eastAsia="Arial" w:hAnsi="Arial"/>
          <w:sz w:val="22"/>
          <w:szCs w:val="22"/>
        </w:rPr>
        <w:t xml:space="preserve">90-day half-life on feedback weight.</w:t>
      </w:r>
    </w:p>
    <w:p>
      <w:pPr>
        <w:pStyle w:val="ListParagraph"/>
        <w:numPr>
          <w:ilvl w:val="0"/>
          <w:numId w:val="5"/>
        </w:numPr>
        <w:spacing w:after="80"/>
      </w:pPr>
      <w:r>
        <w:rPr>
          <w:rFonts w:ascii="Arial" w:cs="Arial" w:eastAsia="Arial" w:hAnsi="Arial"/>
          <w:b/>
          <w:bCs/>
          <w:sz w:val="22"/>
          <w:szCs w:val="22"/>
        </w:rPr>
        <w:t xml:space="preserve">Outlier detection: </w:t>
      </w:r>
      <w:r>
        <w:rPr>
          <w:rFonts w:ascii="Arial" w:cs="Arial" w:eastAsia="Arial" w:hAnsi="Arial"/>
          <w:sz w:val="22"/>
          <w:szCs w:val="22"/>
        </w:rPr>
        <w:t xml:space="preserve">Flag ratings that deviate &gt;2σ from the consensus for the same confidence bin.</w:t>
      </w:r>
    </w:p>
    <w:p>
      <w:pPr>
        <w:pStyle w:val="ListParagraph"/>
        <w:numPr>
          <w:ilvl w:val="0"/>
          <w:numId w:val="5"/>
        </w:numPr>
        <w:spacing w:after="80"/>
      </w:pPr>
      <w:r>
        <w:rPr>
          <w:rFonts w:ascii="Arial" w:cs="Arial" w:eastAsia="Arial" w:hAnsi="Arial"/>
          <w:b/>
          <w:bCs/>
          <w:sz w:val="22"/>
          <w:szCs w:val="22"/>
        </w:rPr>
        <w:t xml:space="preserve">Minimum consensus: </w:t>
      </w:r>
      <w:r>
        <w:rPr>
          <w:rFonts w:ascii="Arial" w:cs="Arial" w:eastAsia="Arial" w:hAnsi="Arial"/>
          <w:sz w:val="22"/>
          <w:szCs w:val="22"/>
        </w:rPr>
        <w:t xml:space="preserve">Require 5 concordant ratings before incorporating a feedback signal into weight updates.</w:t>
      </w:r>
    </w:p>
    <w:p>
      <w:pPr>
        <w:pStyle w:val="Heading2"/>
        <w:spacing w:after="160" w:before="280"/>
      </w:pPr>
      <w:r>
        <w:rPr>
          <w:rFonts w:ascii="Arial" w:cs="Arial" w:eastAsia="Arial" w:hAnsi="Arial"/>
          <w:b/>
          <w:bCs/>
          <w:color w:val="2E5984"/>
          <w:sz w:val="26"/>
          <w:szCs w:val="26"/>
        </w:rPr>
        <w:t xml:space="preserve">4.4 What Changes in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5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4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graphrag_filter.py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token_confidence signal. Replace faithfulness and hallucination proxies with LLM self-evaluation calls. Update weight vector from 5 to 4 signals.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feedback_collector.py (new)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 lines. Feedback storage, implicit signal collection, anti-poisoning defenses.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calibration_engine.py (new)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 lines. ECE computation, Thompson Sampling, temperature scaling, delta constraints, rollback logic.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audit_logger.py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feedback_records and weight_change_log tables. Extend outlet to capture feedback events.</w:t>
            </w:r>
          </w:p>
        </w:tc>
      </w:tr>
    </w:tbl>
    <w:p>
      <w:pPr>
        <w:spacing w:after="120" w:before="160"/>
      </w:pPr>
    </w:p>
    <w:p>
      <w:pPr>
        <w:spacing w:after="120"/>
      </w:pPr>
      <w:r>
        <w:rPr>
          <w:rFonts w:ascii="Arial" w:cs="Arial" w:eastAsia="Arial" w:hAnsi="Arial"/>
          <w:i/>
          <w:iCs/>
          <w:color w:val="C0392B"/>
          <w:sz w:val="20"/>
          <w:szCs w:val="20"/>
        </w:rPr>
        <w:t xml:space="preserve">[REVISION] Estimated total: ~480–520 lines of new/modified code across 4 files. Original estimate of ~400 lines increases due to Pre-Phase A evaluators, rollback logic, and audit logging.</w:t>
      </w:r>
    </w:p>
    <w:p>
      <w:r>
        <w:br w:type="page"/>
      </w:r>
    </w:p>
    <w:p>
      <w:pPr>
        <w:pStyle w:val="Heading2"/>
        <w:spacing w:after="160" w:before="280"/>
      </w:pPr>
      <w:r>
        <w:rPr>
          <w:rFonts w:ascii="Arial" w:cs="Arial" w:eastAsia="Arial" w:hAnsi="Arial"/>
          <w:b/>
          <w:bCs/>
          <w:color w:val="2E5984"/>
          <w:sz w:val="26"/>
          <w:szCs w:val="26"/>
        </w:rPr>
        <w:t xml:space="preserve">4.5 Compliance and Audit Logging Specification (NEW)</w:t>
      </w:r>
    </w:p>
    <w:p>
      <w:pPr>
        <w:spacing w:after="120"/>
      </w:pPr>
      <w:r>
        <w:rPr>
          <w:rFonts w:ascii="Arial" w:cs="Arial" w:eastAsia="Arial" w:hAnsi="Arial"/>
          <w:i/>
          <w:iCs/>
          <w:color w:val="C0392B"/>
          <w:sz w:val="20"/>
          <w:szCs w:val="20"/>
        </w:rPr>
        <w:t xml:space="preserve">[REVISION] This entire section is new, added per CTO review Section 4.2.</w:t>
      </w:r>
    </w:p>
    <w:p>
      <w:pPr>
        <w:spacing w:after="120"/>
      </w:pPr>
      <w:r>
        <w:rPr>
          <w:rFonts w:ascii="Arial" w:cs="Arial" w:eastAsia="Arial" w:hAnsi="Arial"/>
          <w:sz w:val="22"/>
          <w:szCs w:val="22"/>
        </w:rPr>
        <w:t xml:space="preserve">Given that RegOS operates in a regulated compliance context (Miami-Dade Chapter 24), every weight change must be auditable. The existing audit_logger.py writes to audit.db, which provides the infrastructure. The feedback loop adds two new tables:</w:t>
      </w:r>
    </w:p>
    <w:p>
      <w:pPr>
        <w:pStyle w:val="Heading3"/>
        <w:spacing w:after="120" w:before="200"/>
      </w:pPr>
      <w:r>
        <w:rPr>
          <w:rFonts w:ascii="Arial" w:cs="Arial" w:eastAsia="Arial" w:hAnsi="Arial"/>
          <w:b/>
          <w:bCs/>
          <w:color w:val="3A6FA0"/>
          <w:sz w:val="24"/>
          <w:szCs w:val="24"/>
        </w:rPr>
        <w:t xml:space="preserve">4.5.1 feedback_records Table</w:t>
      </w:r>
    </w:p>
    <w:p>
      <w:pPr>
        <w:spacing w:after="120"/>
      </w:pPr>
      <w:r>
        <w:rPr>
          <w:rFonts w:ascii="Arial" w:cs="Arial" w:eastAsia="Arial" w:hAnsi="Arial"/>
          <w:sz w:val="22"/>
          <w:szCs w:val="22"/>
        </w:rPr>
        <w:t xml:space="preserve">Schema:</w:t>
      </w:r>
    </w:p>
    <w:p>
      <w:pPr>
        <w:spacing w:after="80"/>
        <w:ind w:left="360"/>
      </w:pPr>
      <w:r>
        <w:rPr>
          <w:rFonts w:ascii="Courier New" w:cs="Courier New" w:eastAsia="Courier New" w:hAnsi="Courier New"/>
          <w:sz w:val="18"/>
          <w:szCs w:val="18"/>
        </w:rPr>
        <w:t xml:space="preserve">id TEXT PRIMARY KEY, timestamp TEXT, epoch REAL, user_id TEXT, user_role TEXT, chat_id TEXT, message_id TEXT, rating TEXT (thumbs_up|thumbs_down), confidence_score REAL, confidence_band TEXT, signal_retrieval REAL, signal_faithfulness REAL, signal_hallucination REAL, signal_context REAL, weight_vector_id TEXT, anti_poisoning_flags TEXT</w:t>
      </w:r>
    </w:p>
    <w:p>
      <w:pPr>
        <w:pStyle w:val="Heading3"/>
        <w:spacing w:after="120" w:before="200"/>
      </w:pPr>
      <w:r>
        <w:rPr>
          <w:rFonts w:ascii="Arial" w:cs="Arial" w:eastAsia="Arial" w:hAnsi="Arial"/>
          <w:b/>
          <w:bCs/>
          <w:color w:val="3A6FA0"/>
          <w:sz w:val="24"/>
          <w:szCs w:val="24"/>
        </w:rPr>
        <w:t xml:space="preserve">4.5.2 weight_change_log Table</w:t>
      </w:r>
    </w:p>
    <w:p>
      <w:pPr>
        <w:spacing w:after="120"/>
      </w:pPr>
      <w:r>
        <w:rPr>
          <w:rFonts w:ascii="Arial" w:cs="Arial" w:eastAsia="Arial" w:hAnsi="Arial"/>
          <w:sz w:val="22"/>
          <w:szCs w:val="22"/>
        </w:rPr>
        <w:t xml:space="preserve">Every weight update logged with full before/after state:</w:t>
      </w:r>
    </w:p>
    <w:p>
      <w:pPr>
        <w:spacing w:after="80"/>
        <w:ind w:left="360"/>
      </w:pPr>
      <w:r>
        <w:rPr>
          <w:rFonts w:ascii="Courier New" w:cs="Courier New" w:eastAsia="Courier New" w:hAnsi="Courier New"/>
          <w:sz w:val="18"/>
          <w:szCs w:val="18"/>
        </w:rPr>
        <w:t xml:space="preserve">id TEXT PRIMARY KEY, timestamp TEXT, epoch REAL, trigger TEXT (weekly_batch|manual|rollback), weights_before TEXT (JSON), weights_after TEXT (JSON), ece_before REAL, ece_after REAL, feedback_batch_size INTEGER, feedback_batch_ids TEXT (JSON array), delta_max REAL, rollback_triggered BOOLEAN, notes TEXT</w:t>
      </w:r>
    </w:p>
    <w:p>
      <w:pPr>
        <w:pStyle w:val="Heading3"/>
        <w:spacing w:after="120" w:before="200"/>
      </w:pPr>
      <w:r>
        <w:rPr>
          <w:rFonts w:ascii="Arial" w:cs="Arial" w:eastAsia="Arial" w:hAnsi="Arial"/>
          <w:b/>
          <w:bCs/>
          <w:color w:val="3A6FA0"/>
          <w:sz w:val="24"/>
          <w:szCs w:val="24"/>
        </w:rPr>
        <w:t xml:space="preserve">4.5.3 Audit Requirements</w:t>
      </w:r>
    </w:p>
    <w:p>
      <w:pPr>
        <w:pStyle w:val="ListParagraph"/>
        <w:numPr>
          <w:ilvl w:val="0"/>
          <w:numId w:val="2"/>
        </w:numPr>
        <w:spacing w:after="80"/>
      </w:pPr>
      <w:r>
        <w:rPr>
          <w:rFonts w:ascii="Arial" w:cs="Arial" w:eastAsia="Arial" w:hAnsi="Arial"/>
          <w:sz w:val="22"/>
          <w:szCs w:val="22"/>
        </w:rPr>
        <w:t xml:space="preserve">Every weight update must be logged to weight_change_log BEFORE the new weights take effect in production.</w:t>
      </w:r>
    </w:p>
    <w:p>
      <w:pPr>
        <w:pStyle w:val="ListParagraph"/>
        <w:numPr>
          <w:ilvl w:val="0"/>
          <w:numId w:val="2"/>
        </w:numPr>
        <w:spacing w:after="80"/>
      </w:pPr>
      <w:r>
        <w:rPr>
          <w:rFonts w:ascii="Arial" w:cs="Arial" w:eastAsia="Arial" w:hAnsi="Arial"/>
          <w:sz w:val="22"/>
          <w:szCs w:val="22"/>
        </w:rPr>
        <w:t xml:space="preserve">Retention: audit records are retained indefinitely (same policy as existing audit_records table).</w:t>
      </w:r>
    </w:p>
    <w:p>
      <w:pPr>
        <w:pStyle w:val="ListParagraph"/>
        <w:numPr>
          <w:ilvl w:val="0"/>
          <w:numId w:val="2"/>
        </w:numPr>
        <w:spacing w:after="80"/>
      </w:pPr>
      <w:r>
        <w:rPr>
          <w:rFonts w:ascii="Arial" w:cs="Arial" w:eastAsia="Arial" w:hAnsi="Arial"/>
          <w:sz w:val="22"/>
          <w:szCs w:val="22"/>
        </w:rPr>
        <w:t xml:space="preserve">Records are signed with SHA-256 hashes using the same tamper-evidence pattern as audit_logger.py.</w:t>
      </w:r>
    </w:p>
    <w:p>
      <w:pPr>
        <w:pStyle w:val="ListParagraph"/>
        <w:numPr>
          <w:ilvl w:val="0"/>
          <w:numId w:val="2"/>
        </w:numPr>
        <w:spacing w:after="80"/>
      </w:pPr>
      <w:r>
        <w:rPr>
          <w:rFonts w:ascii="Arial" w:cs="Arial" w:eastAsia="Arial" w:hAnsi="Arial"/>
          <w:sz w:val="22"/>
          <w:szCs w:val="22"/>
        </w:rPr>
        <w:t xml:space="preserve">If a regulator or client asks “why did the system’s confidence behaviour change on date X?”, the weight_change_log provides a complete answer: which feedback triggered it, what the weights were before and after, and what ECE scores motivated the change.</w:t>
      </w:r>
    </w:p>
    <w:p>
      <w:pPr>
        <w:pStyle w:val="Heading2"/>
        <w:spacing w:after="160" w:before="280"/>
      </w:pPr>
      <w:r>
        <w:rPr>
          <w:rFonts w:ascii="Arial" w:cs="Arial" w:eastAsia="Arial" w:hAnsi="Arial"/>
          <w:b/>
          <w:bCs/>
          <w:color w:val="2E5984"/>
          <w:sz w:val="26"/>
          <w:szCs w:val="26"/>
        </w:rPr>
        <w:t xml:space="preserve">4.6 Testing Strategy (NEW)</w:t>
      </w:r>
    </w:p>
    <w:p>
      <w:pPr>
        <w:spacing w:after="120"/>
      </w:pPr>
      <w:r>
        <w:rPr>
          <w:rFonts w:ascii="Arial" w:cs="Arial" w:eastAsia="Arial" w:hAnsi="Arial"/>
          <w:i/>
          <w:iCs/>
          <w:color w:val="C0392B"/>
          <w:sz w:val="20"/>
          <w:szCs w:val="20"/>
        </w:rPr>
        <w:t xml:space="preserve">[REVISION] This entire section is new, added per CTO review Section 4.3. For a system that self-modifies its scoring based on user input, testing is critical.</w:t>
      </w:r>
    </w:p>
    <w:p>
      <w:pPr>
        <w:pStyle w:val="Heading3"/>
        <w:spacing w:after="120" w:before="200"/>
      </w:pPr>
      <w:r>
        <w:rPr>
          <w:rFonts w:ascii="Arial" w:cs="Arial" w:eastAsia="Arial" w:hAnsi="Arial"/>
          <w:b/>
          <w:bCs/>
          <w:color w:val="3A6FA0"/>
          <w:sz w:val="24"/>
          <w:szCs w:val="24"/>
        </w:rPr>
        <w:t xml:space="preserve">4.6.1 Unit Tests</w:t>
      </w:r>
    </w:p>
    <w:p>
      <w:pPr>
        <w:pStyle w:val="ListParagraph"/>
        <w:numPr>
          <w:ilvl w:val="0"/>
          <w:numId w:val="2"/>
        </w:numPr>
        <w:spacing w:after="80"/>
      </w:pPr>
      <w:r>
        <w:rPr>
          <w:rFonts w:ascii="Arial" w:cs="Arial" w:eastAsia="Arial" w:hAnsi="Arial"/>
          <w:sz w:val="22"/>
          <w:szCs w:val="22"/>
        </w:rPr>
        <w:t xml:space="preserve">ECE computation with known distributions: construct synthetic bins with known positive rates, verify ECE computes correctly to 4 decimal places.</w:t>
      </w:r>
    </w:p>
    <w:p>
      <w:pPr>
        <w:pStyle w:val="ListParagraph"/>
        <w:numPr>
          <w:ilvl w:val="0"/>
          <w:numId w:val="2"/>
        </w:numPr>
        <w:spacing w:after="80"/>
      </w:pPr>
      <w:r>
        <w:rPr>
          <w:rFonts w:ascii="Arial" w:cs="Arial" w:eastAsia="Arial" w:hAnsi="Arial"/>
          <w:sz w:val="22"/>
          <w:szCs w:val="22"/>
        </w:rPr>
        <w:t xml:space="preserve">Weight vector normalisation: verify all generated candidates sum to 1.0 within floating-point tolerance.</w:t>
      </w:r>
    </w:p>
    <w:p>
      <w:pPr>
        <w:pStyle w:val="ListParagraph"/>
        <w:numPr>
          <w:ilvl w:val="0"/>
          <w:numId w:val="2"/>
        </w:numPr>
        <w:spacing w:after="80"/>
      </w:pPr>
      <w:r>
        <w:rPr>
          <w:rFonts w:ascii="Arial" w:cs="Arial" w:eastAsia="Arial" w:hAnsi="Arial"/>
          <w:sz w:val="22"/>
          <w:szCs w:val="22"/>
        </w:rPr>
        <w:t xml:space="preserve">Delta constraint clamping: verify that proposed weight changes exceeding ±0.05 are clamped and the vector is renormalised.</w:t>
      </w:r>
    </w:p>
    <w:p>
      <w:pPr>
        <w:pStyle w:val="ListParagraph"/>
        <w:numPr>
          <w:ilvl w:val="0"/>
          <w:numId w:val="2"/>
        </w:numPr>
        <w:spacing w:after="80"/>
      </w:pPr>
      <w:r>
        <w:rPr>
          <w:rFonts w:ascii="Arial" w:cs="Arial" w:eastAsia="Arial" w:hAnsi="Arial"/>
          <w:sz w:val="22"/>
          <w:szCs w:val="22"/>
        </w:rPr>
        <w:t xml:space="preserve">Beta distribution updates: verify that thumbs_up increments α and thumbs_down increments β correctly.</w:t>
      </w:r>
    </w:p>
    <w:p>
      <w:pPr>
        <w:pStyle w:val="Heading3"/>
        <w:spacing w:after="120" w:before="200"/>
      </w:pPr>
      <w:r>
        <w:rPr>
          <w:rFonts w:ascii="Arial" w:cs="Arial" w:eastAsia="Arial" w:hAnsi="Arial"/>
          <w:b/>
          <w:bCs/>
          <w:color w:val="3A6FA0"/>
          <w:sz w:val="24"/>
          <w:szCs w:val="24"/>
        </w:rPr>
        <w:t xml:space="preserve">4.6.2 Integration Tests</w:t>
      </w:r>
    </w:p>
    <w:p>
      <w:pPr>
        <w:pStyle w:val="ListParagraph"/>
        <w:numPr>
          <w:ilvl w:val="0"/>
          <w:numId w:val="2"/>
        </w:numPr>
        <w:spacing w:after="80"/>
      </w:pPr>
      <w:r>
        <w:rPr>
          <w:rFonts w:ascii="Arial" w:cs="Arial" w:eastAsia="Arial" w:hAnsi="Arial"/>
          <w:sz w:val="22"/>
          <w:szCs w:val="22"/>
        </w:rPr>
        <w:t xml:space="preserve">Synthetic feedback sequences: feed a known sequence of (confidence_score, thumbs_up/down) pairs and verify that Thompson Sampling produces expected weight shifts.</w:t>
      </w:r>
    </w:p>
    <w:p>
      <w:pPr>
        <w:pStyle w:val="ListParagraph"/>
        <w:numPr>
          <w:ilvl w:val="0"/>
          <w:numId w:val="2"/>
        </w:numPr>
        <w:spacing w:after="80"/>
      </w:pPr>
      <w:r>
        <w:rPr>
          <w:rFonts w:ascii="Arial" w:cs="Arial" w:eastAsia="Arial" w:hAnsi="Arial"/>
          <w:sz w:val="22"/>
          <w:szCs w:val="22"/>
        </w:rPr>
        <w:t xml:space="preserve">Rollback trigger: inject a feedback batch that would cause ECE to degrade &gt;5pp. Verify automatic rollback fires, previous weights are restored, and the event is logged.</w:t>
      </w:r>
    </w:p>
    <w:p>
      <w:pPr>
        <w:pStyle w:val="ListParagraph"/>
        <w:numPr>
          <w:ilvl w:val="0"/>
          <w:numId w:val="2"/>
        </w:numPr>
        <w:spacing w:after="80"/>
      </w:pPr>
      <w:r>
        <w:rPr>
          <w:rFonts w:ascii="Arial" w:cs="Arial" w:eastAsia="Arial" w:hAnsi="Arial"/>
          <w:sz w:val="22"/>
          <w:szCs w:val="22"/>
        </w:rPr>
        <w:t xml:space="preserve">Audit trail completeness: after a weight update cycle, verify that weight_change_log contains all required fields (before/after weights, ECE scores, batch IDs).</w:t>
      </w:r>
    </w:p>
    <w:p>
      <w:pPr>
        <w:pStyle w:val="Heading3"/>
        <w:spacing w:after="120" w:before="200"/>
      </w:pPr>
      <w:r>
        <w:rPr>
          <w:rFonts w:ascii="Arial" w:cs="Arial" w:eastAsia="Arial" w:hAnsi="Arial"/>
          <w:b/>
          <w:bCs/>
          <w:color w:val="3A6FA0"/>
          <w:sz w:val="24"/>
          <w:szCs w:val="24"/>
        </w:rPr>
        <w:t xml:space="preserve">4.6.3 Simulation Harness</w:t>
      </w:r>
    </w:p>
    <w:p>
      <w:pPr>
        <w:pStyle w:val="ListParagraph"/>
        <w:numPr>
          <w:ilvl w:val="0"/>
          <w:numId w:val="2"/>
        </w:numPr>
        <w:spacing w:after="80"/>
      </w:pPr>
      <w:r>
        <w:rPr>
          <w:rFonts w:ascii="Arial" w:cs="Arial" w:eastAsia="Arial" w:hAnsi="Arial"/>
          <w:sz w:val="22"/>
          <w:szCs w:val="22"/>
        </w:rPr>
        <w:t xml:space="preserve">Replay historical queries with synthetic feedback to verify convergence behaviour before deploying to production.</w:t>
      </w:r>
    </w:p>
    <w:p>
      <w:pPr>
        <w:pStyle w:val="ListParagraph"/>
        <w:numPr>
          <w:ilvl w:val="0"/>
          <w:numId w:val="2"/>
        </w:numPr>
        <w:spacing w:after="80"/>
      </w:pPr>
      <w:r>
        <w:rPr>
          <w:rFonts w:ascii="Arial" w:cs="Arial" w:eastAsia="Arial" w:hAnsi="Arial"/>
          <w:sz w:val="22"/>
          <w:szCs w:val="22"/>
        </w:rPr>
        <w:t xml:space="preserve">Run 1000-iteration Monte Carlo simulations with varying feedback rates (0.1%, 0.5%, 1%) and verify that Thompson Sampling converges within expected bounds.</w:t>
      </w:r>
    </w:p>
    <w:p>
      <w:pPr>
        <w:pStyle w:val="ListParagraph"/>
        <w:numPr>
          <w:ilvl w:val="0"/>
          <w:numId w:val="2"/>
        </w:numPr>
        <w:spacing w:after="80"/>
      </w:pPr>
      <w:r>
        <w:rPr>
          <w:rFonts w:ascii="Arial" w:cs="Arial" w:eastAsia="Arial" w:hAnsi="Arial"/>
          <w:sz w:val="22"/>
          <w:szCs w:val="22"/>
        </w:rPr>
        <w:t xml:space="preserve">Test with adversarial synthetic feedback (10% poisoned ratings) and verify anti-poisoning defenses limit calibration drift to &lt;2pp ECE.</w:t>
      </w:r>
    </w:p>
    <w:p>
      <w:pPr>
        <w:pStyle w:val="Heading3"/>
        <w:spacing w:after="120" w:before="200"/>
      </w:pPr>
      <w:r>
        <w:rPr>
          <w:rFonts w:ascii="Arial" w:cs="Arial" w:eastAsia="Arial" w:hAnsi="Arial"/>
          <w:b/>
          <w:bCs/>
          <w:color w:val="3A6FA0"/>
          <w:sz w:val="24"/>
          <w:szCs w:val="24"/>
        </w:rPr>
        <w:t xml:space="preserve">4.6.4 Regression Tests</w:t>
      </w:r>
    </w:p>
    <w:p>
      <w:pPr>
        <w:pStyle w:val="ListParagraph"/>
        <w:numPr>
          <w:ilvl w:val="0"/>
          <w:numId w:val="2"/>
        </w:numPr>
        <w:spacing w:after="80"/>
      </w:pPr>
      <w:r>
        <w:rPr>
          <w:rFonts w:ascii="Arial" w:cs="Arial" w:eastAsia="Arial" w:hAnsi="Arial"/>
          <w:sz w:val="22"/>
          <w:szCs w:val="22"/>
        </w:rPr>
        <w:t xml:space="preserve">Per-user cap enforcement: create synthetic user with 100 ratings when total pool is 200. Verify their effective weight is capped at 2%.</w:t>
      </w:r>
    </w:p>
    <w:p>
      <w:pPr>
        <w:pStyle w:val="ListParagraph"/>
        <w:numPr>
          <w:ilvl w:val="0"/>
          <w:numId w:val="2"/>
        </w:numPr>
        <w:spacing w:after="80"/>
      </w:pPr>
      <w:r>
        <w:rPr>
          <w:rFonts w:ascii="Arial" w:cs="Arial" w:eastAsia="Arial" w:hAnsi="Arial"/>
          <w:sz w:val="22"/>
          <w:szCs w:val="22"/>
        </w:rPr>
        <w:t xml:space="preserve">Temporal decay: inject ratings at 0, 45, 90, and 180 days. Verify that 180-day ratings contribute 25% of 0-day ratings’ weight (90-day half-life).</w:t>
      </w:r>
    </w:p>
    <w:p>
      <w:pPr>
        <w:pStyle w:val="ListParagraph"/>
        <w:numPr>
          <w:ilvl w:val="0"/>
          <w:numId w:val="2"/>
        </w:numPr>
        <w:spacing w:after="80"/>
      </w:pPr>
      <w:r>
        <w:rPr>
          <w:rFonts w:ascii="Arial" w:cs="Arial" w:eastAsia="Arial" w:hAnsi="Arial"/>
          <w:sz w:val="22"/>
          <w:szCs w:val="22"/>
        </w:rPr>
        <w:t xml:space="preserve">Outlier detection: inject 5 ratings that are &gt;2σ from consensus. Verify all 5 are flagged.</w:t>
      </w:r>
    </w:p>
    <w:p>
      <w:pPr>
        <w:pStyle w:val="ListParagraph"/>
        <w:numPr>
          <w:ilvl w:val="0"/>
          <w:numId w:val="2"/>
        </w:numPr>
        <w:spacing w:after="80"/>
      </w:pPr>
      <w:r>
        <w:rPr>
          <w:rFonts w:ascii="Arial" w:cs="Arial" w:eastAsia="Arial" w:hAnsi="Arial"/>
          <w:sz w:val="22"/>
          <w:szCs w:val="22"/>
        </w:rPr>
        <w:t xml:space="preserve">Minimum consensus: inject 4 concordant ratings for a confidence bin. Verify they are NOT incorporated into weight updates. Add a 5th concordant rating and verify they ARE incorporated.</w:t>
      </w:r>
    </w:p>
    <w:p>
      <w:r>
        <w:br w:type="page"/>
      </w:r>
    </w:p>
    <w:p>
      <w:pPr>
        <w:pStyle w:val="Heading1"/>
        <w:spacing w:after="200" w:before="360"/>
      </w:pPr>
      <w:r>
        <w:rPr>
          <w:rFonts w:ascii="Arial" w:cs="Arial" w:eastAsia="Arial" w:hAnsi="Arial"/>
          <w:b/>
          <w:bCs/>
          <w:color w:val="1B3A5C"/>
          <w:sz w:val="32"/>
          <w:szCs w:val="32"/>
        </w:rPr>
        <w:t xml:space="preserve">5. References</w:t>
      </w:r>
    </w:p>
    <w:p>
      <w:pPr>
        <w:pStyle w:val="Heading2"/>
        <w:spacing w:after="160" w:before="280"/>
      </w:pPr>
      <w:r>
        <w:rPr>
          <w:rFonts w:ascii="Arial" w:cs="Arial" w:eastAsia="Arial" w:hAnsi="Arial"/>
          <w:b/>
          <w:bCs/>
          <w:color w:val="2E5984"/>
          <w:sz w:val="26"/>
          <w:szCs w:val="26"/>
        </w:rPr>
        <w:t xml:space="preserve">5.1 Academic Papers</w:t>
      </w:r>
    </w:p>
    <w:p>
      <w:pPr>
        <w:pStyle w:val="ListParagraph"/>
        <w:numPr>
          <w:ilvl w:val="0"/>
          <w:numId w:val="2"/>
        </w:numPr>
        <w:spacing w:after="60"/>
      </w:pPr>
      <w:r>
        <w:rPr>
          <w:rFonts w:ascii="Arial" w:cs="Arial" w:eastAsia="Arial" w:hAnsi="Arial"/>
          <w:sz w:val="20"/>
          <w:szCs w:val="20"/>
        </w:rPr>
        <w:t xml:space="preserve">Agrawal &amp; Goyal, “Analysis of Thompson Sampling for the Multi-Armed Bandit Problem”, COLT 2012</w:t>
      </w:r>
    </w:p>
    <w:p>
      <w:pPr>
        <w:pStyle w:val="ListParagraph"/>
        <w:numPr>
          <w:ilvl w:val="0"/>
          <w:numId w:val="2"/>
        </w:numPr>
        <w:spacing w:after="60"/>
      </w:pPr>
      <w:r>
        <w:rPr>
          <w:rFonts w:ascii="Arial" w:cs="Arial" w:eastAsia="Arial" w:hAnsi="Arial"/>
          <w:sz w:val="20"/>
          <w:szCs w:val="20"/>
        </w:rPr>
        <w:t xml:space="preserve">Russo et al., “A Tutorial on Thompson Sampling”, Stanford</w:t>
      </w:r>
    </w:p>
    <w:p>
      <w:pPr>
        <w:pStyle w:val="ListParagraph"/>
        <w:numPr>
          <w:ilvl w:val="0"/>
          <w:numId w:val="2"/>
        </w:numPr>
        <w:spacing w:after="60"/>
      </w:pPr>
      <w:r>
        <w:rPr>
          <w:rFonts w:ascii="Arial" w:cs="Arial" w:eastAsia="Arial" w:hAnsi="Arial"/>
          <w:sz w:val="20"/>
          <w:szCs w:val="20"/>
        </w:rPr>
        <w:t xml:space="preserve">Kwon et al., “Thompson Sampling for Dynamic Multi-Armed Bandits”</w:t>
      </w:r>
    </w:p>
    <w:p>
      <w:pPr>
        <w:pStyle w:val="ListParagraph"/>
        <w:numPr>
          <w:ilvl w:val="0"/>
          <w:numId w:val="2"/>
        </w:numPr>
        <w:spacing w:after="60"/>
      </w:pPr>
      <w:r>
        <w:rPr>
          <w:rFonts w:ascii="Arial" w:cs="Arial" w:eastAsia="Arial" w:hAnsi="Arial"/>
          <w:sz w:val="20"/>
          <w:szCs w:val="20"/>
        </w:rPr>
        <w:t xml:space="preserve">“A Survey of Confidence Estimation and Calibration in Large Language Models”, NAACL 2024</w:t>
      </w:r>
    </w:p>
    <w:p>
      <w:pPr>
        <w:pStyle w:val="ListParagraph"/>
        <w:numPr>
          <w:ilvl w:val="0"/>
          <w:numId w:val="2"/>
        </w:numPr>
        <w:spacing w:after="60"/>
      </w:pPr>
      <w:r>
        <w:rPr>
          <w:rFonts w:ascii="Arial" w:cs="Arial" w:eastAsia="Arial" w:hAnsi="Arial"/>
          <w:sz w:val="20"/>
          <w:szCs w:val="20"/>
        </w:rPr>
        <w:t xml:space="preserve">“Rewarding Doubt: A Reinforcement Learning Approach to Calibrated Confidence”, arXiv 2503.02623 (March 2025)</w:t>
      </w:r>
    </w:p>
    <w:p>
      <w:pPr>
        <w:pStyle w:val="ListParagraph"/>
        <w:numPr>
          <w:ilvl w:val="0"/>
          <w:numId w:val="2"/>
        </w:numPr>
        <w:spacing w:after="60"/>
      </w:pPr>
      <w:r>
        <w:rPr>
          <w:rFonts w:ascii="Arial" w:cs="Arial" w:eastAsia="Arial" w:hAnsi="Arial"/>
          <w:sz w:val="20"/>
          <w:szCs w:val="20"/>
        </w:rPr>
        <w:t xml:space="preserve">“Just Ask for Calibration”, EMNLP 2023, arXiv 2305.14975</w:t>
      </w:r>
    </w:p>
    <w:p>
      <w:pPr>
        <w:pStyle w:val="ListParagraph"/>
        <w:numPr>
          <w:ilvl w:val="0"/>
          <w:numId w:val="2"/>
        </w:numPr>
        <w:spacing w:after="60"/>
      </w:pPr>
      <w:r>
        <w:rPr>
          <w:rFonts w:ascii="Arial" w:cs="Arial" w:eastAsia="Arial" w:hAnsi="Arial"/>
          <w:sz w:val="20"/>
          <w:szCs w:val="20"/>
        </w:rPr>
        <w:t xml:space="preserve">“RLUF: Reinforcement Learning from User Feedback”, arXiv 2505.14946</w:t>
      </w:r>
    </w:p>
    <w:p>
      <w:pPr>
        <w:pStyle w:val="ListParagraph"/>
        <w:numPr>
          <w:ilvl w:val="0"/>
          <w:numId w:val="2"/>
        </w:numPr>
        <w:spacing w:after="60"/>
      </w:pPr>
      <w:r>
        <w:rPr>
          <w:rFonts w:ascii="Arial" w:cs="Arial" w:eastAsia="Arial" w:hAnsi="Arial"/>
          <w:sz w:val="20"/>
          <w:szCs w:val="20"/>
        </w:rPr>
        <w:t xml:space="preserve">“Towards Poisoning Robustness Certification for NLG”, arXiv 2602.09757</w:t>
      </w:r>
    </w:p>
    <w:p>
      <w:pPr>
        <w:pStyle w:val="ListParagraph"/>
        <w:numPr>
          <w:ilvl w:val="0"/>
          <w:numId w:val="2"/>
        </w:numPr>
        <w:spacing w:after="60"/>
      </w:pPr>
      <w:r>
        <w:rPr>
          <w:rFonts w:ascii="Arial" w:cs="Arial" w:eastAsia="Arial" w:hAnsi="Arial"/>
          <w:sz w:val="20"/>
          <w:szCs w:val="20"/>
        </w:rPr>
        <w:t xml:space="preserve">“Universal Jailbreak Backdoors from Poisoned Human Feedback”, arXiv 2311.14455</w:t>
      </w:r>
    </w:p>
    <w:p>
      <w:pPr>
        <w:pStyle w:val="ListParagraph"/>
        <w:numPr>
          <w:ilvl w:val="0"/>
          <w:numId w:val="2"/>
        </w:numPr>
        <w:spacing w:after="60"/>
      </w:pPr>
      <w:r>
        <w:rPr>
          <w:rFonts w:ascii="Arial" w:cs="Arial" w:eastAsia="Arial" w:hAnsi="Arial"/>
          <w:sz w:val="20"/>
          <w:szCs w:val="20"/>
        </w:rPr>
        <w:t xml:space="preserve">“Hybrid Reputation Aggregation”, arXiv 2509.18044</w:t>
      </w:r>
    </w:p>
    <w:p>
      <w:pPr>
        <w:pStyle w:val="ListParagraph"/>
        <w:numPr>
          <w:ilvl w:val="0"/>
          <w:numId w:val="2"/>
        </w:numPr>
        <w:spacing w:after="60"/>
      </w:pPr>
      <w:r>
        <w:rPr>
          <w:rFonts w:ascii="Arial" w:cs="Arial" w:eastAsia="Arial" w:hAnsi="Arial"/>
          <w:sz w:val="20"/>
          <w:szCs w:val="20"/>
        </w:rPr>
        <w:t xml:space="preserve">“Certified Robustness to Data Poisoning”, arXiv 2406.05670</w:t>
      </w:r>
    </w:p>
    <w:p>
      <w:pPr>
        <w:pStyle w:val="Heading2"/>
        <w:spacing w:after="160" w:before="280"/>
      </w:pPr>
      <w:r>
        <w:rPr>
          <w:rFonts w:ascii="Arial" w:cs="Arial" w:eastAsia="Arial" w:hAnsi="Arial"/>
          <w:b/>
          <w:bCs/>
          <w:color w:val="2E5984"/>
          <w:sz w:val="26"/>
          <w:szCs w:val="26"/>
        </w:rPr>
        <w:t xml:space="preserve">5.2 Production Case Studies &amp; Practitioner Sources</w:t>
      </w:r>
    </w:p>
    <w:p>
      <w:pPr>
        <w:pStyle w:val="ListParagraph"/>
        <w:numPr>
          <w:ilvl w:val="0"/>
          <w:numId w:val="2"/>
        </w:numPr>
        <w:spacing w:after="60"/>
      </w:pPr>
      <w:r>
        <w:rPr>
          <w:rFonts w:ascii="Arial" w:cs="Arial" w:eastAsia="Arial" w:hAnsi="Arial"/>
          <w:sz w:val="20"/>
          <w:szCs w:val="20"/>
        </w:rPr>
        <w:t xml:space="preserve">Perplexity architecture (ByteByteGo)</w:t>
      </w:r>
    </w:p>
    <w:p>
      <w:pPr>
        <w:pStyle w:val="ListParagraph"/>
        <w:numPr>
          <w:ilvl w:val="0"/>
          <w:numId w:val="2"/>
        </w:numPr>
        <w:spacing w:after="60"/>
      </w:pPr>
      <w:r>
        <w:rPr>
          <w:rFonts w:ascii="Arial" w:cs="Arial" w:eastAsia="Arial" w:hAnsi="Arial"/>
          <w:sz w:val="20"/>
          <w:szCs w:val="20"/>
        </w:rPr>
        <w:t xml:space="preserve">“Systematically Improving RAG” (GitHub 567-labs)</w:t>
      </w:r>
    </w:p>
    <w:p>
      <w:pPr>
        <w:pStyle w:val="ListParagraph"/>
        <w:numPr>
          <w:ilvl w:val="0"/>
          <w:numId w:val="2"/>
        </w:numPr>
        <w:spacing w:after="60"/>
      </w:pPr>
      <w:r>
        <w:rPr>
          <w:rFonts w:ascii="Arial" w:cs="Arial" w:eastAsia="Arial" w:hAnsi="Arial"/>
          <w:sz w:val="20"/>
          <w:szCs w:val="20"/>
        </w:rPr>
        <w:t xml:space="preserve">Spotify confidence scoring (Spotify Engineering Blog, Dec 2024)</w:t>
      </w:r>
    </w:p>
    <w:p>
      <w:pPr>
        <w:pStyle w:val="ListParagraph"/>
        <w:numPr>
          <w:ilvl w:val="0"/>
          <w:numId w:val="2"/>
        </w:numPr>
        <w:spacing w:after="60"/>
      </w:pPr>
      <w:r>
        <w:rPr>
          <w:rFonts w:ascii="Arial" w:cs="Arial" w:eastAsia="Arial" w:hAnsi="Arial"/>
          <w:sz w:val="20"/>
          <w:szCs w:val="20"/>
        </w:rPr>
        <w:t xml:space="preserve">“Addressing Data Sparsity and Cold Start” (Taylor &amp; Francis, 2024)</w:t>
      </w:r>
    </w:p>
    <w:p>
      <w:pPr>
        <w:pStyle w:val="ListParagraph"/>
        <w:numPr>
          <w:ilvl w:val="0"/>
          <w:numId w:val="2"/>
        </w:numPr>
        <w:spacing w:after="60"/>
      </w:pPr>
      <w:r>
        <w:rPr>
          <w:rFonts w:ascii="Arial" w:cs="Arial" w:eastAsia="Arial" w:hAnsi="Arial"/>
          <w:sz w:val="20"/>
          <w:szCs w:val="20"/>
        </w:rPr>
        <w:t xml:space="preserve">“The AI Learns to Lie to Please You” (MDPI, 2024)</w:t>
      </w:r>
    </w:p>
    <w:p>
      <w:pPr>
        <w:pStyle w:val="ListParagraph"/>
        <w:numPr>
          <w:ilvl w:val="0"/>
          <w:numId w:val="2"/>
        </w:numPr>
        <w:spacing w:after="60"/>
      </w:pPr>
      <w:r>
        <w:rPr>
          <w:rFonts w:ascii="Arial" w:cs="Arial" w:eastAsia="Arial" w:hAnsi="Arial"/>
          <w:sz w:val="20"/>
          <w:szCs w:val="20"/>
        </w:rPr>
        <w:t xml:space="preserve">“AI Legal Compliance in 2026” (Spellbook Legal)</w:t>
      </w:r>
    </w:p>
    <w:p>
      <w:pPr>
        <w:pStyle w:val="ListParagraph"/>
        <w:numPr>
          <w:ilvl w:val="0"/>
          <w:numId w:val="2"/>
        </w:numPr>
        <w:spacing w:after="60"/>
      </w:pPr>
      <w:r>
        <w:rPr>
          <w:rFonts w:ascii="Arial" w:cs="Arial" w:eastAsia="Arial" w:hAnsi="Arial"/>
          <w:sz w:val="20"/>
          <w:szCs w:val="20"/>
        </w:rPr>
        <w:t xml:space="preserve">“AI in the Compliance Function” (White &amp; Case, 2025 Survey)</w:t>
      </w:r>
    </w:p>
    <w:p>
      <w:pPr>
        <w:pStyle w:val="ListParagraph"/>
        <w:numPr>
          <w:ilvl w:val="0"/>
          <w:numId w:val="2"/>
        </w:numPr>
        <w:spacing w:after="60"/>
      </w:pPr>
      <w:r>
        <w:rPr>
          <w:rFonts w:ascii="Arial" w:cs="Arial" w:eastAsia="Arial" w:hAnsi="Arial"/>
          <w:sz w:val="20"/>
          <w:szCs w:val="20"/>
        </w:rPr>
        <w:t xml:space="preserve">“Human-in-the-Loop for High-Stakes AI” (OneReach AI)</w:t>
      </w:r>
    </w:p>
    <w:p>
      <w:pPr>
        <w:pStyle w:val="Heading2"/>
        <w:spacing w:after="160" w:before="280"/>
      </w:pPr>
      <w:r>
        <w:rPr>
          <w:rFonts w:ascii="Arial" w:cs="Arial" w:eastAsia="Arial" w:hAnsi="Arial"/>
          <w:b/>
          <w:bCs/>
          <w:color w:val="2E5984"/>
          <w:sz w:val="26"/>
          <w:szCs w:val="26"/>
        </w:rPr>
        <w:t xml:space="preserve">5.3 Codebase References</w:t>
      </w:r>
    </w:p>
    <w:p>
      <w:pPr>
        <w:spacing w:after="120"/>
      </w:pPr>
      <w:r>
        <w:rPr>
          <w:rFonts w:ascii="Arial" w:cs="Arial" w:eastAsia="Arial" w:hAnsi="Arial"/>
          <w:i/>
          <w:iCs/>
          <w:color w:val="C0392B"/>
          <w:sz w:val="20"/>
          <w:szCs w:val="20"/>
        </w:rPr>
        <w:t xml:space="preserve">[REVISION] New section — specific code references for implementers.</w:t>
      </w:r>
    </w:p>
    <w:p>
      <w:pPr>
        <w:pStyle w:val="ListParagraph"/>
        <w:numPr>
          <w:ilvl w:val="0"/>
          <w:numId w:val="2"/>
        </w:numPr>
        <w:spacing w:after="60"/>
      </w:pPr>
      <w:r>
        <w:rPr>
          <w:rFonts w:ascii="Arial" w:cs="Arial" w:eastAsia="Arial" w:hAnsi="Arial"/>
          <w:sz w:val="20"/>
          <w:szCs w:val="20"/>
        </w:rPr>
        <w:t xml:space="preserve">graphrag_filter.py, _calculate_confidence() method (lines 373–502) — current 5-signal composite calculation</w:t>
      </w:r>
    </w:p>
    <w:p>
      <w:pPr>
        <w:pStyle w:val="ListParagraph"/>
        <w:numPr>
          <w:ilvl w:val="0"/>
          <w:numId w:val="2"/>
        </w:numPr>
        <w:spacing w:after="60"/>
      </w:pPr>
      <w:r>
        <w:rPr>
          <w:rFonts w:ascii="Arial" w:cs="Arial" w:eastAsia="Arial" w:hAnsi="Arial"/>
          <w:sz w:val="20"/>
          <w:szCs w:val="20"/>
        </w:rPr>
        <w:t xml:space="preserve">graphrag_filter.py, line 467 — token_confidence hardcoded to 0.5</w:t>
      </w:r>
    </w:p>
    <w:p>
      <w:pPr>
        <w:pStyle w:val="ListParagraph"/>
        <w:numPr>
          <w:ilvl w:val="0"/>
          <w:numId w:val="2"/>
        </w:numPr>
        <w:spacing w:after="60"/>
      </w:pPr>
      <w:r>
        <w:rPr>
          <w:rFonts w:ascii="Arial" w:cs="Arial" w:eastAsia="Arial" w:hAnsi="Arial"/>
          <w:sz w:val="20"/>
          <w:szCs w:val="20"/>
        </w:rPr>
        <w:t xml:space="preserve">graphrag_filter.py, lines 438–449 — faithfulness proxy (retrieval-derived)</w:t>
      </w:r>
    </w:p>
    <w:p>
      <w:pPr>
        <w:pStyle w:val="ListParagraph"/>
        <w:numPr>
          <w:ilvl w:val="0"/>
          <w:numId w:val="2"/>
        </w:numPr>
        <w:spacing w:after="60"/>
      </w:pPr>
      <w:r>
        <w:rPr>
          <w:rFonts w:ascii="Arial" w:cs="Arial" w:eastAsia="Arial" w:hAnsi="Arial"/>
          <w:sz w:val="20"/>
          <w:szCs w:val="20"/>
        </w:rPr>
        <w:t xml:space="preserve">graphrag_filter.py, lines 456–461 — hallucination proxy (retrieval-derived)</w:t>
      </w:r>
    </w:p>
    <w:p>
      <w:pPr>
        <w:pStyle w:val="ListParagraph"/>
        <w:numPr>
          <w:ilvl w:val="0"/>
          <w:numId w:val="2"/>
        </w:numPr>
        <w:spacing w:after="60"/>
      </w:pPr>
      <w:r>
        <w:rPr>
          <w:rFonts w:ascii="Arial" w:cs="Arial" w:eastAsia="Arial" w:hAnsi="Arial"/>
          <w:sz w:val="20"/>
          <w:szCs w:val="20"/>
        </w:rPr>
        <w:t xml:space="preserve">graphrag_filter.py, lines 472–477 — context_relevance proxy (retrieval-derived)</w:t>
      </w:r>
    </w:p>
    <w:p>
      <w:pPr>
        <w:pStyle w:val="ListParagraph"/>
        <w:numPr>
          <w:ilvl w:val="0"/>
          <w:numId w:val="2"/>
        </w:numPr>
        <w:spacing w:after="60"/>
      </w:pPr>
      <w:r>
        <w:rPr>
          <w:rFonts w:ascii="Arial" w:cs="Arial" w:eastAsia="Arial" w:hAnsi="Arial"/>
          <w:sz w:val="20"/>
          <w:szCs w:val="20"/>
        </w:rPr>
        <w:t xml:space="preserve">audit_logger.py — existing audit database (audit.db) with SHA-256 tamper-evidence</w:t>
      </w:r>
    </w:p>
    <w:p>
      <w:pPr>
        <w:pStyle w:val="ListParagraph"/>
        <w:numPr>
          <w:ilvl w:val="0"/>
          <w:numId w:val="2"/>
        </w:numPr>
        <w:spacing w:after="60"/>
      </w:pPr>
      <w:r>
        <w:rPr>
          <w:rFonts w:ascii="Arial" w:cs="Arial" w:eastAsia="Arial" w:hAnsi="Arial"/>
          <w:sz w:val="20"/>
          <w:szCs w:val="20"/>
        </w:rPr>
        <w:t xml:space="preserve">inventory/REGOS_MAP.md — full component inventory for codebase context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tabs>
        <w:tab w:val="right" w:pos="9026"/>
      </w:tabs>
    </w:pPr>
    <w:r>
      <w:rPr>
        <w:rFonts w:ascii="Arial" w:cs="Arial" w:eastAsia="Arial" w:hAnsi="Arial"/>
        <w:b/>
        <w:bCs/>
        <w:color w:val="1B3A5C"/>
        <w:sz w:val="18"/>
        <w:szCs w:val="18"/>
      </w:rPr>
      <w:t xml:space="preserve">RegOS Security Research</w:t>
    </w:r>
    <w:r>
      <w:rPr>
        <w:rFonts w:ascii="Arial" w:cs="Arial" w:eastAsia="Arial" w:hAnsi="Arial"/>
        <w:color w:val="666666"/>
        <w:sz w:val="18"/>
        <w:szCs w:val="18"/>
      </w:rPr>
      <w:t xml:space="preserve">	Revision 2 — March 20,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2026-03-20T11:40:26.169Z</dcterms:created>
  <dcterms:modified xsi:type="dcterms:W3CDTF">2026-03-20T11:40:26.169Z</dcterms:modified>
</cp:coreProperties>
</file>

<file path=docProps/custom.xml><?xml version="1.0" encoding="utf-8"?>
<Properties xmlns="http://schemas.openxmlformats.org/officeDocument/2006/custom-properties" xmlns:vt="http://schemas.openxmlformats.org/officeDocument/2006/docPropsVTypes"/>
</file>