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2744"/>
          <w:sz w:val="48"/>
          <w:szCs w:val="48"/>
        </w:rPr>
        <w:t xml:space="preserve">RegOS Security Research</w:t>
      </w:r>
    </w:p>
    <w:p>
      <w:pPr>
        <w:spacing w:after="80"/>
      </w:pPr>
      <w:r>
        <w:rPr>
          <w:rFonts w:ascii="Arial" w:cs="Arial" w:eastAsia="Arial" w:hAnsi="Arial"/>
          <w:color w:val="3730A3"/>
          <w:sz w:val="28"/>
          <w:szCs w:val="28"/>
        </w:rPr>
        <w:t xml:space="preserve">Advanced Prompt Injection Defense &amp;</w:t>
      </w:r>
    </w:p>
    <w:p>
      <w:pPr>
        <w:spacing w:after="200"/>
      </w:pPr>
      <w:r>
        <w:rPr>
          <w:rFonts w:ascii="Arial" w:cs="Arial" w:eastAsia="Arial" w:hAnsi="Arial"/>
          <w:color w:val="3730A3"/>
          <w:sz w:val="28"/>
          <w:szCs w:val="28"/>
        </w:rPr>
        <w:t xml:space="preserve">Smarter Guardrail Keyword Matching</w:t>
      </w:r>
    </w:p>
    <w:p>
      <w:pPr>
        <w:pBdr>
          <w:bottom w:val="single" w:color="6366F1" w:sz="8" w:space="8"/>
        </w:pBdr>
        <w:spacing w:after="400"/>
      </w:pPr>
      <w:r>
        <w:rPr>
          <w:rFonts w:ascii="Arial" w:cs="Arial" w:eastAsia="Arial" w:hAnsi="Arial"/>
          <w:color w:val="64748B"/>
          <w:sz w:val="22"/>
          <w:szCs w:val="22"/>
        </w:rPr>
        <w:t xml:space="preserve">P1/P2 Backlog Item #5 — Revised per CTO Review</w:t>
      </w:r>
    </w:p>
    <w:p>
      <w:pPr>
        <w:spacing w:after="80"/>
      </w:pPr>
      <w:r>
        <w:rPr>
          <w:rFonts w:ascii="Arial" w:cs="Arial" w:eastAsia="Arial" w:hAnsi="Arial"/>
          <w:color w:val="64748B"/>
          <w:sz w:val="22"/>
          <w:szCs w:val="22"/>
        </w:rPr>
        <w:t xml:space="preserve">Date: </w:t>
      </w:r>
      <w:r>
        <w:rPr>
          <w:rFonts w:ascii="Arial" w:cs="Arial" w:eastAsia="Arial" w:hAnsi="Arial"/>
          <w:b/>
          <w:bCs/>
          <w:color w:val="1E293B"/>
          <w:sz w:val="22"/>
          <w:szCs w:val="22"/>
        </w:rPr>
        <w:t xml:space="preserve">March 17, 2026</w:t>
      </w:r>
    </w:p>
    <w:p>
      <w:pPr>
        <w:spacing w:after="80"/>
      </w:pPr>
      <w:r>
        <w:rPr>
          <w:rFonts w:ascii="Arial" w:cs="Arial" w:eastAsia="Arial" w:hAnsi="Arial"/>
          <w:color w:val="64748B"/>
          <w:sz w:val="22"/>
          <w:szCs w:val="22"/>
        </w:rPr>
        <w:t xml:space="preserve">Prepared by: </w:t>
      </w:r>
      <w:r>
        <w:rPr>
          <w:rFonts w:ascii="Arial" w:cs="Arial" w:eastAsia="Arial" w:hAnsi="Arial"/>
          <w:b/>
          <w:bCs/>
          <w:color w:val="1E293B"/>
          <w:sz w:val="22"/>
          <w:szCs w:val="22"/>
        </w:rPr>
        <w:t xml:space="preserve">Anmol Pokhriyal</w:t>
      </w:r>
    </w:p>
    <w:p>
      <w:pPr>
        <w:spacing w:after="80"/>
      </w:pPr>
      <w:r>
        <w:rPr>
          <w:rFonts w:ascii="Arial" w:cs="Arial" w:eastAsia="Arial" w:hAnsi="Arial"/>
          <w:color w:val="64748B"/>
          <w:sz w:val="22"/>
          <w:szCs w:val="22"/>
        </w:rPr>
        <w:t xml:space="preserve">Reviewed by: </w:t>
      </w:r>
      <w:r>
        <w:rPr>
          <w:rFonts w:ascii="Arial" w:cs="Arial" w:eastAsia="Arial" w:hAnsi="Arial"/>
          <w:b/>
          <w:bCs/>
          <w:color w:val="1E293B"/>
          <w:sz w:val="22"/>
          <w:szCs w:val="22"/>
        </w:rPr>
        <w:t xml:space="preserve">Soham Mukherjee, CTO</w:t>
      </w:r>
    </w:p>
    <w:p>
      <w:pPr>
        <w:spacing w:after="80"/>
      </w:pPr>
      <w:r>
        <w:rPr>
          <w:rFonts w:ascii="Arial" w:cs="Arial" w:eastAsia="Arial" w:hAnsi="Arial"/>
          <w:color w:val="64748B"/>
          <w:sz w:val="22"/>
          <w:szCs w:val="22"/>
        </w:rPr>
        <w:t xml:space="preserve">Team: </w:t>
      </w:r>
      <w:r>
        <w:rPr>
          <w:rFonts w:ascii="Arial" w:cs="Arial" w:eastAsia="Arial" w:hAnsi="Arial"/>
          <w:b/>
          <w:bCs/>
          <w:color w:val="1E293B"/>
          <w:sz w:val="22"/>
          <w:szCs w:val="22"/>
        </w:rPr>
        <w:t xml:space="preserve">RegOS / OneWater / APAS Group</w:t>
      </w:r>
    </w:p>
    <w:p>
      <w:r>
        <w:br w:type="page"/>
      </w:r>
    </w:p>
    <w:p>
      <w:pPr>
        <w:pStyle w:val="Heading1"/>
        <w:spacing w:after="200" w:before="400"/>
      </w:pPr>
      <w:r>
        <w:rPr>
          <w:rFonts w:ascii="Arial" w:cs="Arial" w:eastAsia="Arial" w:hAnsi="Arial"/>
          <w:b/>
          <w:bCs/>
          <w:color w:val="1A2744"/>
          <w:sz w:val="32"/>
          <w:szCs w:val="32"/>
        </w:rPr>
        <w:t xml:space="preserve">1. Executive Summary</w:t>
      </w:r>
    </w:p>
    <w:p>
      <w:pPr>
        <w:spacing w:after="160" w:line="300"/>
      </w:pPr>
      <w:r>
        <w:rPr>
          <w:rFonts w:ascii="Arial" w:cs="Arial" w:eastAsia="Arial" w:hAnsi="Arial"/>
          <w:color w:val="1E293B"/>
          <w:sz w:val="22"/>
          <w:szCs w:val="22"/>
        </w:rPr>
        <w:t xml:space="preserve">This report addresses RegOS P1/P2 Backlog Item #5: Advanced Prompt Injection Defense and Smarter Guardrail Keyword Matching. The current RegOS implementation uses simple substring matching for out-of-scope detection and relies solely on system prompt instructions for prompt injection defense. Both approaches have known limitations documented in the adversarial guardrails test suite.</w:t>
      </w:r>
    </w:p>
    <w:p>
      <w:pPr>
        <w:spacing w:after="160" w:line="300"/>
      </w:pPr>
      <w:r>
        <w:rPr>
          <w:rFonts w:ascii="Arial" w:cs="Arial" w:eastAsia="Arial" w:hAnsi="Arial"/>
          <w:color w:val="1E293B"/>
          <w:sz w:val="22"/>
          <w:szCs w:val="22"/>
        </w:rPr>
        <w:t xml:space="preserve">This report synthesizes findings from industry frameworks (OWASP Top 10 for LLMs, NIST AI RMF), production tools (Lakera Guard, NeMo Guardrails, LLM Guard), academic research, and practical implementation patterns. The recommendations are organized into three implementation phases prioritizing practical defenses that can ship quickly, with advanced techniques layered in only where they add real value.</w:t>
      </w:r>
    </w:p>
    <w:p>
      <w:pPr>
        <w:pBdr>
          <w:left w:val="single" w:color="059669" w:sz="14" w:space="8"/>
        </w:pBdr>
        <w:spacing w:after="160" w:before="160"/>
        <w:ind w:left="480"/>
      </w:pPr>
      <w:r>
        <w:rPr>
          <w:rFonts w:ascii="Arial" w:cs="Arial" w:eastAsia="Arial" w:hAnsi="Arial"/>
          <w:b/>
          <w:bCs/>
          <w:color w:val="1E293B"/>
          <w:sz w:val="22"/>
          <w:szCs w:val="22"/>
        </w:rPr>
        <w:t xml:space="preserve">Key Architectural Principle: The safest systems aren’t the ones that perfectly detect prompt injection — they’re the ones where prompt injection can’t cause meaningful damage. The LLM must not be able to access secrets, execute arbitrary code, run unsafe database queries, or call tools without validation. If the architecture enforces those boundaries, prompt injection becomes much less dangerous.</w:t>
      </w:r>
    </w:p>
    <w:p>
      <w:pPr>
        <w:pStyle w:val="Heading2"/>
        <w:spacing w:after="160" w:before="300"/>
      </w:pPr>
      <w:r>
        <w:rPr>
          <w:rFonts w:ascii="Arial" w:cs="Arial" w:eastAsia="Arial" w:hAnsi="Arial"/>
          <w:b/>
          <w:bCs/>
          <w:color w:val="3730A3"/>
          <w:sz w:val="26"/>
          <w:szCs w:val="26"/>
        </w:rPr>
        <w:t xml:space="preserve">1.1 Key Findings</w:t>
      </w:r>
    </w:p>
    <w:p>
      <w:pPr>
        <w:pStyle w:val="ListParagraph"/>
        <w:numPr>
          <w:ilvl w:val="0"/>
          <w:numId w:val="2"/>
        </w:numPr>
        <w:spacing w:after="80" w:line="280"/>
      </w:pPr>
      <w:r>
        <w:rPr>
          <w:rFonts w:ascii="Arial" w:cs="Arial" w:eastAsia="Arial" w:hAnsi="Arial"/>
          <w:b/>
          <w:bCs/>
          <w:color w:val="1E293B"/>
          <w:sz w:val="22"/>
          <w:szCs w:val="22"/>
        </w:rPr>
        <w:t xml:space="preserve">Prompt Injection is OWASP #1: </w:t>
      </w:r>
      <w:r>
        <w:rPr>
          <w:rFonts w:ascii="Arial" w:cs="Arial" w:eastAsia="Arial" w:hAnsi="Arial"/>
          <w:color w:val="1E293B"/>
          <w:sz w:val="22"/>
          <w:szCs w:val="22"/>
        </w:rPr>
        <w:t xml:space="preserve">Ranked the top risk in the 2025 OWASP Top 10 for LLM Applications.</w:t>
      </w:r>
    </w:p>
    <w:p>
      <w:pPr>
        <w:pStyle w:val="ListParagraph"/>
        <w:numPr>
          <w:ilvl w:val="0"/>
          <w:numId w:val="2"/>
        </w:numPr>
        <w:spacing w:after="80" w:line="280"/>
      </w:pPr>
      <w:r>
        <w:rPr>
          <w:rFonts w:ascii="Arial" w:cs="Arial" w:eastAsia="Arial" w:hAnsi="Arial"/>
          <w:b/>
          <w:bCs/>
          <w:color w:val="1E293B"/>
          <w:sz w:val="22"/>
          <w:szCs w:val="22"/>
        </w:rPr>
        <w:t xml:space="preserve">Multi-layer defense is essential: </w:t>
      </w:r>
      <w:r>
        <w:rPr>
          <w:rFonts w:ascii="Arial" w:cs="Arial" w:eastAsia="Arial" w:hAnsi="Arial"/>
          <w:color w:val="1E293B"/>
          <w:sz w:val="22"/>
          <w:szCs w:val="22"/>
        </w:rPr>
        <w:t xml:space="preserve">No single technique provides adequate protection; combined frameworks reduce attack success from 73% to under 9%.</w:t>
      </w:r>
    </w:p>
    <w:p>
      <w:pPr>
        <w:pStyle w:val="ListParagraph"/>
        <w:numPr>
          <w:ilvl w:val="0"/>
          <w:numId w:val="2"/>
        </w:numPr>
        <w:spacing w:after="80" w:line="280"/>
      </w:pPr>
      <w:r>
        <w:rPr>
          <w:rFonts w:ascii="Arial" w:cs="Arial" w:eastAsia="Arial" w:hAnsi="Arial"/>
          <w:b/>
          <w:bCs/>
          <w:color w:val="1E293B"/>
          <w:sz w:val="22"/>
          <w:szCs w:val="22"/>
        </w:rPr>
        <w:t xml:space="preserve">Architectural containment is the primary defense: </w:t>
      </w:r>
      <w:r>
        <w:rPr>
          <w:rFonts w:ascii="Arial" w:cs="Arial" w:eastAsia="Arial" w:hAnsi="Arial"/>
          <w:color w:val="1E293B"/>
          <w:sz w:val="22"/>
          <w:szCs w:val="22"/>
        </w:rPr>
        <w:t xml:space="preserve">Rule-based filtering and strict architectural boundaries (parameterized queries, tool permission validation, least-privilege access) should be the foundation. ML classifiers are supporting signals, not the final authority.</w:t>
      </w:r>
    </w:p>
    <w:p>
      <w:pPr>
        <w:pStyle w:val="ListParagraph"/>
        <w:numPr>
          <w:ilvl w:val="0"/>
          <w:numId w:val="2"/>
        </w:numPr>
        <w:spacing w:after="80" w:line="280"/>
      </w:pPr>
      <w:r>
        <w:rPr>
          <w:rFonts w:ascii="Arial" w:cs="Arial" w:eastAsia="Arial" w:hAnsi="Arial"/>
          <w:b/>
          <w:bCs/>
          <w:color w:val="1E293B"/>
          <w:sz w:val="22"/>
          <w:szCs w:val="22"/>
        </w:rPr>
        <w:t xml:space="preserve">Substring matching produces unacceptable false positives: </w:t>
      </w:r>
      <w:r>
        <w:rPr>
          <w:rFonts w:ascii="Arial" w:cs="Arial" w:eastAsia="Arial" w:hAnsi="Arial"/>
          <w:color w:val="1E293B"/>
          <w:sz w:val="22"/>
          <w:szCs w:val="22"/>
        </w:rPr>
        <w:t xml:space="preserve">NLP-based intent classification with semantic similarity eliminates context-dependent false positives.</w:t>
      </w:r>
    </w:p>
    <w:p>
      <w:pPr>
        <w:pStyle w:val="ListParagraph"/>
        <w:numPr>
          <w:ilvl w:val="0"/>
          <w:numId w:val="2"/>
        </w:numPr>
        <w:spacing w:after="80" w:line="280"/>
      </w:pPr>
      <w:r>
        <w:rPr>
          <w:rFonts w:ascii="Arial" w:cs="Arial" w:eastAsia="Arial" w:hAnsi="Arial"/>
          <w:b/>
          <w:bCs/>
          <w:color w:val="1E293B"/>
          <w:sz w:val="22"/>
          <w:szCs w:val="22"/>
        </w:rPr>
        <w:t xml:space="preserve">Lightweight models meet real-time requirements: </w:t>
      </w:r>
      <w:r>
        <w:rPr>
          <w:rFonts w:ascii="Arial" w:cs="Arial" w:eastAsia="Arial" w:hAnsi="Arial"/>
          <w:color w:val="1E293B"/>
          <w:sz w:val="22"/>
          <w:szCs w:val="22"/>
        </w:rPr>
        <w:t xml:space="preserve">MiniLM, DistilBERT, and TinyBERT provide good accuracy with low latency, though real-world latency will be somewhat higher than benchmark numbers due to tokenizer overhead, Python pipeline cost, and model loading.</w:t>
      </w:r>
    </w:p>
    <w:p>
      <w:pPr>
        <w:pStyle w:val="ListParagraph"/>
        <w:numPr>
          <w:ilvl w:val="0"/>
          <w:numId w:val="2"/>
        </w:numPr>
        <w:spacing w:after="80" w:line="280"/>
      </w:pPr>
      <w:r>
        <w:rPr>
          <w:rFonts w:ascii="Arial" w:cs="Arial" w:eastAsia="Arial" w:hAnsi="Arial"/>
          <w:b/>
          <w:bCs/>
          <w:color w:val="1E293B"/>
          <w:sz w:val="22"/>
          <w:szCs w:val="22"/>
        </w:rPr>
        <w:t xml:space="preserve">Incorrect regulatory advice is a bigger reputational risk than prompt injection: </w:t>
      </w:r>
      <w:r>
        <w:rPr>
          <w:rFonts w:ascii="Arial" w:cs="Arial" w:eastAsia="Arial" w:hAnsi="Arial"/>
          <w:color w:val="1E293B"/>
          <w:sz w:val="22"/>
          <w:szCs w:val="22"/>
        </w:rPr>
        <w:t xml:space="preserve">Output validation and citation grounding verification are critical.</w:t>
      </w:r>
    </w:p>
    <w:p>
      <w:r>
        <w:br w:type="page"/>
      </w:r>
    </w:p>
    <w:p>
      <w:pPr>
        <w:pStyle w:val="Heading1"/>
        <w:spacing w:after="200" w:before="400"/>
      </w:pPr>
      <w:r>
        <w:rPr>
          <w:rFonts w:ascii="Arial" w:cs="Arial" w:eastAsia="Arial" w:hAnsi="Arial"/>
          <w:b/>
          <w:bCs/>
          <w:color w:val="1A2744"/>
          <w:sz w:val="32"/>
          <w:szCs w:val="32"/>
        </w:rPr>
        <w:t xml:space="preserve">2. System Architecture</w:t>
      </w:r>
    </w:p>
    <w:p>
      <w:pPr>
        <w:spacing w:after="160" w:line="300"/>
      </w:pPr>
      <w:r>
        <w:rPr>
          <w:rFonts w:ascii="Arial" w:cs="Arial" w:eastAsia="Arial" w:hAnsi="Arial"/>
          <w:color w:val="1E293B"/>
          <w:sz w:val="22"/>
          <w:szCs w:val="22"/>
        </w:rPr>
        <w:t xml:space="preserve">The following pipeline shows where each guardrail operates. This was identified as a gap in the original report and is essential for the engineering team to understand the defense boundaries.</w:t>
      </w:r>
    </w:p>
    <w:p>
      <w:pPr>
        <w:pStyle w:val="Heading2"/>
        <w:spacing w:after="160" w:before="300"/>
      </w:pPr>
      <w:r>
        <w:rPr>
          <w:rFonts w:ascii="Arial" w:cs="Arial" w:eastAsia="Arial" w:hAnsi="Arial"/>
          <w:b/>
          <w:bCs/>
          <w:color w:val="3730A3"/>
          <w:sz w:val="26"/>
          <w:szCs w:val="26"/>
        </w:rPr>
        <w:t xml:space="preserve">2.1 Defense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3080"/>
        <w:gridCol w:w="1600"/>
      </w:tblGrid>
      <w:tr>
        <w:tc>
          <w:tcPr>
            <w:tcW w:type="dxa" w:w="16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8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8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6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1</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User Query Intake</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Token limits, rate limiting, query truncation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2</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Input Guardrails</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Regex injection patterns, LLM Guard scanner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3</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Scope Classification</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Aho-Corasick keywords → MiniLM embeddings → threshold tuning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4</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Retrieval (GraphRAG)</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Parameterized Cypher, tenant isolation, context bounds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5</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Generation (LLM)</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Hardened system prompt, instruction hierarchy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6</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Output Validation</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Citation grounding, faithfulness scoring, structure validation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B45309"/>
                <w:sz w:val="20"/>
                <w:szCs w:val="20"/>
              </w:rPr>
              <w:t xml:space="preserve">Phase 3</w:t>
            </w:r>
          </w:p>
        </w:tc>
      </w:tr>
    </w:tbl>
    <w:p>
      <w:pPr>
        <w:spacing w:after="120" w:before="120"/>
      </w:pPr>
    </w:p>
    <w:p>
      <w:pPr>
        <w:pBdr>
          <w:left w:val="single" w:color="3730A3" w:sz="14" w:space="8"/>
        </w:pBdr>
        <w:spacing w:after="160" w:before="160"/>
        <w:ind w:left="480"/>
      </w:pPr>
      <w:r>
        <w:rPr>
          <w:rFonts w:ascii="Arial" w:cs="Arial" w:eastAsia="Arial" w:hAnsi="Arial"/>
          <w:i/>
          <w:iCs/>
          <w:color w:val="1E293B"/>
          <w:sz w:val="21"/>
          <w:szCs w:val="21"/>
        </w:rPr>
        <w:t xml:space="preserve">User Query → Input Guardrails → Scope Classification → Retrieval → Generation → Output Validation</w:t>
      </w:r>
    </w:p>
    <w:p>
      <w:r>
        <w:br w:type="page"/>
      </w:r>
    </w:p>
    <w:p>
      <w:pPr>
        <w:pStyle w:val="Heading1"/>
        <w:spacing w:after="200" w:before="400"/>
      </w:pPr>
      <w:r>
        <w:rPr>
          <w:rFonts w:ascii="Arial" w:cs="Arial" w:eastAsia="Arial" w:hAnsi="Arial"/>
          <w:b/>
          <w:bCs/>
          <w:color w:val="1A2744"/>
          <w:sz w:val="32"/>
          <w:szCs w:val="32"/>
        </w:rPr>
        <w:t xml:space="preserve">3. Current State Analysis</w:t>
      </w:r>
    </w:p>
    <w:p>
      <w:pPr>
        <w:pStyle w:val="Heading2"/>
        <w:spacing w:after="160" w:before="300"/>
      </w:pPr>
      <w:r>
        <w:rPr>
          <w:rFonts w:ascii="Arial" w:cs="Arial" w:eastAsia="Arial" w:hAnsi="Arial"/>
          <w:b/>
          <w:bCs/>
          <w:color w:val="3730A3"/>
          <w:sz w:val="26"/>
          <w:szCs w:val="26"/>
        </w:rPr>
        <w:t xml:space="preserve">3.1 Out-of-Scope Detection</w:t>
      </w:r>
    </w:p>
    <w:p>
      <w:pPr>
        <w:spacing w:after="160" w:line="300"/>
      </w:pPr>
      <w:r>
        <w:rPr>
          <w:rFonts w:ascii="Arial" w:cs="Arial" w:eastAsia="Arial" w:hAnsi="Arial"/>
          <w:color w:val="1E293B"/>
          <w:sz w:val="22"/>
          <w:szCs w:val="22"/>
        </w:rPr>
        <w:t xml:space="preserve">The current implementation in graphrag_filter.py uses simple substring matching: if kw in query_lower. Exclusion keywords include terms like “building code, zoning, OSHA, EPA federal, immigration, criminal law.” This triggers false positives when keywords appear in legitimate regulatory queries.</w:t>
      </w:r>
    </w:p>
    <w:p>
      <w:pPr>
        <w:pBdr>
          <w:left w:val="single" w:color="B91C1C" w:sz="14" w:space="8"/>
        </w:pBdr>
        <w:spacing w:after="160" w:before="160"/>
        <w:ind w:left="480"/>
      </w:pPr>
      <w:r>
        <w:rPr>
          <w:rFonts w:ascii="Arial" w:cs="Arial" w:eastAsia="Arial" w:hAnsi="Arial"/>
          <w:i/>
          <w:iCs/>
          <w:color w:val="1E293B"/>
          <w:sz w:val="21"/>
          <w:szCs w:val="21"/>
        </w:rPr>
        <w:t xml:space="preserve">Example: A user asking “What treatment standards apply to facilities near a building?” triggers on “building” matching “building code” even though the question is about Chapter 24 environmental regulations.</w:t>
      </w:r>
    </w:p>
    <w:p>
      <w:pPr>
        <w:pStyle w:val="Heading2"/>
        <w:spacing w:after="160" w:before="300"/>
      </w:pPr>
      <w:r>
        <w:rPr>
          <w:rFonts w:ascii="Arial" w:cs="Arial" w:eastAsia="Arial" w:hAnsi="Arial"/>
          <w:b/>
          <w:bCs/>
          <w:color w:val="3730A3"/>
          <w:sz w:val="26"/>
          <w:szCs w:val="26"/>
        </w:rPr>
        <w:t xml:space="preserve">3.2 Prompt Injection Defense</w:t>
      </w:r>
    </w:p>
    <w:p>
      <w:pPr>
        <w:spacing w:after="160" w:line="300"/>
      </w:pPr>
      <w:r>
        <w:rPr>
          <w:rFonts w:ascii="Arial" w:cs="Arial" w:eastAsia="Arial" w:hAnsi="Arial"/>
          <w:color w:val="1E293B"/>
          <w:sz w:val="22"/>
          <w:szCs w:val="22"/>
        </w:rPr>
        <w:t xml:space="preserve">The current defense relies entirely on system prompt instructions telling the LLM to stay within scope. There is no programmatic detection layer for injection attempts, no input sanitization, and no output validation.</w:t>
      </w:r>
    </w:p>
    <w:p>
      <w:pPr>
        <w:pStyle w:val="Heading2"/>
        <w:spacing w:after="160" w:before="300"/>
      </w:pPr>
      <w:r>
        <w:rPr>
          <w:rFonts w:ascii="Arial" w:cs="Arial" w:eastAsia="Arial" w:hAnsi="Arial"/>
          <w:b/>
          <w:bCs/>
          <w:color w:val="3730A3"/>
          <w:sz w:val="26"/>
          <w:szCs w:val="26"/>
        </w:rPr>
        <w:t xml:space="preserve">3.3 Adversarial Test Suite</w:t>
      </w:r>
    </w:p>
    <w:p>
      <w:pPr>
        <w:spacing w:after="160" w:line="300"/>
      </w:pPr>
      <w:r>
        <w:rPr>
          <w:rFonts w:ascii="Arial" w:cs="Arial" w:eastAsia="Arial" w:hAnsi="Arial"/>
          <w:color w:val="1E293B"/>
          <w:sz w:val="22"/>
          <w:szCs w:val="22"/>
        </w:rPr>
        <w:t xml:space="preserve">The adversarial_guardrails.md test suite contains 28 test cases across 7 categories. Known limitations: “Keyword matching is blunt” (line 118), “Prompt injection defense relies on system prompt” (line 122).</w:t>
      </w:r>
    </w:p>
    <w:p>
      <w:pPr>
        <w:pStyle w:val="Heading1"/>
        <w:spacing w:after="200" w:before="400"/>
      </w:pPr>
      <w:r>
        <w:rPr>
          <w:rFonts w:ascii="Arial" w:cs="Arial" w:eastAsia="Arial" w:hAnsi="Arial"/>
          <w:b/>
          <w:bCs/>
          <w:color w:val="1A2744"/>
          <w:sz w:val="32"/>
          <w:szCs w:val="32"/>
        </w:rPr>
        <w:t xml:space="preserve">4. Prompt Injection Defense Techniques</w:t>
      </w:r>
    </w:p>
    <w:p>
      <w:pPr>
        <w:pStyle w:val="Heading2"/>
        <w:spacing w:after="160" w:before="300"/>
      </w:pPr>
      <w:r>
        <w:rPr>
          <w:rFonts w:ascii="Arial" w:cs="Arial" w:eastAsia="Arial" w:hAnsi="Arial"/>
          <w:b/>
          <w:bCs/>
          <w:color w:val="3730A3"/>
          <w:sz w:val="26"/>
          <w:szCs w:val="26"/>
        </w:rPr>
        <w:t xml:space="preserve">4.1 OWASP LLM01:2025 — Prompt Injection</w:t>
      </w:r>
    </w:p>
    <w:p>
      <w:pPr>
        <w:spacing w:after="160" w:line="300"/>
      </w:pPr>
      <w:r>
        <w:rPr>
          <w:rFonts w:ascii="Arial" w:cs="Arial" w:eastAsia="Arial" w:hAnsi="Arial"/>
          <w:color w:val="1E293B"/>
          <w:sz w:val="22"/>
          <w:szCs w:val="22"/>
        </w:rPr>
        <w:t xml:space="preserve">Prompt injection is ranked #1 in the 2025 OWASP Top 10 for LLM Applications. It encompasses direct injection (user manipulates input) and indirect injection (malicious instructions embedded in retrieved documents). Both vectors are relevant to RegOS.</w:t>
      </w:r>
    </w:p>
    <w:p>
      <w:pPr>
        <w:spacing w:after="120" w:before="240"/>
      </w:pPr>
      <w:r>
        <w:rPr>
          <w:rFonts w:ascii="Arial" w:cs="Arial" w:eastAsia="Arial" w:hAnsi="Arial"/>
          <w:b/>
          <w:bCs/>
          <w:color w:val="1A2744"/>
          <w:sz w:val="23"/>
          <w:szCs w:val="23"/>
        </w:rPr>
        <w:t xml:space="preserve">OWASP Prevention Strategies</w:t>
      </w:r>
    </w:p>
    <w:p>
      <w:pPr>
        <w:pStyle w:val="ListParagraph"/>
        <w:numPr>
          <w:ilvl w:val="0"/>
          <w:numId w:val="2"/>
        </w:numPr>
        <w:spacing w:after="80" w:line="280"/>
      </w:pPr>
      <w:r>
        <w:rPr>
          <w:rFonts w:ascii="Arial" w:cs="Arial" w:eastAsia="Arial" w:hAnsi="Arial"/>
          <w:color w:val="1E293B"/>
          <w:sz w:val="22"/>
          <w:szCs w:val="22"/>
        </w:rPr>
        <w:t xml:space="preserve">Input validation and sanitization at the application boundary</w:t>
      </w:r>
    </w:p>
    <w:p>
      <w:pPr>
        <w:pStyle w:val="ListParagraph"/>
        <w:numPr>
          <w:ilvl w:val="0"/>
          <w:numId w:val="2"/>
        </w:numPr>
        <w:spacing w:after="80" w:line="280"/>
      </w:pPr>
      <w:r>
        <w:rPr>
          <w:rFonts w:ascii="Arial" w:cs="Arial" w:eastAsia="Arial" w:hAnsi="Arial"/>
          <w:color w:val="1E293B"/>
          <w:sz w:val="22"/>
          <w:szCs w:val="22"/>
        </w:rPr>
        <w:t xml:space="preserve">Output validation and filtering before responses reach users</w:t>
      </w:r>
    </w:p>
    <w:p>
      <w:pPr>
        <w:pStyle w:val="ListParagraph"/>
        <w:numPr>
          <w:ilvl w:val="0"/>
          <w:numId w:val="2"/>
        </w:numPr>
        <w:spacing w:after="80" w:line="280"/>
      </w:pPr>
      <w:r>
        <w:rPr>
          <w:rFonts w:ascii="Arial" w:cs="Arial" w:eastAsia="Arial" w:hAnsi="Arial"/>
          <w:color w:val="1E293B"/>
          <w:sz w:val="22"/>
          <w:szCs w:val="22"/>
        </w:rPr>
        <w:t xml:space="preserve">Human-in-the-loop controls for privileged operations</w:t>
      </w:r>
    </w:p>
    <w:p>
      <w:pPr>
        <w:pStyle w:val="ListParagraph"/>
        <w:numPr>
          <w:ilvl w:val="0"/>
          <w:numId w:val="2"/>
        </w:numPr>
        <w:spacing w:after="80" w:line="280"/>
      </w:pPr>
      <w:r>
        <w:rPr>
          <w:rFonts w:ascii="Arial" w:cs="Arial" w:eastAsia="Arial" w:hAnsi="Arial"/>
          <w:color w:val="1E293B"/>
          <w:sz w:val="22"/>
          <w:szCs w:val="22"/>
        </w:rPr>
        <w:t xml:space="preserve">Principle of least privilege for model access</w:t>
      </w:r>
    </w:p>
    <w:p>
      <w:pPr>
        <w:pStyle w:val="ListParagraph"/>
        <w:numPr>
          <w:ilvl w:val="0"/>
          <w:numId w:val="2"/>
        </w:numPr>
        <w:spacing w:after="80" w:line="280"/>
      </w:pPr>
      <w:r>
        <w:rPr>
          <w:rFonts w:ascii="Arial" w:cs="Arial" w:eastAsia="Arial" w:hAnsi="Arial"/>
          <w:color w:val="1E293B"/>
          <w:sz w:val="22"/>
          <w:szCs w:val="22"/>
        </w:rPr>
        <w:t xml:space="preserve">Clear separation of trusted (system) and untrusted (user/document) content</w:t>
      </w:r>
    </w:p>
    <w:p>
      <w:pPr>
        <w:pStyle w:val="Heading2"/>
        <w:spacing w:after="160" w:before="300"/>
      </w:pPr>
      <w:r>
        <w:rPr>
          <w:rFonts w:ascii="Arial" w:cs="Arial" w:eastAsia="Arial" w:hAnsi="Arial"/>
          <w:b/>
          <w:bCs/>
          <w:color w:val="3730A3"/>
          <w:sz w:val="26"/>
          <w:szCs w:val="26"/>
        </w:rPr>
        <w:t xml:space="preserve">4.2 Pattern-Based Detection (Primary Defense)</w:t>
      </w:r>
    </w:p>
    <w:p>
      <w:pPr>
        <w:spacing w:after="160" w:line="300"/>
      </w:pPr>
      <w:r>
        <w:rPr>
          <w:rFonts w:ascii="Arial" w:cs="Arial" w:eastAsia="Arial" w:hAnsi="Arial"/>
          <w:color w:val="1E293B"/>
          <w:sz w:val="22"/>
          <w:szCs w:val="22"/>
        </w:rPr>
        <w:t xml:space="preserve">Pattern matching provides a fast first-line defense by scanning inputs for known injection signatures. Common patterns include context-ignoring phrases, credential patterns, tool directives, and obfuscated variants.</w:t>
      </w:r>
    </w:p>
    <w:p>
      <w:pPr>
        <w:spacing w:after="160" w:line="300"/>
      </w:pPr>
      <w:r>
        <w:rPr>
          <w:rFonts w:ascii="Arial" w:cs="Arial" w:eastAsia="Arial" w:hAnsi="Arial"/>
          <w:b/>
          <w:bCs/>
          <w:color w:val="1E293B"/>
          <w:sz w:val="22"/>
          <w:szCs w:val="22"/>
        </w:rPr>
        <w:t xml:space="preserve">This should remain the primary defense layer.</w:t>
      </w:r>
      <w:r>
        <w:rPr>
          <w:rFonts w:ascii="Arial" w:cs="Arial" w:eastAsia="Arial" w:hAnsi="Arial"/>
          <w:color w:val="1E293B"/>
          <w:sz w:val="22"/>
          <w:szCs w:val="22"/>
        </w:rPr>
        <w:t xml:space="preserve"> Rule-based filtering is deterministic, fast, and doesn’t degrade over time. ML classifiers should support this layer, not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LLM Guard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Multi-scanner: PII, secrets, injection, jailbreak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Production-ready, 2.5M+ downloads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NeMo Guardrails</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YARA rules for code injection, SQL, XSS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Open-source, production-grade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Vigil-LLM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Pluggable pattern scanners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Open-source, extensible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Rebuff</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Heuristic scanner + VectorDB + LLM + canary tokens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Prototype stage</w:t>
            </w:r>
          </w:p>
        </w:tc>
      </w:tr>
    </w:tbl>
    <w:p>
      <w:pPr>
        <w:spacing w:after="120" w:before="120"/>
      </w:pPr>
    </w:p>
    <w:p>
      <w:pPr>
        <w:pStyle w:val="Heading2"/>
        <w:spacing w:after="160" w:before="300"/>
      </w:pPr>
      <w:r>
        <w:rPr>
          <w:rFonts w:ascii="Arial" w:cs="Arial" w:eastAsia="Arial" w:hAnsi="Arial"/>
          <w:b/>
          <w:bCs/>
          <w:color w:val="3730A3"/>
          <w:sz w:val="26"/>
          <w:szCs w:val="26"/>
        </w:rPr>
        <w:t xml:space="preserve">4.3 Embedding-Based Classification (Supporting Signal)</w:t>
      </w:r>
    </w:p>
    <w:p>
      <w:pPr>
        <w:spacing w:after="160" w:line="300"/>
      </w:pPr>
      <w:r>
        <w:rPr>
          <w:rFonts w:ascii="Arial" w:cs="Arial" w:eastAsia="Arial" w:hAnsi="Arial"/>
          <w:color w:val="1E293B"/>
          <w:sz w:val="22"/>
          <w:szCs w:val="22"/>
        </w:rPr>
        <w:t xml:space="preserve">Embedding-based detection uses sentence transformer models to encode incoming prompts and compare them against known adversarial examples using cosine similarity. This captures semantic relationships that pattern matching misses.</w:t>
      </w:r>
    </w:p>
    <w:p>
      <w:pPr>
        <w:pBdr>
          <w:left w:val="single" w:color="B91C1C" w:sz="14" w:space="8"/>
        </w:pBdr>
        <w:spacing w:after="160" w:before="160"/>
        <w:ind w:left="480"/>
      </w:pPr>
      <w:r>
        <w:rPr>
          <w:rFonts w:ascii="Arial" w:cs="Arial" w:eastAsia="Arial" w:hAnsi="Arial"/>
          <w:i/>
          <w:iCs/>
          <w:color w:val="1E293B"/>
          <w:sz w:val="21"/>
          <w:szCs w:val="21"/>
        </w:rPr>
        <w:t xml:space="preserve">CTO Note: Classifiers should be supporting signals, not the final authority. Accuracy drops after deployment as attackers evolve their prompts and new attack styles appear. Architectural containment must remain the primary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Embedding Model</w:t>
            </w:r>
          </w:p>
        </w:tc>
        <w:tc>
          <w:tcPr>
            <w:tcW w:type="dxa" w:w="312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Classifier</w:t>
            </w:r>
          </w:p>
        </w:tc>
        <w:tc>
          <w:tcPr>
            <w:tcW w:type="dxa" w:w="312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text-embedding-3-small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XGBoost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97.7%</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all-MiniLM-L6-v2</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Cosine threshold</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~94%</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GTE-large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LightGBM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~96%</w:t>
            </w:r>
          </w:p>
        </w:tc>
      </w:tr>
    </w:tbl>
    <w:p>
      <w:pPr>
        <w:spacing w:after="120" w:before="120"/>
      </w:pPr>
    </w:p>
    <w:p>
      <w:pPr>
        <w:pStyle w:val="Heading2"/>
        <w:spacing w:after="160" w:before="300"/>
      </w:pPr>
      <w:r>
        <w:rPr>
          <w:rFonts w:ascii="Arial" w:cs="Arial" w:eastAsia="Arial" w:hAnsi="Arial"/>
          <w:b/>
          <w:bCs/>
          <w:color w:val="3730A3"/>
          <w:sz w:val="26"/>
          <w:szCs w:val="26"/>
        </w:rPr>
        <w:t xml:space="preserve">4.4 Canary Token Detection (Monitoring Only)</w:t>
      </w:r>
    </w:p>
    <w:p>
      <w:pPr>
        <w:spacing w:after="160" w:line="300"/>
      </w:pPr>
      <w:r>
        <w:rPr>
          <w:rFonts w:ascii="Arial" w:cs="Arial" w:eastAsia="Arial" w:hAnsi="Arial"/>
          <w:color w:val="1E293B"/>
          <w:sz w:val="22"/>
          <w:szCs w:val="22"/>
        </w:rPr>
        <w:t xml:space="preserve">Canary tokens are unique phrases injected into system prompts. If the canary appears in the output, the system prompt was leaked. If absent from a response that should include it, the system prompt may have been overridden.</w:t>
      </w:r>
    </w:p>
    <w:p>
      <w:pPr>
        <w:pBdr>
          <w:left w:val="single" w:color="B91C1C" w:sz="14" w:space="8"/>
        </w:pBdr>
        <w:spacing w:after="160" w:before="160"/>
        <w:ind w:left="480"/>
      </w:pPr>
      <w:r>
        <w:rPr>
          <w:rFonts w:ascii="Arial" w:cs="Arial" w:eastAsia="Arial" w:hAnsi="Arial"/>
          <w:i/>
          <w:iCs/>
          <w:color w:val="1E293B"/>
          <w:sz w:val="21"/>
          <w:szCs w:val="21"/>
        </w:rPr>
        <w:t xml:space="preserve">CTO Note: Canary tokens help detect system prompt leakage for monitoring and diagnostics, but they are unreliable as a real-time blocking mechanism. They fail when the model paraphrases, when attackers reproduce the token, or when the system prompt structure changes. Use for monitoring, not blocking.</w:t>
      </w:r>
    </w:p>
    <w:p>
      <w:pPr>
        <w:pStyle w:val="Heading2"/>
        <w:spacing w:after="160" w:before="300"/>
      </w:pPr>
      <w:r>
        <w:rPr>
          <w:rFonts w:ascii="Arial" w:cs="Arial" w:eastAsia="Arial" w:hAnsi="Arial"/>
          <w:b/>
          <w:bCs/>
          <w:color w:val="3730A3"/>
          <w:sz w:val="26"/>
          <w:szCs w:val="26"/>
        </w:rPr>
        <w:t xml:space="preserve">4.5 Multi-Layer Defense Architecture</w:t>
      </w:r>
    </w:p>
    <w:p>
      <w:pPr>
        <w:spacing w:after="160" w:line="300"/>
      </w:pPr>
      <w:r>
        <w:rPr>
          <w:rFonts w:ascii="Arial" w:cs="Arial" w:eastAsia="Arial" w:hAnsi="Arial"/>
          <w:color w:val="1E293B"/>
          <w:sz w:val="22"/>
          <w:szCs w:val="22"/>
        </w:rPr>
        <w:t xml:space="preserve">Combining multiple detection techniques at different system points provides the strongest defense. Research shows a comprehensive framework reduces successful attack rates from 73.2% to 8.7% while maintaining 94.3% of baseline task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400"/>
        <w:gridCol w:w="1600"/>
      </w:tblGrid>
      <w:tr>
        <w:tc>
          <w:tcPr>
            <w:tcW w:type="dxa" w:w="28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4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6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1. Input Validation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Regex + keyword patterns + LLM Guard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&lt;5ms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2. System Prompt Hardening</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Instruction hierarchy, trusted/untrusted separation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0ms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3. Cypher Parameterization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All Neo4j queries parameterized, no string concat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0ms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4. Scope Classification</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Aho-Corasick + MiniLM embeddings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~10–30ms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5. Canary Tokens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System prompt leak monitoring (diagnostics)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&lt;1ms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6. Output Validation</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Citation grounding, faithfulness scoring</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~50–100ms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B45309"/>
                <w:sz w:val="20"/>
                <w:szCs w:val="20"/>
              </w:rPr>
              <w:t xml:space="preserve">Phase 3</w:t>
            </w:r>
          </w:p>
        </w:tc>
      </w:tr>
    </w:tbl>
    <w:p>
      <w:pPr>
        <w:spacing w:after="120" w:before="120"/>
      </w:pPr>
    </w:p>
    <w:p>
      <w:pPr>
        <w:spacing w:after="160" w:line="300"/>
      </w:pPr>
      <w:r>
        <w:rPr>
          <w:rFonts w:ascii="Arial" w:cs="Arial" w:eastAsia="Arial" w:hAnsi="Arial"/>
          <w:b/>
          <w:bCs/>
          <w:color w:val="1E293B"/>
          <w:sz w:val="22"/>
          <w:szCs w:val="22"/>
        </w:rPr>
        <w:t xml:space="preserve">Latency note: </w:t>
      </w:r>
      <w:r>
        <w:rPr>
          <w:rFonts w:ascii="Arial" w:cs="Arial" w:eastAsia="Arial" w:hAnsi="Arial"/>
          <w:color w:val="1E293B"/>
          <w:sz w:val="22"/>
          <w:szCs w:val="22"/>
        </w:rPr>
        <w:t xml:space="preserve">The original report’s latency estimates did not account for tokenizer overhead, Python pipeline cost, model loading, and vector comparisons. Actual latency will be somewhat higher than benchmarks, though likely still acceptable for real-time use.</w:t>
      </w:r>
    </w:p>
    <w:p>
      <w:r>
        <w:br w:type="page"/>
      </w:r>
    </w:p>
    <w:p>
      <w:pPr>
        <w:pStyle w:val="Heading1"/>
        <w:spacing w:after="200" w:before="400"/>
      </w:pPr>
      <w:r>
        <w:rPr>
          <w:rFonts w:ascii="Arial" w:cs="Arial" w:eastAsia="Arial" w:hAnsi="Arial"/>
          <w:b/>
          <w:bCs/>
          <w:color w:val="1A2744"/>
          <w:sz w:val="32"/>
          <w:szCs w:val="32"/>
        </w:rPr>
        <w:t xml:space="preserve">5. Smarter Guardrail Keyword Matching</w:t>
      </w:r>
    </w:p>
    <w:p>
      <w:pPr>
        <w:pStyle w:val="Heading2"/>
        <w:spacing w:after="160" w:before="300"/>
      </w:pPr>
      <w:r>
        <w:rPr>
          <w:rFonts w:ascii="Arial" w:cs="Arial" w:eastAsia="Arial" w:hAnsi="Arial"/>
          <w:b/>
          <w:bCs/>
          <w:color w:val="3730A3"/>
          <w:sz w:val="26"/>
          <w:szCs w:val="26"/>
        </w:rPr>
        <w:t xml:space="preserve">5.1 The Problem with Substring Matching</w:t>
      </w:r>
    </w:p>
    <w:p>
      <w:pPr>
        <w:spacing w:after="160" w:line="300"/>
      </w:pPr>
      <w:r>
        <w:rPr>
          <w:rFonts w:ascii="Arial" w:cs="Arial" w:eastAsia="Arial" w:hAnsi="Arial"/>
          <w:color w:val="1E293B"/>
          <w:sz w:val="22"/>
          <w:szCs w:val="22"/>
        </w:rPr>
        <w:t xml:space="preserve">Simple “if keyword in query” matching fails in context-dependent scenarios. The word “building” in “facilities near a building” has completely different semantic intent than “building” in “what are the building codes for commercial properties.” Substring matching cannot distinguish these contexts.</w:t>
      </w:r>
    </w:p>
    <w:p>
      <w:pPr>
        <w:pStyle w:val="Heading2"/>
        <w:spacing w:after="160" w:before="300"/>
      </w:pPr>
      <w:r>
        <w:rPr>
          <w:rFonts w:ascii="Arial" w:cs="Arial" w:eastAsia="Arial" w:hAnsi="Arial"/>
          <w:b/>
          <w:bCs/>
          <w:color w:val="3730A3"/>
          <w:sz w:val="26"/>
          <w:szCs w:val="26"/>
        </w:rPr>
        <w:t xml:space="preserve">5.2 Recommended Hybrid Architecture</w:t>
      </w:r>
    </w:p>
    <w:p>
      <w:pPr>
        <w:spacing w:after="160" w:line="300"/>
      </w:pPr>
      <w:r>
        <w:rPr>
          <w:rFonts w:ascii="Arial" w:cs="Arial" w:eastAsia="Arial" w:hAnsi="Arial"/>
          <w:color w:val="1E293B"/>
          <w:sz w:val="22"/>
          <w:szCs w:val="22"/>
        </w:rPr>
        <w:t xml:space="preserve">A two-stage pipeline (replacing the original three-stage design) balances speed, accuracy, and maintainability:</w:t>
      </w:r>
    </w:p>
    <w:p>
      <w:pPr>
        <w:spacing w:after="120" w:before="240"/>
      </w:pPr>
      <w:r>
        <w:rPr>
          <w:rFonts w:ascii="Arial" w:cs="Arial" w:eastAsia="Arial" w:hAnsi="Arial"/>
          <w:b/>
          <w:bCs/>
          <w:color w:val="1A2744"/>
          <w:sz w:val="23"/>
          <w:szCs w:val="23"/>
        </w:rPr>
        <w:t xml:space="preserve">Stage 1: Fast Keyword Check (Aho-Corasick Trie)</w:t>
      </w:r>
    </w:p>
    <w:p>
      <w:pPr>
        <w:spacing w:after="160" w:line="300"/>
      </w:pPr>
      <w:r>
        <w:rPr>
          <w:rFonts w:ascii="Arial" w:cs="Arial" w:eastAsia="Arial" w:hAnsi="Arial"/>
          <w:color w:val="1E293B"/>
          <w:sz w:val="22"/>
          <w:szCs w:val="22"/>
        </w:rPr>
        <w:t xml:space="preserve">Replace the current substring matching with an Aho-Corasick trie using the pyahocorasick library. This provides O(n) multi-pattern matching in under 5ms. If no keyword matches, allow the query immediately. If a keyword matches, proceed to Stage 2 for context verification.</w:t>
      </w:r>
    </w:p>
    <w:p>
      <w:pPr>
        <w:spacing w:after="120" w:before="240"/>
      </w:pPr>
      <w:r>
        <w:rPr>
          <w:rFonts w:ascii="Arial" w:cs="Arial" w:eastAsia="Arial" w:hAnsi="Arial"/>
          <w:b/>
          <w:bCs/>
          <w:color w:val="1A2744"/>
          <w:sz w:val="23"/>
          <w:szCs w:val="23"/>
        </w:rPr>
        <w:t xml:space="preserve">Stage 2: Context-Aware Embedding Similarity (MiniLM)</w:t>
      </w:r>
    </w:p>
    <w:p>
      <w:pPr>
        <w:spacing w:after="160" w:line="300"/>
      </w:pPr>
      <w:r>
        <w:rPr>
          <w:rFonts w:ascii="Arial" w:cs="Arial" w:eastAsia="Arial" w:hAnsi="Arial"/>
          <w:color w:val="1E293B"/>
          <w:sz w:val="22"/>
          <w:szCs w:val="22"/>
        </w:rPr>
        <w:t xml:space="preserve">Use sentence-transformers (all-MiniLM-L6-v2) to embed the query and compute cosine similarity against intent category prototypes. If similarity to out-of-scope intents is below the configurable threshold, allow the query. If above the threshold, block it.</w:t>
      </w:r>
    </w:p>
    <w:p>
      <w:pPr>
        <w:spacing w:after="120" w:before="240"/>
      </w:pPr>
      <w:r>
        <w:rPr>
          <w:rFonts w:ascii="Arial" w:cs="Arial" w:eastAsia="Arial" w:hAnsi="Arial"/>
          <w:b/>
          <w:bCs/>
          <w:color w:val="1A2744"/>
          <w:sz w:val="23"/>
          <w:szCs w:val="23"/>
        </w:rPr>
        <w:t xml:space="preserve">Resolving the “Building”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7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Similarity to “Building Code”</w:t>
            </w:r>
          </w:p>
        </w:tc>
        <w:tc>
          <w:tcPr>
            <w:tcW w:type="dxa" w:w="24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What are the building codes for commercial properties?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0.89 (HIGH)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B91C1C"/>
                <w:sz w:val="20"/>
                <w:szCs w:val="20"/>
              </w:rPr>
              <w:t xml:space="preserve">BLOCK</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What treatment standards apply to facilities near a building?</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0.31 (LOW)</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20"/>
                <w:szCs w:val="20"/>
              </w:rPr>
              <w:t xml:space="preserve">ALLOW</w:t>
            </w:r>
          </w:p>
        </w:tc>
      </w:tr>
      <w:tr>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Does the building code require sprinkler systems?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0.92 (HIGH)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B91C1C"/>
                <w:sz w:val="20"/>
                <w:szCs w:val="20"/>
              </w:rPr>
              <w:t xml:space="preserve">BLOCK</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 I construct a building near the Everglades wetland?</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0.45 (MODERATE)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B45309"/>
                <w:sz w:val="20"/>
                <w:szCs w:val="20"/>
              </w:rPr>
              <w:t xml:space="preserve">ALLOW (borderline)</w:t>
            </w:r>
          </w:p>
        </w:tc>
      </w:tr>
    </w:tbl>
    <w:p>
      <w:pPr>
        <w:spacing w:after="120" w:before="120"/>
      </w:pPr>
    </w:p>
    <w:p>
      <w:pPr>
        <w:pStyle w:val="Heading2"/>
        <w:spacing w:after="160" w:before="300"/>
      </w:pPr>
      <w:r>
        <w:rPr>
          <w:rFonts w:ascii="Arial" w:cs="Arial" w:eastAsia="Arial" w:hAnsi="Arial"/>
          <w:b/>
          <w:bCs/>
          <w:color w:val="3730A3"/>
          <w:sz w:val="26"/>
          <w:szCs w:val="26"/>
        </w:rPr>
        <w:t xml:space="preserve">5.3 Expected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Current (Substring)</w:t>
            </w:r>
          </w:p>
        </w:tc>
        <w:tc>
          <w:tcPr>
            <w:tcW w:type="dxa" w:w="348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Proposed (Hybrid)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False Positive Rate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~15–20% (estimated)</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&lt;1%</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False Negative Rate</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&lt;2%</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Latency (typical)</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&lt;1ms</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&lt;10ms (most resolved in Stage 1)</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Latency (worst case)</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&lt;1ms</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~30–50ms (Stage 2)</w:t>
            </w:r>
          </w:p>
        </w:tc>
      </w:tr>
    </w:tbl>
    <w:p>
      <w:pPr>
        <w:spacing w:after="120" w:before="120"/>
      </w:pPr>
    </w:p>
    <w:p>
      <w:pPr>
        <w:pStyle w:val="Heading2"/>
        <w:spacing w:after="160" w:before="300"/>
      </w:pPr>
      <w:r>
        <w:rPr>
          <w:rFonts w:ascii="Arial" w:cs="Arial" w:eastAsia="Arial" w:hAnsi="Arial"/>
          <w:b/>
          <w:bCs/>
          <w:color w:val="3730A3"/>
          <w:sz w:val="26"/>
          <w:szCs w:val="26"/>
        </w:rPr>
        <w:t xml:space="preserve">5.4 Configurable Threshold Tuning</w:t>
      </w:r>
    </w:p>
    <w:p>
      <w:pPr>
        <w:spacing w:after="160" w:line="300"/>
      </w:pPr>
      <w:r>
        <w:rPr>
          <w:rFonts w:ascii="Arial" w:cs="Arial" w:eastAsia="Arial" w:hAnsi="Arial"/>
          <w:color w:val="1E293B"/>
          <w:sz w:val="22"/>
          <w:szCs w:val="22"/>
        </w:rPr>
        <w:t xml:space="preserve">The system should expose a configurable sensitivity threshold through Open WebUI valves: similarity threshold for out-of-scope detection (default 0.65), and a sensitivity mode toggle (strict/balanced/permissive) that adjusts thresholds together.</w:t>
      </w:r>
    </w:p>
    <w:p>
      <w:r>
        <w:br w:type="page"/>
      </w:r>
    </w:p>
    <w:p>
      <w:pPr>
        <w:pStyle w:val="Heading1"/>
        <w:spacing w:after="200" w:before="400"/>
      </w:pPr>
      <w:r>
        <w:rPr>
          <w:rFonts w:ascii="Arial" w:cs="Arial" w:eastAsia="Arial" w:hAnsi="Arial"/>
          <w:b/>
          <w:bCs/>
          <w:color w:val="1A2744"/>
          <w:sz w:val="32"/>
          <w:szCs w:val="32"/>
        </w:rPr>
        <w:t xml:space="preserve">6. RAG-Specific Security Patterns</w:t>
      </w:r>
    </w:p>
    <w:p>
      <w:pPr>
        <w:pStyle w:val="Heading2"/>
        <w:spacing w:after="160" w:before="300"/>
      </w:pPr>
      <w:r>
        <w:rPr>
          <w:rFonts w:ascii="Arial" w:cs="Arial" w:eastAsia="Arial" w:hAnsi="Arial"/>
          <w:b/>
          <w:bCs/>
          <w:color w:val="3730A3"/>
          <w:sz w:val="26"/>
          <w:szCs w:val="26"/>
        </w:rPr>
        <w:t xml:space="preserve">6.1 GraphRAG-Specific Vulnerabilities</w:t>
      </w:r>
    </w:p>
    <w:p>
      <w:pPr>
        <w:pStyle w:val="ListParagraph"/>
        <w:numPr>
          <w:ilvl w:val="0"/>
          <w:numId w:val="2"/>
        </w:numPr>
        <w:spacing w:after="80" w:line="280"/>
      </w:pPr>
      <w:r>
        <w:rPr>
          <w:rFonts w:ascii="Arial" w:cs="Arial" w:eastAsia="Arial" w:hAnsi="Arial"/>
          <w:b/>
          <w:bCs/>
          <w:color w:val="1E293B"/>
          <w:sz w:val="22"/>
          <w:szCs w:val="22"/>
        </w:rPr>
        <w:t xml:space="preserve">Cypher Injection (CVE-2024-8309): </w:t>
      </w:r>
      <w:r>
        <w:rPr>
          <w:rFonts w:ascii="Arial" w:cs="Arial" w:eastAsia="Arial" w:hAnsi="Arial"/>
          <w:color w:val="1E293B"/>
          <w:sz w:val="22"/>
          <w:szCs w:val="22"/>
        </w:rPr>
        <w:t xml:space="preserve">User input embedded in LLM-generated Cypher queries without sanitization. Mitigate by parameterizing all queries.</w:t>
      </w:r>
    </w:p>
    <w:p>
      <w:pPr>
        <w:pStyle w:val="ListParagraph"/>
        <w:numPr>
          <w:ilvl w:val="0"/>
          <w:numId w:val="2"/>
        </w:numPr>
        <w:spacing w:after="80" w:line="280"/>
      </w:pPr>
      <w:r>
        <w:rPr>
          <w:rFonts w:ascii="Arial" w:cs="Arial" w:eastAsia="Arial" w:hAnsi="Arial"/>
          <w:b/>
          <w:bCs/>
          <w:color w:val="1E293B"/>
          <w:sz w:val="22"/>
          <w:szCs w:val="22"/>
        </w:rPr>
        <w:t xml:space="preserve">Cross-tenant leakage: </w:t>
      </w:r>
      <w:r>
        <w:rPr>
          <w:rFonts w:ascii="Arial" w:cs="Arial" w:eastAsia="Arial" w:hAnsi="Arial"/>
          <w:color w:val="1E293B"/>
          <w:sz w:val="22"/>
          <w:szCs w:val="22"/>
        </w:rPr>
        <w:t xml:space="preserve">Queries from one jurisdiction retrieving context from another without proper access control.</w:t>
      </w:r>
    </w:p>
    <w:p>
      <w:pPr>
        <w:pStyle w:val="ListParagraph"/>
        <w:numPr>
          <w:ilvl w:val="0"/>
          <w:numId w:val="2"/>
        </w:numPr>
        <w:spacing w:after="80" w:line="280"/>
      </w:pPr>
      <w:r>
        <w:rPr>
          <w:rFonts w:ascii="Arial" w:cs="Arial" w:eastAsia="Arial" w:hAnsi="Arial"/>
          <w:b/>
          <w:bCs/>
          <w:color w:val="1E293B"/>
          <w:sz w:val="22"/>
          <w:szCs w:val="22"/>
        </w:rPr>
        <w:t xml:space="preserve">Context window flooding: </w:t>
      </w:r>
      <w:r>
        <w:rPr>
          <w:rFonts w:ascii="Arial" w:cs="Arial" w:eastAsia="Arial" w:hAnsi="Arial"/>
          <w:color w:val="1E293B"/>
          <w:sz w:val="22"/>
          <w:szCs w:val="22"/>
        </w:rPr>
        <w:t xml:space="preserve">Overwhelming the context to push system prompt constraints out of the active window.</w:t>
      </w:r>
    </w:p>
    <w:p>
      <w:pPr>
        <w:pStyle w:val="ListParagraph"/>
        <w:numPr>
          <w:ilvl w:val="0"/>
          <w:numId w:val="2"/>
        </w:numPr>
        <w:spacing w:after="80" w:line="280"/>
      </w:pPr>
      <w:r>
        <w:rPr>
          <w:rFonts w:ascii="Arial" w:cs="Arial" w:eastAsia="Arial" w:hAnsi="Arial"/>
          <w:b/>
          <w:bCs/>
          <w:color w:val="1E293B"/>
          <w:sz w:val="22"/>
          <w:szCs w:val="22"/>
        </w:rPr>
        <w:t xml:space="preserve">GragPoison: </w:t>
      </w:r>
      <w:r>
        <w:rPr>
          <w:rFonts w:ascii="Arial" w:cs="Arial" w:eastAsia="Arial" w:hAnsi="Arial"/>
          <w:color w:val="1E293B"/>
          <w:sz w:val="22"/>
          <w:szCs w:val="22"/>
        </w:rPr>
        <w:t xml:space="preserve">Exploits shared relations in knowledge graphs to poison multiple queries simultaneously.</w:t>
      </w:r>
    </w:p>
    <w:p>
      <w:pPr>
        <w:pStyle w:val="Heading2"/>
        <w:spacing w:after="160" w:before="300"/>
      </w:pPr>
      <w:r>
        <w:rPr>
          <w:rFonts w:ascii="Arial" w:cs="Arial" w:eastAsia="Arial" w:hAnsi="Arial"/>
          <w:b/>
          <w:bCs/>
          <w:color w:val="3730A3"/>
          <w:sz w:val="26"/>
          <w:szCs w:val="26"/>
        </w:rPr>
        <w:t xml:space="preserve">6.2 Document Poisoning Defense</w:t>
      </w:r>
    </w:p>
    <w:p>
      <w:pPr>
        <w:spacing w:after="160" w:line="300"/>
      </w:pPr>
      <w:r>
        <w:rPr>
          <w:rFonts w:ascii="Arial" w:cs="Arial" w:eastAsia="Arial" w:hAnsi="Arial"/>
          <w:color w:val="1E293B"/>
          <w:sz w:val="22"/>
          <w:szCs w:val="22"/>
        </w:rPr>
        <w:t xml:space="preserve">RAG data poisoning attacks inject malicious instructions into knowledge base documents. Research shows these succeed 95% of the time without defense. For RegOS, the municipal code knowledge base is a controlled corpus, but the attack surface includes document ingestion pipelines and any future expansion to external sources.</w:t>
      </w:r>
    </w:p>
    <w:p>
      <w:pPr>
        <w:spacing w:after="160" w:line="300"/>
      </w:pPr>
      <w:r>
        <w:rPr>
          <w:rFonts w:ascii="Arial" w:cs="Arial" w:eastAsia="Arial" w:hAnsi="Arial"/>
          <w:b/>
          <w:bCs/>
          <w:color w:val="1E293B"/>
          <w:sz w:val="22"/>
          <w:szCs w:val="22"/>
        </w:rPr>
        <w:t xml:space="preserve">Practical approach: </w:t>
      </w:r>
      <w:r>
        <w:rPr>
          <w:rFonts w:ascii="Arial" w:cs="Arial" w:eastAsia="Arial" w:hAnsi="Arial"/>
          <w:color w:val="1E293B"/>
          <w:sz w:val="22"/>
          <w:szCs w:val="22"/>
        </w:rPr>
        <w:t xml:space="preserve">For our current stage, pre-ingestion scanning and retrieval filtering are sufficient. Embedding anomaly detection at ingestion adds substantial complexity without proportionate benefit right now — it can be layered in later if we expand to external document sources.</w:t>
      </w:r>
    </w:p>
    <w:p>
      <w:pPr>
        <w:pStyle w:val="Heading2"/>
        <w:spacing w:after="160" w:before="300"/>
      </w:pPr>
      <w:r>
        <w:rPr>
          <w:rFonts w:ascii="Arial" w:cs="Arial" w:eastAsia="Arial" w:hAnsi="Arial"/>
          <w:b/>
          <w:bCs/>
          <w:color w:val="3730A3"/>
          <w:sz w:val="26"/>
          <w:szCs w:val="26"/>
        </w:rPr>
        <w:t xml:space="preserve">6.3 Output Validation (Critical)</w:t>
      </w:r>
    </w:p>
    <w:p>
      <w:pPr>
        <w:pBdr>
          <w:left w:val="single" w:color="B91C1C" w:sz="14" w:space="8"/>
        </w:pBdr>
        <w:spacing w:after="160" w:before="160"/>
        <w:ind w:left="480"/>
      </w:pPr>
      <w:r>
        <w:rPr>
          <w:rFonts w:ascii="Arial" w:cs="Arial" w:eastAsia="Arial" w:hAnsi="Arial"/>
          <w:b/>
          <w:bCs/>
          <w:color w:val="1E293B"/>
          <w:sz w:val="22"/>
          <w:szCs w:val="22"/>
        </w:rPr>
        <w:t xml:space="preserve">Incorrect regulatory advice is a bigger reputational risk than prompt injection itself. Output validation must be treated as a first-class concern.</w:t>
      </w:r>
    </w:p>
    <w:p>
      <w:pPr>
        <w:spacing w:after="160" w:line="300"/>
      </w:pPr>
      <w:r>
        <w:rPr>
          <w:rFonts w:ascii="Arial" w:cs="Arial" w:eastAsia="Arial" w:hAnsi="Arial"/>
          <w:color w:val="1E293B"/>
          <w:sz w:val="22"/>
          <w:szCs w:val="22"/>
        </w:rPr>
        <w:t xml:space="preserve">Post-generation guardrails should include:</w:t>
      </w:r>
    </w:p>
    <w:p>
      <w:pPr>
        <w:pStyle w:val="ListParagraph"/>
        <w:numPr>
          <w:ilvl w:val="0"/>
          <w:numId w:val="2"/>
        </w:numPr>
        <w:spacing w:after="80" w:line="280"/>
      </w:pPr>
      <w:r>
        <w:rPr>
          <w:rFonts w:ascii="Arial" w:cs="Arial" w:eastAsia="Arial" w:hAnsi="Arial"/>
          <w:b/>
          <w:bCs/>
          <w:color w:val="1E293B"/>
          <w:sz w:val="22"/>
          <w:szCs w:val="22"/>
        </w:rPr>
        <w:t xml:space="preserve">Citation grounding verification: </w:t>
      </w:r>
      <w:r>
        <w:rPr>
          <w:rFonts w:ascii="Arial" w:cs="Arial" w:eastAsia="Arial" w:hAnsi="Arial"/>
          <w:color w:val="1E293B"/>
          <w:sz w:val="22"/>
          <w:szCs w:val="22"/>
        </w:rPr>
        <w:t xml:space="preserve">Every regulatory claim in the response must trace back to a retrieved document chunk.</w:t>
      </w:r>
    </w:p>
    <w:p>
      <w:pPr>
        <w:pStyle w:val="ListParagraph"/>
        <w:numPr>
          <w:ilvl w:val="0"/>
          <w:numId w:val="2"/>
        </w:numPr>
        <w:spacing w:after="80" w:line="280"/>
      </w:pPr>
      <w:r>
        <w:rPr>
          <w:rFonts w:ascii="Arial" w:cs="Arial" w:eastAsia="Arial" w:hAnsi="Arial"/>
          <w:b/>
          <w:bCs/>
          <w:color w:val="1E293B"/>
          <w:sz w:val="22"/>
          <w:szCs w:val="22"/>
        </w:rPr>
        <w:t xml:space="preserve">Faithfulness scoring: </w:t>
      </w:r>
      <w:r>
        <w:rPr>
          <w:rFonts w:ascii="Arial" w:cs="Arial" w:eastAsia="Arial" w:hAnsi="Arial"/>
          <w:color w:val="1E293B"/>
          <w:sz w:val="22"/>
          <w:szCs w:val="22"/>
        </w:rPr>
        <w:t xml:space="preserve">Compare response claims against retrieved GraphRAG context to catch hallucinated interpretations.</w:t>
      </w:r>
    </w:p>
    <w:p>
      <w:pPr>
        <w:pStyle w:val="ListParagraph"/>
        <w:numPr>
          <w:ilvl w:val="0"/>
          <w:numId w:val="2"/>
        </w:numPr>
        <w:spacing w:after="80" w:line="280"/>
      </w:pPr>
      <w:r>
        <w:rPr>
          <w:rFonts w:ascii="Arial" w:cs="Arial" w:eastAsia="Arial" w:hAnsi="Arial"/>
          <w:b/>
          <w:bCs/>
          <w:color w:val="1E293B"/>
          <w:sz w:val="22"/>
          <w:szCs w:val="22"/>
        </w:rPr>
        <w:t xml:space="preserve">Structure validation: </w:t>
      </w:r>
      <w:r>
        <w:rPr>
          <w:rFonts w:ascii="Arial" w:cs="Arial" w:eastAsia="Arial" w:hAnsi="Arial"/>
          <w:color w:val="1E293B"/>
          <w:sz w:val="22"/>
          <w:szCs w:val="22"/>
        </w:rPr>
        <w:t xml:space="preserve">Ensure responses reference valid section numbers and don’t fabricate ordinance citations.</w:t>
      </w:r>
    </w:p>
    <w:p>
      <w:r>
        <w:br w:type="page"/>
      </w:r>
    </w:p>
    <w:p>
      <w:pPr>
        <w:pStyle w:val="Heading1"/>
        <w:spacing w:after="200" w:before="400"/>
      </w:pPr>
      <w:r>
        <w:rPr>
          <w:rFonts w:ascii="Arial" w:cs="Arial" w:eastAsia="Arial" w:hAnsi="Arial"/>
          <w:b/>
          <w:bCs/>
          <w:color w:val="1A2744"/>
          <w:sz w:val="32"/>
          <w:szCs w:val="32"/>
        </w:rPr>
        <w:t xml:space="preserve">7. Additional Risks to Address</w:t>
      </w:r>
    </w:p>
    <w:p>
      <w:pPr>
        <w:pStyle w:val="Heading2"/>
        <w:spacing w:after="160" w:before="300"/>
      </w:pPr>
      <w:r>
        <w:rPr>
          <w:rFonts w:ascii="Arial" w:cs="Arial" w:eastAsia="Arial" w:hAnsi="Arial"/>
          <w:b/>
          <w:bCs/>
          <w:color w:val="3730A3"/>
          <w:sz w:val="26"/>
          <w:szCs w:val="26"/>
        </w:rPr>
        <w:t xml:space="preserve">7.1 Tool Invocation Injection</w:t>
      </w:r>
    </w:p>
    <w:p>
      <w:pPr>
        <w:spacing w:after="160" w:line="300"/>
      </w:pPr>
      <w:r>
        <w:rPr>
          <w:rFonts w:ascii="Arial" w:cs="Arial" w:eastAsia="Arial" w:hAnsi="Arial"/>
          <w:color w:val="1E293B"/>
          <w:sz w:val="22"/>
          <w:szCs w:val="22"/>
        </w:rPr>
        <w:t xml:space="preserve">If RegOS eventually integrates tools (database queries, document upload pipelines, permit APIs), prompt injection could cause the model to misuse them. Each tool must have strict permission validation: the model should never be able to invoke a tool without explicit authorization checks independent of the prompt context.</w:t>
      </w:r>
    </w:p>
    <w:p>
      <w:pPr>
        <w:pStyle w:val="Heading2"/>
        <w:spacing w:after="160" w:before="300"/>
      </w:pPr>
      <w:r>
        <w:rPr>
          <w:rFonts w:ascii="Arial" w:cs="Arial" w:eastAsia="Arial" w:hAnsi="Arial"/>
          <w:b/>
          <w:bCs/>
          <w:color w:val="3730A3"/>
          <w:sz w:val="26"/>
          <w:szCs w:val="26"/>
        </w:rPr>
        <w:t xml:space="preserve">7.2 Token Exhaustion Attacks</w:t>
      </w:r>
    </w:p>
    <w:p>
      <w:pPr>
        <w:spacing w:after="160" w:line="300"/>
      </w:pPr>
      <w:r>
        <w:rPr>
          <w:rFonts w:ascii="Arial" w:cs="Arial" w:eastAsia="Arial" w:hAnsi="Arial"/>
          <w:color w:val="1E293B"/>
          <w:sz w:val="22"/>
          <w:szCs w:val="22"/>
        </w:rPr>
        <w:t xml:space="preserve">Users can send very large prompts to slow down the system or exhaust compute resources. Mitigation requires strict token limits on input queries, query truncation at the application boundary, and rate limiting per user/session. These are Phase 1 defenses and should be deployed immediately.</w:t>
      </w:r>
    </w:p>
    <w:p>
      <w:pPr>
        <w:pStyle w:val="Heading1"/>
        <w:spacing w:after="200" w:before="400"/>
      </w:pPr>
      <w:r>
        <w:rPr>
          <w:rFonts w:ascii="Arial" w:cs="Arial" w:eastAsia="Arial" w:hAnsi="Arial"/>
          <w:b/>
          <w:bCs/>
          <w:color w:val="1A2744"/>
          <w:sz w:val="32"/>
          <w:szCs w:val="32"/>
        </w:rPr>
        <w:t xml:space="preserve">8. Implementation Plan</w:t>
      </w:r>
    </w:p>
    <w:p>
      <w:pPr>
        <w:spacing w:after="160" w:line="300"/>
      </w:pPr>
      <w:r>
        <w:rPr>
          <w:rFonts w:ascii="Arial" w:cs="Arial" w:eastAsia="Arial" w:hAnsi="Arial"/>
          <w:color w:val="1E293B"/>
          <w:sz w:val="22"/>
          <w:szCs w:val="22"/>
        </w:rPr>
        <w:t xml:space="preserve">This plan replaces the original sprint-based timeline with a phased approach prioritizing practical defenses that can ship quickly. Advanced techniques are layered in only where they add real value.</w:t>
      </w:r>
    </w:p>
    <w:p>
      <w:pPr>
        <w:pStyle w:val="Heading2"/>
        <w:spacing w:after="160" w:before="300"/>
      </w:pPr>
      <w:r>
        <w:rPr>
          <w:rFonts w:ascii="Arial" w:cs="Arial" w:eastAsia="Arial" w:hAnsi="Arial"/>
          <w:b/>
          <w:bCs/>
          <w:color w:val="3730A3"/>
          <w:sz w:val="26"/>
          <w:szCs w:val="26"/>
        </w:rPr>
        <w:t xml:space="preserve">Phase 1 — Immediate Security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Deploy LLM Guard within the OpenWebUI pipeline</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Immediate injection + PII detection</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Add regex-based prompt injection detection</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Catches known injection patterns</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Enforce strict token limits for input queries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Prevents token exhaustion attacks</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Parameterize all Cypher queries</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Prevents CVE-2024-8309 injection</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Add basic prompt hardening in the system prompt</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Instruction hierarchy, trusted/untrusted separation</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Implement rate limiting per user/session</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Prevents abuse and resource exhaustion</w:t>
            </w:r>
          </w:p>
        </w:tc>
      </w:tr>
    </w:tbl>
    <w:p>
      <w:pPr>
        <w:spacing w:after="120" w:before="120"/>
      </w:pPr>
    </w:p>
    <w:p>
      <w:pPr>
        <w:pStyle w:val="Heading2"/>
        <w:spacing w:after="160" w:before="300"/>
      </w:pPr>
      <w:r>
        <w:rPr>
          <w:rFonts w:ascii="Arial" w:cs="Arial" w:eastAsia="Arial" w:hAnsi="Arial"/>
          <w:b/>
          <w:bCs/>
          <w:color w:val="3730A3"/>
          <w:sz w:val="26"/>
          <w:szCs w:val="26"/>
        </w:rPr>
        <w:t xml:space="preserve">Phase 2 — Domain-Aware Scope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Replace substring matching with Aho-Corasick</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Faster, multi-pattern keyword detection</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Implement MiniLM embedding similarity scoring</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Eliminates false positives from keyword ambiguity</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Add configurable threshold tuning via Open WebUI valves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Admins can adjust sensitivity</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Deploy canary tokens for system prompt leak monitoring</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Diagnostics and alerting (not blocking)</w:t>
            </w:r>
          </w:p>
        </w:tc>
      </w:tr>
    </w:tbl>
    <w:p>
      <w:pPr>
        <w:spacing w:after="120" w:before="120"/>
      </w:pPr>
    </w:p>
    <w:p>
      <w:pPr>
        <w:pStyle w:val="Heading2"/>
        <w:spacing w:after="160" w:before="300"/>
      </w:pPr>
      <w:r>
        <w:rPr>
          <w:rFonts w:ascii="Arial" w:cs="Arial" w:eastAsia="Arial" w:hAnsi="Arial"/>
          <w:b/>
          <w:bCs/>
          <w:color w:val="3730A3"/>
          <w:sz w:val="26"/>
          <w:szCs w:val="26"/>
        </w:rPr>
        <w:t xml:space="preserve">Phase 3 — RAG Output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Implement citation grounding verification</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Every claim must trace to a source chunk</w:t>
            </w:r>
          </w:p>
        </w:tc>
      </w:tr>
      <w:tr>
        <w:tc>
          <w:tcPr>
            <w:tcW w:type="dxa" w:w="5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Add basic faithfulness scoring against retrieved documents</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Catches hallucinated regulatory interpretations</w:t>
            </w:r>
          </w:p>
        </w:tc>
      </w:tr>
      <w:tr>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Validate response structure and regulatory references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No fabricated section numbers or ordinance citations</w:t>
            </w:r>
          </w:p>
        </w:tc>
      </w:tr>
    </w:tbl>
    <w:p>
      <w:pPr>
        <w:spacing w:after="120" w:before="120"/>
      </w:pPr>
    </w:p>
    <w:p>
      <w:pPr>
        <w:pBdr>
          <w:left w:val="single" w:color="6366F1" w:sz="14" w:space="8"/>
        </w:pBdr>
        <w:spacing w:after="160" w:before="160"/>
        <w:ind w:left="480"/>
      </w:pPr>
      <w:r>
        <w:rPr>
          <w:rFonts w:ascii="Arial" w:cs="Arial" w:eastAsia="Arial" w:hAnsi="Arial"/>
          <w:i/>
          <w:iCs/>
          <w:color w:val="1E293B"/>
          <w:sz w:val="21"/>
          <w:szCs w:val="21"/>
        </w:rPr>
        <w:t xml:space="preserve">Once the baseline is stable, more advanced techniques (embedding anomaly detection, document pre-ingestion scanning, streaming hallucination detection) can be layered in where they add real value. These are not necessary for where RegOS is today.</w:t>
      </w:r>
    </w:p>
    <w:p>
      <w:r>
        <w:br w:type="page"/>
      </w:r>
    </w:p>
    <w:p>
      <w:pPr>
        <w:pStyle w:val="Heading1"/>
        <w:spacing w:after="200" w:before="400"/>
      </w:pPr>
      <w:r>
        <w:rPr>
          <w:rFonts w:ascii="Arial" w:cs="Arial" w:eastAsia="Arial" w:hAnsi="Arial"/>
          <w:b/>
          <w:bCs/>
          <w:color w:val="1A2744"/>
          <w:sz w:val="32"/>
          <w:szCs w:val="32"/>
        </w:rPr>
        <w:t xml:space="preserve">9. Tools &amp; Dependencies</w:t>
      </w:r>
    </w:p>
    <w:p>
      <w:pPr>
        <w:pStyle w:val="Heading2"/>
        <w:spacing w:after="160" w:before="300"/>
      </w:pPr>
      <w:r>
        <w:rPr>
          <w:rFonts w:ascii="Arial" w:cs="Arial" w:eastAsia="Arial" w:hAnsi="Arial"/>
          <w:b/>
          <w:bCs/>
          <w:color w:val="3730A3"/>
          <w:sz w:val="26"/>
          <w:szCs w:val="26"/>
        </w:rPr>
        <w:t xml:space="preserve">9.1 Recommended for RegOS</w:t>
      </w:r>
    </w:p>
    <w:p>
      <w:pPr>
        <w:spacing w:after="160" w:line="300"/>
      </w:pPr>
      <w:r>
        <w:rPr>
          <w:rFonts w:ascii="Arial" w:cs="Arial" w:eastAsia="Arial" w:hAnsi="Arial"/>
          <w:b/>
          <w:bCs/>
          <w:color w:val="1E293B"/>
          <w:sz w:val="22"/>
          <w:szCs w:val="22"/>
        </w:rPr>
        <w:t xml:space="preserve">LLM Guard </w:t>
      </w:r>
      <w:r>
        <w:rPr>
          <w:rFonts w:ascii="Arial" w:cs="Arial" w:eastAsia="Arial" w:hAnsi="Arial"/>
          <w:color w:val="1E293B"/>
          <w:sz w:val="22"/>
          <w:szCs w:val="22"/>
        </w:rPr>
        <w:t xml:space="preserve">(Phase 1): Integrates natively with Open WebUI pipelines. Provides prompt injection and PII detection out of the box. Deploy as the immediate first step.</w:t>
      </w:r>
    </w:p>
    <w:p>
      <w:pPr>
        <w:spacing w:after="160" w:line="300"/>
      </w:pPr>
      <w:r>
        <w:rPr>
          <w:rFonts w:ascii="Arial" w:cs="Arial" w:eastAsia="Arial" w:hAnsi="Arial"/>
          <w:b/>
          <w:bCs/>
          <w:color w:val="1E293B"/>
          <w:sz w:val="22"/>
          <w:szCs w:val="22"/>
        </w:rPr>
        <w:t xml:space="preserve">sentence-transformers </w:t>
      </w:r>
      <w:r>
        <w:rPr>
          <w:rFonts w:ascii="Arial" w:cs="Arial" w:eastAsia="Arial" w:hAnsi="Arial"/>
          <w:color w:val="1E293B"/>
          <w:sz w:val="22"/>
          <w:szCs w:val="22"/>
        </w:rPr>
        <w:t xml:space="preserve">(Phase 2): all-MiniLM-L6-v2 for embedding-based scope detection. Best accuracy-to-latency ratio for custom guardrails.</w:t>
      </w:r>
    </w:p>
    <w:p>
      <w:pPr>
        <w:spacing w:after="160" w:line="300"/>
      </w:pPr>
      <w:r>
        <w:rPr>
          <w:rFonts w:ascii="Arial" w:cs="Arial" w:eastAsia="Arial" w:hAnsi="Arial"/>
          <w:b/>
          <w:bCs/>
          <w:color w:val="1E293B"/>
          <w:sz w:val="22"/>
          <w:szCs w:val="22"/>
        </w:rPr>
        <w:t xml:space="preserve">pyahocorasick </w:t>
      </w:r>
      <w:r>
        <w:rPr>
          <w:rFonts w:ascii="Arial" w:cs="Arial" w:eastAsia="Arial" w:hAnsi="Arial"/>
          <w:color w:val="1E293B"/>
          <w:sz w:val="22"/>
          <w:szCs w:val="22"/>
        </w:rPr>
        <w:t xml:space="preserve">(Phase 2): Fast multi-pattern keyword matching to replace substring checks.</w:t>
      </w:r>
    </w:p>
    <w:p>
      <w:pPr>
        <w:spacing w:after="160" w:line="300"/>
      </w:pPr>
      <w:r>
        <w:rPr>
          <w:rFonts w:ascii="Arial" w:cs="Arial" w:eastAsia="Arial" w:hAnsi="Arial"/>
          <w:b/>
          <w:bCs/>
          <w:color w:val="1E293B"/>
          <w:sz w:val="22"/>
          <w:szCs w:val="22"/>
        </w:rPr>
        <w:t xml:space="preserve">scikit-learn </w:t>
      </w:r>
      <w:r>
        <w:rPr>
          <w:rFonts w:ascii="Arial" w:cs="Arial" w:eastAsia="Arial" w:hAnsi="Arial"/>
          <w:color w:val="1E293B"/>
          <w:sz w:val="22"/>
          <w:szCs w:val="22"/>
        </w:rPr>
        <w:t xml:space="preserve">(Phase 2): ROC curve analysis for optimal threshold selection, TunedThresholdClassifierCV.</w:t>
      </w:r>
    </w:p>
    <w:p>
      <w:pPr>
        <w:pStyle w:val="Heading2"/>
        <w:spacing w:after="160" w:before="300"/>
      </w:pPr>
      <w:r>
        <w:rPr>
          <w:rFonts w:ascii="Arial" w:cs="Arial" w:eastAsia="Arial" w:hAnsi="Arial"/>
          <w:b/>
          <w:bCs/>
          <w:color w:val="3730A3"/>
          <w:sz w:val="26"/>
          <w:szCs w:val="26"/>
        </w:rPr>
        <w:t xml:space="preserve">9.2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16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llm-guard</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Multi-scanner: injection, PII, jailbreak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Phase 1</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sentence-transformers</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Semantic embeddings for scope classification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pyahocorasick</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Fast multi-pattern keyword matching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scikit-learn</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Threshold tuning, ROC analysis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B45309"/>
                <w:sz w:val="20"/>
                <w:szCs w:val="20"/>
              </w:rPr>
              <w:t xml:space="preserve">Phase 2</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4155"/>
                <w:sz w:val="20"/>
                <w:szCs w:val="20"/>
              </w:rPr>
              <w:t xml:space="preserve">presidio-analyzer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4155"/>
                <w:sz w:val="20"/>
                <w:szCs w:val="20"/>
              </w:rPr>
              <w:t xml:space="preserve">PII detection and anonymization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B45309"/>
                <w:sz w:val="20"/>
                <w:szCs w:val="20"/>
              </w:rPr>
              <w:t xml:space="preserve">Phase 3</w:t>
            </w:r>
          </w:p>
        </w:tc>
      </w:tr>
    </w:tbl>
    <w:p>
      <w:pPr>
        <w:spacing w:after="120" w:before="120"/>
      </w:pPr>
    </w:p>
    <w:p>
      <w:pPr>
        <w:pStyle w:val="Heading1"/>
        <w:spacing w:after="200" w:before="400"/>
      </w:pPr>
      <w:r>
        <w:rPr>
          <w:rFonts w:ascii="Arial" w:cs="Arial" w:eastAsia="Arial" w:hAnsi="Arial"/>
          <w:b/>
          <w:bCs/>
          <w:color w:val="1A2744"/>
          <w:sz w:val="32"/>
          <w:szCs w:val="32"/>
        </w:rPr>
        <w:t xml:space="preserve">10. Key References</w:t>
      </w:r>
    </w:p>
    <w:p>
      <w:pPr>
        <w:pStyle w:val="Heading2"/>
        <w:spacing w:after="160" w:before="300"/>
      </w:pPr>
      <w:r>
        <w:rPr>
          <w:rFonts w:ascii="Arial" w:cs="Arial" w:eastAsia="Arial" w:hAnsi="Arial"/>
          <w:b/>
          <w:bCs/>
          <w:color w:val="3730A3"/>
          <w:sz w:val="26"/>
          <w:szCs w:val="26"/>
        </w:rPr>
        <w:t xml:space="preserve">10.1 Industry Frameworks</w:t>
      </w:r>
    </w:p>
    <w:p>
      <w:pPr>
        <w:pStyle w:val="ListParagraph"/>
        <w:numPr>
          <w:ilvl w:val="0"/>
          <w:numId w:val="2"/>
        </w:numPr>
        <w:spacing w:after="80" w:line="280"/>
      </w:pPr>
      <w:r>
        <w:rPr>
          <w:rFonts w:ascii="Arial" w:cs="Arial" w:eastAsia="Arial" w:hAnsi="Arial"/>
          <w:color w:val="1E293B"/>
          <w:sz w:val="22"/>
          <w:szCs w:val="22"/>
        </w:rPr>
        <w:t xml:space="preserve">OWASP LLM01:2025 Prompt Injection — genai.owasp.org/llmrisk/llm01-prompt-injection/</w:t>
      </w:r>
    </w:p>
    <w:p>
      <w:pPr>
        <w:pStyle w:val="ListParagraph"/>
        <w:numPr>
          <w:ilvl w:val="0"/>
          <w:numId w:val="2"/>
        </w:numPr>
        <w:spacing w:after="80" w:line="280"/>
      </w:pPr>
      <w:r>
        <w:rPr>
          <w:rFonts w:ascii="Arial" w:cs="Arial" w:eastAsia="Arial" w:hAnsi="Arial"/>
          <w:color w:val="1E293B"/>
          <w:sz w:val="22"/>
          <w:szCs w:val="22"/>
        </w:rPr>
        <w:t xml:space="preserve">OWASP Prompt Injection Prevention Cheat Sheet — cheatsheetseries.owasp.org</w:t>
      </w:r>
    </w:p>
    <w:p>
      <w:pPr>
        <w:pStyle w:val="ListParagraph"/>
        <w:numPr>
          <w:ilvl w:val="0"/>
          <w:numId w:val="2"/>
        </w:numPr>
        <w:spacing w:after="80" w:line="280"/>
      </w:pPr>
      <w:r>
        <w:rPr>
          <w:rFonts w:ascii="Arial" w:cs="Arial" w:eastAsia="Arial" w:hAnsi="Arial"/>
          <w:color w:val="1E293B"/>
          <w:sz w:val="22"/>
          <w:szCs w:val="22"/>
        </w:rPr>
        <w:t xml:space="preserve">NIST AI 100-1 Risk Management Framework — nvlpubs.nist.gov/nistpubs/ai/nist.ai.100-1.pdf</w:t>
      </w:r>
    </w:p>
    <w:p>
      <w:pPr>
        <w:pStyle w:val="ListParagraph"/>
        <w:numPr>
          <w:ilvl w:val="0"/>
          <w:numId w:val="2"/>
        </w:numPr>
        <w:spacing w:after="80" w:line="280"/>
      </w:pPr>
      <w:r>
        <w:rPr>
          <w:rFonts w:ascii="Arial" w:cs="Arial" w:eastAsia="Arial" w:hAnsi="Arial"/>
          <w:color w:val="1E293B"/>
          <w:sz w:val="22"/>
          <w:szCs w:val="22"/>
        </w:rPr>
        <w:t xml:space="preserve">NIST AI 600-1 Generative AI Profile — nist.gov/itl/ai-risk-management-framework</w:t>
      </w:r>
    </w:p>
    <w:p>
      <w:pPr>
        <w:pStyle w:val="Heading2"/>
        <w:spacing w:after="160" w:before="300"/>
      </w:pPr>
      <w:r>
        <w:rPr>
          <w:rFonts w:ascii="Arial" w:cs="Arial" w:eastAsia="Arial" w:hAnsi="Arial"/>
          <w:b/>
          <w:bCs/>
          <w:color w:val="3730A3"/>
          <w:sz w:val="26"/>
          <w:szCs w:val="26"/>
        </w:rPr>
        <w:t xml:space="preserve">10.2 Production Tools</w:t>
      </w:r>
    </w:p>
    <w:p>
      <w:pPr>
        <w:pStyle w:val="ListParagraph"/>
        <w:numPr>
          <w:ilvl w:val="0"/>
          <w:numId w:val="2"/>
        </w:numPr>
        <w:spacing w:after="80" w:line="280"/>
      </w:pPr>
      <w:r>
        <w:rPr>
          <w:rFonts w:ascii="Arial" w:cs="Arial" w:eastAsia="Arial" w:hAnsi="Arial"/>
          <w:color w:val="1E293B"/>
          <w:sz w:val="22"/>
          <w:szCs w:val="22"/>
        </w:rPr>
        <w:t xml:space="preserve">Lakera Guard — docs.lakera.ai/guard</w:t>
      </w:r>
    </w:p>
    <w:p>
      <w:pPr>
        <w:pStyle w:val="ListParagraph"/>
        <w:numPr>
          <w:ilvl w:val="0"/>
          <w:numId w:val="2"/>
        </w:numPr>
        <w:spacing w:after="80" w:line="280"/>
      </w:pPr>
      <w:r>
        <w:rPr>
          <w:rFonts w:ascii="Arial" w:cs="Arial" w:eastAsia="Arial" w:hAnsi="Arial"/>
          <w:color w:val="1E293B"/>
          <w:sz w:val="22"/>
          <w:szCs w:val="22"/>
        </w:rPr>
        <w:t xml:space="preserve">NeMo Guardrails — github.com/NVIDIA-NeMo/Guardrails</w:t>
      </w:r>
    </w:p>
    <w:p>
      <w:pPr>
        <w:pStyle w:val="ListParagraph"/>
        <w:numPr>
          <w:ilvl w:val="0"/>
          <w:numId w:val="2"/>
        </w:numPr>
        <w:spacing w:after="80" w:line="280"/>
      </w:pPr>
      <w:r>
        <w:rPr>
          <w:rFonts w:ascii="Arial" w:cs="Arial" w:eastAsia="Arial" w:hAnsi="Arial"/>
          <w:color w:val="1E293B"/>
          <w:sz w:val="22"/>
          <w:szCs w:val="22"/>
        </w:rPr>
        <w:t xml:space="preserve">LLM Guard — protectai.com/llm-guard</w:t>
      </w:r>
    </w:p>
    <w:p>
      <w:pPr>
        <w:pStyle w:val="ListParagraph"/>
        <w:numPr>
          <w:ilvl w:val="0"/>
          <w:numId w:val="2"/>
        </w:numPr>
        <w:spacing w:after="80" w:line="280"/>
      </w:pPr>
      <w:r>
        <w:rPr>
          <w:rFonts w:ascii="Arial" w:cs="Arial" w:eastAsia="Arial" w:hAnsi="Arial"/>
          <w:color w:val="1E293B"/>
          <w:sz w:val="22"/>
          <w:szCs w:val="22"/>
        </w:rPr>
        <w:t xml:space="preserve">Microsoft Prompt Shield — learn.microsoft.com/en-us/azure/ai-services/content-safety</w:t>
      </w:r>
    </w:p>
    <w:p>
      <w:pPr>
        <w:pStyle w:val="Heading2"/>
        <w:spacing w:after="160" w:before="300"/>
      </w:pPr>
      <w:r>
        <w:rPr>
          <w:rFonts w:ascii="Arial" w:cs="Arial" w:eastAsia="Arial" w:hAnsi="Arial"/>
          <w:b/>
          <w:bCs/>
          <w:color w:val="3730A3"/>
          <w:sz w:val="26"/>
          <w:szCs w:val="26"/>
        </w:rPr>
        <w:t xml:space="preserve">10.3 Academic Papers</w:t>
      </w:r>
    </w:p>
    <w:p>
      <w:pPr>
        <w:pStyle w:val="ListParagraph"/>
        <w:numPr>
          <w:ilvl w:val="0"/>
          <w:numId w:val="2"/>
        </w:numPr>
        <w:spacing w:after="80" w:line="280"/>
      </w:pPr>
      <w:r>
        <w:rPr>
          <w:rFonts w:ascii="Arial" w:cs="Arial" w:eastAsia="Arial" w:hAnsi="Arial"/>
          <w:color w:val="1E293B"/>
          <w:sz w:val="22"/>
          <w:szCs w:val="22"/>
        </w:rPr>
        <w:t xml:space="preserve">PoisonedRAG: Knowledge Corruption Attacks (USENIX Security 2025)</w:t>
      </w:r>
    </w:p>
    <w:p>
      <w:pPr>
        <w:pStyle w:val="ListParagraph"/>
        <w:numPr>
          <w:ilvl w:val="0"/>
          <w:numId w:val="2"/>
        </w:numPr>
        <w:spacing w:after="80" w:line="280"/>
      </w:pPr>
      <w:r>
        <w:rPr>
          <w:rFonts w:ascii="Arial" w:cs="Arial" w:eastAsia="Arial" w:hAnsi="Arial"/>
          <w:color w:val="1E293B"/>
          <w:sz w:val="22"/>
          <w:szCs w:val="22"/>
        </w:rPr>
        <w:t xml:space="preserve">Formalizing and Benchmarking Prompt Injection Attacks and Defenses (arXiv 2310.12815)</w:t>
      </w:r>
    </w:p>
    <w:p>
      <w:pPr>
        <w:pStyle w:val="ListParagraph"/>
        <w:numPr>
          <w:ilvl w:val="0"/>
          <w:numId w:val="2"/>
        </w:numPr>
        <w:spacing w:after="80" w:line="280"/>
      </w:pPr>
      <w:r>
        <w:rPr>
          <w:rFonts w:ascii="Arial" w:cs="Arial" w:eastAsia="Arial" w:hAnsi="Arial"/>
          <w:color w:val="1E293B"/>
          <w:sz w:val="22"/>
          <w:szCs w:val="22"/>
        </w:rPr>
        <w:t xml:space="preserve">FACTUM: Mechanistic Detection of Citation Hallucination (arXiv 2601.05866)</w:t>
      </w:r>
    </w:p>
    <w:p>
      <w:pPr>
        <w:pStyle w:val="ListParagraph"/>
        <w:numPr>
          <w:ilvl w:val="0"/>
          <w:numId w:val="2"/>
        </w:numPr>
        <w:spacing w:after="80" w:line="280"/>
      </w:pPr>
      <w:r>
        <w:rPr>
          <w:rFonts w:ascii="Arial" w:cs="Arial" w:eastAsia="Arial" w:hAnsi="Arial"/>
          <w:color w:val="1E293B"/>
          <w:sz w:val="22"/>
          <w:szCs w:val="22"/>
        </w:rPr>
        <w:t xml:space="preserve">HalluGraph: Auditable Hallucination Detection for Legal RAG (arXiv 2512.01659)</w:t>
      </w:r>
    </w:p>
    <w:p>
      <w:pPr>
        <w:pStyle w:val="ListParagraph"/>
        <w:numPr>
          <w:ilvl w:val="0"/>
          <w:numId w:val="2"/>
        </w:numPr>
        <w:spacing w:after="80" w:line="280"/>
      </w:pPr>
      <w:r>
        <w:rPr>
          <w:rFonts w:ascii="Arial" w:cs="Arial" w:eastAsia="Arial" w:hAnsi="Arial"/>
          <w:color w:val="1E293B"/>
          <w:sz w:val="22"/>
          <w:szCs w:val="22"/>
        </w:rPr>
        <w:t xml:space="preserve">RAGuard: Layered Defense Framework for RAG (OpenReview)</w:t>
      </w:r>
    </w:p>
    <w:p>
      <w:pPr>
        <w:pStyle w:val="ListParagraph"/>
        <w:numPr>
          <w:ilvl w:val="0"/>
          <w:numId w:val="2"/>
        </w:numPr>
        <w:spacing w:after="80" w:line="280"/>
      </w:pPr>
      <w:r>
        <w:rPr>
          <w:rFonts w:ascii="Arial" w:cs="Arial" w:eastAsia="Arial" w:hAnsi="Arial"/>
          <w:color w:val="1E293B"/>
          <w:sz w:val="22"/>
          <w:szCs w:val="22"/>
        </w:rPr>
        <w:t xml:space="preserve">Fine-tuning Sentence Transformers for Intent Classification (arXiv 2410.13649)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744" w:sz="6" w:space="4"/>
      </w:pBdr>
      <w:tabs>
        <w:tab w:val="right" w:pos="9026"/>
      </w:tabs>
    </w:pPr>
    <w:r>
      <w:rPr>
        <w:rFonts w:ascii="Arial" w:cs="Arial" w:eastAsia="Arial" w:hAnsi="Arial"/>
        <w:b/>
        <w:bCs/>
        <w:color w:val="64748B"/>
        <w:sz w:val="18"/>
        <w:szCs w:val="18"/>
      </w:rPr>
      <w:t xml:space="preserve">RegOS Security Research</w:t>
    </w:r>
    <w:r>
      <w:rPr>
        <w:rFonts w:ascii="Arial" w:cs="Arial" w:eastAsia="Arial" w:hAnsi="Arial"/>
        <w:color w:val="64748B"/>
        <w:sz w:val="18"/>
        <w:szCs w:val="18"/>
      </w:rPr>
      <w:t xml:space="preserve">	Revised per CTO Review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74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2026-03-17T08:10:23.102Z</dcterms:created>
  <dcterms:modified xsi:type="dcterms:W3CDTF">2026-03-17T08:10:23.102Z</dcterms:modified>
</cp:coreProperties>
</file>

<file path=docProps/custom.xml><?xml version="1.0" encoding="utf-8"?>
<Properties xmlns="http://schemas.openxmlformats.org/officeDocument/2006/custom-properties" xmlns:vt="http://schemas.openxmlformats.org/officeDocument/2006/docPropsVTypes"/>
</file>