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44"/>
          <w:szCs w:val="44"/>
        </w:rPr>
        <w:t xml:space="preserve">APAS RegOS Platform</w:t>
      </w:r>
    </w:p>
    <w:p>
      <w:pPr>
        <w:spacing w:after="400"/>
        <w:jc w:val="center"/>
      </w:pPr>
      <w:r>
        <w:rPr>
          <w:rFonts w:ascii="Arial" w:cs="Arial" w:eastAsia="Arial" w:hAnsi="Arial"/>
          <w:i/>
          <w:iCs/>
          <w:color w:val="666666"/>
          <w:sz w:val="24"/>
          <w:szCs w:val="24"/>
        </w:rPr>
        <w:t xml:space="preserve">Feature Highlights — Marketable &amp; Demoable Capabilities</w:t>
      </w:r>
    </w:p>
    <w:p>
      <w:pPr>
        <w:spacing w:before="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Pr>
          <w:p>
            <w:r>
              <w:rPr>
                <w:b/>
                <w:bCs/>
                <w:color w:val="1B2A4A"/>
                <w:sz w:val="20"/>
                <w:szCs w:val="20"/>
              </w:rPr>
              <w:t xml:space="preserve">Version</w:t>
            </w:r>
          </w:p>
        </w:tc>
        <w:tc>
          <w:tcPr>
            <w:tcW w:type="dxa" w:w="3000"/>
            <w:tcBorders>
              <w:top w:val="none" w:sz="0"/>
              <w:left w:val="none" w:sz="0"/>
              <w:bottom w:val="none" w:sz="0"/>
              <w:right w:val="none" w:sz="0"/>
            </w:tcBorders>
          </w:tcPr>
          <w:p>
            <w:r>
              <w:rPr>
                <w:color w:val="444444"/>
                <w:sz w:val="20"/>
                <w:szCs w:val="20"/>
              </w:rPr>
              <w:t xml:space="preserve">0.10.0</w:t>
            </w:r>
          </w:p>
        </w:tc>
      </w:tr>
      <w:tr>
        <w:tc>
          <w:tcPr>
            <w:tcW w:type="dxa" w:w="2000"/>
            <w:tcBorders>
              <w:top w:val="none" w:sz="0"/>
              <w:left w:val="none" w:sz="0"/>
              <w:bottom w:val="none" w:sz="0"/>
              <w:right w:val="none" w:sz="0"/>
            </w:tcBorders>
          </w:tcPr>
          <w:p>
            <w:r>
              <w:rPr>
                <w:b/>
                <w:bCs/>
                <w:color w:val="1B2A4A"/>
                <w:sz w:val="20"/>
                <w:szCs w:val="20"/>
              </w:rPr>
              <w:t xml:space="preserve">Date</w:t>
            </w:r>
          </w:p>
        </w:tc>
        <w:tc>
          <w:tcPr>
            <w:tcW w:type="dxa" w:w="3000"/>
            <w:tcBorders>
              <w:top w:val="none" w:sz="0"/>
              <w:left w:val="none" w:sz="0"/>
              <w:bottom w:val="none" w:sz="0"/>
              <w:right w:val="none" w:sz="0"/>
            </w:tcBorders>
          </w:tcPr>
          <w:p>
            <w:r>
              <w:rPr>
                <w:color w:val="444444"/>
                <w:sz w:val="20"/>
                <w:szCs w:val="20"/>
              </w:rPr>
              <w:t xml:space="preserve">February 2026</w:t>
            </w:r>
          </w:p>
        </w:tc>
      </w:tr>
      <w:tr>
        <w:tc>
          <w:tcPr>
            <w:tcW w:type="dxa" w:w="2000"/>
            <w:tcBorders>
              <w:top w:val="none" w:sz="0"/>
              <w:left w:val="none" w:sz="0"/>
              <w:bottom w:val="none" w:sz="0"/>
              <w:right w:val="none" w:sz="0"/>
            </w:tcBorders>
          </w:tcPr>
          <w:p>
            <w:r>
              <w:rPr>
                <w:b/>
                <w:bCs/>
                <w:color w:val="1B2A4A"/>
                <w:sz w:val="20"/>
                <w:szCs w:val="20"/>
              </w:rPr>
              <w:t xml:space="preserve">Classification</w:t>
            </w:r>
          </w:p>
        </w:tc>
        <w:tc>
          <w:tcPr>
            <w:tcW w:type="dxa" w:w="3000"/>
            <w:tcBorders>
              <w:top w:val="none" w:sz="0"/>
              <w:left w:val="none" w:sz="0"/>
              <w:bottom w:val="none" w:sz="0"/>
              <w:right w:val="none" w:sz="0"/>
            </w:tcBorders>
          </w:tcPr>
          <w:p>
            <w:r>
              <w:rPr>
                <w:color w:val="444444"/>
                <w:sz w:val="20"/>
                <w:szCs w:val="20"/>
              </w:rPr>
              <w:t xml:space="preserve">Internal / Confidential</w:t>
            </w:r>
          </w:p>
        </w:tc>
      </w:tr>
      <w:tr>
        <w:tc>
          <w:tcPr>
            <w:tcW w:type="dxa" w:w="2000"/>
            <w:tcBorders>
              <w:top w:val="none" w:sz="0"/>
              <w:left w:val="none" w:sz="0"/>
              <w:bottom w:val="none" w:sz="0"/>
              <w:right w:val="none" w:sz="0"/>
            </w:tcBorders>
          </w:tcPr>
          <w:p>
            <w:r>
              <w:rPr>
                <w:b/>
                <w:bCs/>
                <w:color w:val="1B2A4A"/>
                <w:sz w:val="20"/>
                <w:szCs w:val="20"/>
              </w:rPr>
              <w:t xml:space="preserve">Status</w:t>
            </w:r>
          </w:p>
        </w:tc>
        <w:tc>
          <w:tcPr>
            <w:tcW w:type="dxa" w:w="3000"/>
            <w:tcBorders>
              <w:top w:val="none" w:sz="0"/>
              <w:left w:val="none" w:sz="0"/>
              <w:bottom w:val="none" w:sz="0"/>
              <w:right w:val="none" w:sz="0"/>
            </w:tcBorders>
          </w:tcPr>
          <w:p>
            <w:r>
              <w:rPr>
                <w:color w:val="444444"/>
                <w:sz w:val="20"/>
                <w:szCs w:val="20"/>
              </w:rPr>
              <w:t xml:space="preserve">7 of 8 features live — 1 on roadmap</w:t>
            </w:r>
          </w:p>
        </w:tc>
      </w:tr>
    </w:tbl>
    <w:p>
      <w:pPr>
        <w:spacing w:before="1200"/>
      </w:pPr>
    </w:p>
    <w:p>
      <w:pPr>
        <w:jc w:val="center"/>
      </w:pPr>
      <w:r>
        <w:rPr>
          <w:rFonts w:ascii="Arial" w:cs="Arial" w:eastAsia="Arial" w:hAnsi="Arial"/>
          <w:b/>
          <w:bCs/>
          <w:color w:val="1B2A4A"/>
          <w:sz w:val="20"/>
          <w:szCs w:val="20"/>
        </w:rPr>
        <w:t xml:space="preserve">APAS.AI</w:t>
      </w:r>
    </w:p>
    <w:p>
      <w:pPr>
        <w:sectPr>
          <w:pgSz w:w="12240" w:h="15840" w:orient="portrait"/>
          <w:pgMar w:top="1440" w:right="1440" w:bottom="1440" w:left="1440" w:header="708" w:footer="708" w:gutter="0"/>
          <w:pgNumType/>
          <w:docGrid w:linePitch="360"/>
        </w:sectPr>
      </w:pPr>
    </w:p>
    <w:p>
      <w:pPr>
        <w:pStyle w:val="Heading1"/>
      </w:pPr>
      <w:r>
        <w:t xml:space="preserve">Feature Summary</w:t>
      </w:r>
    </w:p>
    <w:p>
      <w:pPr>
        <w:spacing w:after="200"/>
      </w:pPr>
      <w:r>
        <w:rPr>
          <w:color w:val="444444"/>
          <w:sz w:val="22"/>
          <w:szCs w:val="22"/>
        </w:rPr>
        <w:t xml:space="preserve">The table below summarizes every RegOS capability included in the P0 demo scope. Features 1–7 are live and demoable today. Feature 8 is on the near-term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8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to Demo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B2A4A"/>
                <w:sz w:val="20"/>
                <w:szCs w:val="20"/>
              </w:rPr>
              <w:t xml:space="preserve">Neo4j Knowledge Graph for Chapter 24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color w:val="333333"/>
                <w:sz w:val="18"/>
                <w:szCs w:val="18"/>
              </w:rPr>
              <w:t xml:space="preserve">Full Chapter 24 Code of Conduct structured in Neo4j Aura as a property graph with document–section hierarchy, jurisdiction tagging (Miami-Dade County), version tagging (v2026-01-05), cross-reference relationships, and defined-term linking across sections.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color w:val="333333"/>
                <w:sz w:val="18"/>
                <w:szCs w:val="18"/>
              </w:rPr>
              <w:t xml:space="preserve">Open Neo4j Aura console → run a Cypher query such as MATCH (s:Section)-[:CROSS_REFERENCES]-&gt;(t:Section) RETURN s,t to visualize the regulatory structure. Show entity counts, relationship types, and jurisdiction tagging.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20"/>
                <w:szCs w:val="20"/>
              </w:rPr>
              <w:t xml:space="preserve">GraphRAG Hybrid Retrieval Pipeline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color w:val="333333"/>
                <w:sz w:val="18"/>
                <w:szCs w:val="18"/>
              </w:rPr>
              <w:t xml:space="preserve">Hybrid graph+vector retrieval engine. User questions are parsed for regulatory entities, translated to Cypher queries, traversed through Neo4j, ranked by ChromaDB semantic similarity, and assembled into cited context with [G1]…[Gn] prefixes. Compounds with Open WebUI’s native KB sources.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color w:val="333333"/>
                <w:sz w:val="18"/>
                <w:szCs w:val="18"/>
              </w:rPr>
              <w:t xml:space="preserve">Type a regulatory question in Open WebUI chat (e.g., “What are the effluent discharge limits under Chapter 24?”). The response returns with [G1], [G2] citations. Click the Sources button to see both GraphRAG and KB sources side by side.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B2A4A"/>
                <w:sz w:val="20"/>
                <w:szCs w:val="20"/>
              </w:rPr>
              <w:t xml:space="preserve">Enterprise Output Formatting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color w:val="333333"/>
                <w:sz w:val="18"/>
                <w:szCs w:val="18"/>
              </w:rPr>
              <w:t xml:space="preserve">Every response follows a professional template driven by a custom system prompt (3 personas: Citizen, Consultant, Regulator) and a filter-based outlet. Includes structured citations, source-of-truth discipline, actionable guidance, gap awareness, and draft framing. Conditional disclaimers adapt to confidence level.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color w:val="333333"/>
                <w:sz w:val="18"/>
                <w:szCs w:val="18"/>
              </w:rPr>
              <w:t xml:space="preserve">Ask any Chapter 24 question. The response displays with structured sections, cited regulatory references, and a confidence-adaptive disclaimer at the bottom. Compare HIGH confidence (“Review cited sections for your specific facility context”) vs LOW confidence (“Verify this analysis against the full Chapter 24 text”).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20"/>
                <w:szCs w:val="20"/>
              </w:rPr>
              <w:t xml:space="preserve">Confidence Scoring Engine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color w:val="333333"/>
                <w:sz w:val="18"/>
                <w:szCs w:val="18"/>
              </w:rPr>
              <w:t xml:space="preserve">6-signal weighted composite score (0.0–1.0) computed from retrieval quality signals: entity match strength, section coverage, reranker scores, citation density, graph dependency satisfaction, and query-context alignment. Displayed as a percentage on every response.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color w:val="333333"/>
                <w:sz w:val="18"/>
                <w:szCs w:val="18"/>
              </w:rPr>
              <w:t xml:space="preserve">Ask a well-covered question (e.g., discharge limits) → see a high confidence score (e.g., 78%). Ask an edge-case question with sparse coverage → see a lower score (e.g., 34%). Enable trace mode to see the full signal breakdown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B2A4A"/>
                <w:sz w:val="20"/>
                <w:szCs w:val="20"/>
              </w:rPr>
              <w:t xml:space="preserve">Escalation Workflow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color w:val="333333"/>
                <w:sz w:val="18"/>
                <w:szCs w:val="18"/>
              </w:rPr>
              <w:t xml:space="preserve">When confidence falls below a configurable threshold (default 0.5), the system automatically builds a full-context case packet (conversation history, GraphRAG citations, KB sources, entity matches, graph context, all 6 confidence signals) and POSTs it to an n8n webhook. An AI node in n8n compresses the packet into a structured case brief. The user sees an “Expert Review Initiated” banner with case reference and status.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color w:val="333333"/>
                <w:sz w:val="18"/>
                <w:szCs w:val="18"/>
              </w:rPr>
              <w:t xml:space="preserve">Ask a question designed to produce low confidence. The response shows the escalation notice with case ref (e.g., REG-20260224-7A3F). Check n8n execution history to see the case packet arrive, the raw JSON file, and the AI-generated brief.</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1B2A4A"/>
                <w:sz w:val="20"/>
                <w:szCs w:val="20"/>
              </w:rPr>
              <w:t xml:space="preserve">Structured Audit Logging</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color w:val="333333"/>
                <w:sz w:val="18"/>
                <w:szCs w:val="18"/>
              </w:rPr>
              <w:t xml:space="preserve">Every query is logged to a local SQLite database with: user ID, chat ID, message ID, query text, response text, timestamp, model used, confidence score, confidence signals, escalation status, escalation target, and case packet reference. Audit logger runs as a separate filter with priority-based ordering.</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color w:val="333333"/>
                <w:sz w:val="18"/>
                <w:szCs w:val="18"/>
              </w:rPr>
              <w:t xml:space="preserve">Run several queries, then execute the audit DB query command via docker exec. Show structured records with confidence scores and escalation flags. Demonstrate that every interaction is captured with full provenance.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B2A4A"/>
                <w:sz w:val="20"/>
                <w:szCs w:val="20"/>
              </w:rPr>
              <w:t xml:space="preserve">Refusal Behavior and Guardrails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color w:val="333333"/>
                <w:sz w:val="18"/>
                <w:szCs w:val="18"/>
              </w:rPr>
              <w:t xml:space="preserve">System prompt-driven refusal when the system cannot answer with sufficient confidence. Refusals are framed professionally—never “consult a professional,” always actionable (e.g., “Verify against Section 24-42 directly”). Guardrail triggers are logged in the audit record. Enterprise-formatted refusal output.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color w:val="333333"/>
                <w:sz w:val="18"/>
                <w:szCs w:val="18"/>
              </w:rPr>
              <w:t xml:space="preserve">Ask an out-of-scope question (e.g., “What are the building codes for residential construction?”). The system refuses cleanly with an explanation of why it cannot answer and a specific recommendation. Check the audit DB to confirm the guardrail trigger was logged.</w:t>
            </w:r>
          </w:p>
        </w:tc>
      </w:tr>
      <w:tr>
        <w:tc>
          <w:tcPr>
            <w:tcW w:type="dxa" w:w="2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B45309"/>
                <w:sz w:val="20"/>
                <w:szCs w:val="20"/>
              </w:rPr>
              <w:t xml:space="preserve">Regulatory Threshold Evaluation Engine</w:t>
            </w:r>
          </w:p>
        </w:tc>
        <w:tc>
          <w:tcPr>
            <w:tcW w:type="dxa" w:w="4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after="0"/>
            </w:pPr>
            <w:r>
              <w:rPr>
                <w:color w:val="333333"/>
                <w:sz w:val="18"/>
                <w:szCs w:val="18"/>
              </w:rPr>
              <w:t xml:space="preserve">Automated evaluation of incoming sensor readings against Chapter 24 regulatory thresholds. On breach: identifies the exact regulatory clause violated, preserves the determination with SHA-256 evidence hashing, and surfaces breach events for downstream consumption.</w:t>
            </w:r>
          </w:p>
        </w:tc>
        <w:tc>
          <w:tcPr>
            <w:tcW w:type="dxa" w:w="36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after="0"/>
            </w:pPr>
            <w:r>
              <w:rPr>
                <w:color w:val="333333"/>
                <w:sz w:val="18"/>
                <w:szCs w:val="18"/>
              </w:rPr>
              <w:t xml:space="preserve">Feed test sensor data with known threshold violations via the evaluation API. Verify the system detects the breach, identifies the correct Chapter 24 clause, and produces the SHA-256 evidence hash. Query breach status through the registered Tool.</w:t>
            </w:r>
          </w:p>
        </w:tc>
      </w:tr>
    </w:tbl>
    <w:p>
      <w:pPr>
        <w:spacing w:before="200"/>
      </w:pPr>
    </w:p>
    <w:p>
      <w:r>
        <w:rPr>
          <w:i/>
          <w:iCs/>
          <w:color w:val="666666"/>
          <w:sz w:val="20"/>
          <w:szCs w:val="20"/>
        </w:rPr>
        <w:t xml:space="preserve">★ Features 1–7 are live and demoable today. Feature 8 is on the roadmap (sensor data dependency).</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APAS RegOS — Feature Highlights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2026-02-24T15:35:17.532Z</dcterms:created>
  <dcterms:modified xsi:type="dcterms:W3CDTF">2026-02-24T15:35:17.537Z</dcterms:modified>
</cp:coreProperties>
</file>

<file path=docProps/custom.xml><?xml version="1.0" encoding="utf-8"?>
<Properties xmlns="http://schemas.openxmlformats.org/officeDocument/2006/custom-properties" xmlns:vt="http://schemas.openxmlformats.org/officeDocument/2006/docPropsVTypes"/>
</file>