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pPr>
      <w:r>
        <w:rPr>
          <w:rFonts w:ascii="Arial" w:cs="Arial" w:eastAsia="Arial" w:hAnsi="Arial"/>
          <w:b/>
          <w:bCs/>
          <w:sz w:val="20"/>
          <w:szCs w:val="20"/>
        </w:rPr>
        <w:t xml:space="preserve">To: </w:t>
      </w:r>
      <w:r>
        <w:rPr>
          <w:rFonts w:ascii="Arial" w:cs="Arial" w:eastAsia="Arial" w:hAnsi="Arial"/>
          <w:sz w:val="20"/>
          <w:szCs w:val="20"/>
        </w:rPr>
        <w:t xml:space="preserve">Hardeep Anand</w:t>
      </w:r>
    </w:p>
    <w:p>
      <w:pPr>
        <w:spacing w:after="30" w:before="0"/>
      </w:pPr>
      <w:r>
        <w:rPr>
          <w:rFonts w:ascii="Arial" w:cs="Arial" w:eastAsia="Arial" w:hAnsi="Arial"/>
          <w:b/>
          <w:bCs/>
          <w:sz w:val="20"/>
          <w:szCs w:val="20"/>
        </w:rPr>
        <w:t xml:space="preserve">CC: </w:t>
      </w:r>
      <w:r>
        <w:rPr>
          <w:rFonts w:ascii="Arial" w:cs="Arial" w:eastAsia="Arial" w:hAnsi="Arial"/>
          <w:sz w:val="20"/>
          <w:szCs w:val="20"/>
        </w:rPr>
        <w:t xml:space="preserve">Dhruman Rathod, Shreya, Soham, Simi</w:t>
      </w:r>
    </w:p>
    <w:p>
      <w:pPr>
        <w:spacing w:after="30" w:before="0"/>
      </w:pPr>
      <w:r>
        <w:rPr>
          <w:rFonts w:ascii="Arial" w:cs="Arial" w:eastAsia="Arial" w:hAnsi="Arial"/>
          <w:b/>
          <w:bCs/>
          <w:sz w:val="20"/>
          <w:szCs w:val="20"/>
        </w:rPr>
        <w:t xml:space="preserve">From: </w:t>
      </w:r>
      <w:r>
        <w:rPr>
          <w:rFonts w:ascii="Arial" w:cs="Arial" w:eastAsia="Arial" w:hAnsi="Arial"/>
          <w:sz w:val="20"/>
          <w:szCs w:val="20"/>
        </w:rPr>
        <w:t xml:space="preserve">Anmol Pokhriyal</w:t>
      </w:r>
    </w:p>
    <w:p>
      <w:pPr>
        <w:spacing w:after="30" w:before="0"/>
      </w:pPr>
      <w:r>
        <w:rPr>
          <w:rFonts w:ascii="Arial" w:cs="Arial" w:eastAsia="Arial" w:hAnsi="Arial"/>
          <w:b/>
          <w:bCs/>
          <w:sz w:val="20"/>
          <w:szCs w:val="20"/>
        </w:rPr>
        <w:t xml:space="preserve">Date: </w:t>
      </w:r>
      <w:r>
        <w:rPr>
          <w:rFonts w:ascii="Arial" w:cs="Arial" w:eastAsia="Arial" w:hAnsi="Arial"/>
          <w:sz w:val="20"/>
          <w:szCs w:val="20"/>
        </w:rPr>
        <w:t xml:space="preserve">March 23, 2026</w:t>
      </w:r>
    </w:p>
    <w:p>
      <w:pPr>
        <w:spacing w:after="60" w:before="0"/>
      </w:pPr>
      <w:r>
        <w:rPr>
          <w:rFonts w:ascii="Arial" w:cs="Arial" w:eastAsia="Arial" w:hAnsi="Arial"/>
          <w:b/>
          <w:bCs/>
          <w:sz w:val="20"/>
          <w:szCs w:val="20"/>
        </w:rPr>
        <w:t xml:space="preserve">Subject: </w:t>
      </w:r>
      <w:r>
        <w:rPr>
          <w:rFonts w:ascii="Arial" w:cs="Arial" w:eastAsia="Arial" w:hAnsi="Arial"/>
          <w:sz w:val="20"/>
          <w:szCs w:val="20"/>
        </w:rPr>
        <w:t xml:space="preserve">Re: Pipe OS - Onto/Taxo — Review &amp; Response (Neo4j Perspective)</w:t>
      </w:r>
    </w:p>
    <w:p>
      <w:pPr>
        <w:pBdr>
          <w:bottom w:val="single" w:color="D4A017" w:sz="6" w:space="1"/>
        </w:pBdr>
        <w:spacing w:after="120" w:before="0"/>
      </w:pPr>
      <w:r>
        <w:rPr>
          <w:rFonts w:ascii="Arial" w:cs="Arial" w:eastAsia="Arial" w:hAnsi="Arial"/>
        </w:rPr>
        <w:t xml:space="preserve"/>
      </w:r>
    </w:p>
    <w:p>
      <w:pPr>
        <w:spacing w:after="60" w:before="60"/>
      </w:pPr>
      <w:r>
        <w:rPr>
          <w:rFonts w:ascii="Arial" w:cs="Arial" w:eastAsia="Arial" w:hAnsi="Arial"/>
        </w:rPr>
        <w:t xml:space="preserve">Hi Hardeep,</w:t>
      </w:r>
    </w:p>
    <w:p>
      <w:pPr>
        <w:spacing w:after="60" w:before="60"/>
      </w:pPr>
      <w:r>
        <w:rPr>
          <w:rFonts w:ascii="Arial" w:cs="Arial" w:eastAsia="Arial" w:hAnsi="Arial"/>
        </w:rPr>
        <w:t xml:space="preserve"/>
      </w:r>
    </w:p>
    <w:p>
      <w:pPr>
        <w:spacing w:after="60" w:before="60"/>
      </w:pPr>
      <w:r>
        <w:rPr>
          <w:rFonts w:ascii="Arial" w:cs="Arial" w:eastAsia="Arial" w:hAnsi="Arial"/>
        </w:rPr>
        <w:t xml:space="preserve">Thank you for sharing this. I have gone through the PIPE-OS-Ontology-Map document in detail and I want to start by saying: this is </w:t>
      </w:r>
      <w:r>
        <w:rPr>
          <w:rFonts w:ascii="Arial" w:cs="Arial" w:eastAsia="Arial" w:hAnsi="Arial"/>
          <w:b/>
          <w:bCs/>
        </w:rPr>
        <w:t xml:space="preserve">genuinely excellent work</w:t>
      </w:r>
      <w:r>
        <w:rPr>
          <w:rFonts w:ascii="Arial" w:cs="Arial" w:eastAsia="Arial" w:hAnsi="Arial"/>
        </w:rPr>
        <w:t xml:space="preserve">. The extraction principle alone — treating every Supabase table as an ontological claim, every column as a property assertion, every enum as a controlled vocabulary, every foreign key as a relationship — is exactly the right framing. It grounds the ontology in implementation reality rather than aspirational modelling, and that is a critical distinction.</w:t>
      </w:r>
    </w:p>
    <w:p>
      <w:pPr>
        <w:spacing w:after="60" w:before="60"/>
      </w:pPr>
      <w:r>
        <w:rPr>
          <w:rFonts w:ascii="Arial" w:cs="Arial" w:eastAsia="Arial" w:hAnsi="Arial"/>
        </w:rPr>
        <w:t xml:space="preserve"/>
      </w:r>
    </w:p>
    <w:p>
      <w:pPr>
        <w:spacing w:after="60" w:before="60"/>
      </w:pPr>
      <w:r>
        <w:rPr>
          <w:rFonts w:ascii="Arial" w:cs="Arial" w:eastAsia="Arial" w:hAnsi="Arial"/>
        </w:rPr>
        <w:t xml:space="preserve">I have reviewed this through the lens of our RegOS knowledge graph experience (FEA v2 schema, 693 nodes, 2,351 relationships, 4-step retrieval pipeline) and will share my observations organized by what I think is strong, where I see direct validation from our own graph work, and where I think we should pressure-test certain assumptions before committing to the build sequence.</w:t>
      </w:r>
    </w:p>
    <w:p>
      <w:pPr>
        <w:pStyle w:val="Heading1"/>
        <w:spacing w:after="120" w:before="300"/>
      </w:pPr>
      <w:r>
        <w:rPr>
          <w:rFonts w:ascii="Arial" w:cs="Arial" w:eastAsia="Arial" w:hAnsi="Arial"/>
          <w:b/>
          <w:bCs/>
          <w:sz w:val="28"/>
          <w:szCs w:val="28"/>
        </w:rPr>
        <w:t xml:space="preserve">1. What’s Strong</w:t>
      </w:r>
    </w:p>
    <w:p>
      <w:pPr>
        <w:spacing w:after="60" w:before="60"/>
      </w:pPr>
      <w:r>
        <w:rPr>
          <w:rFonts w:ascii="Arial" w:cs="Arial" w:eastAsia="Arial" w:hAnsi="Arial"/>
          <w:b/>
          <w:bCs/>
        </w:rPr>
        <w:t xml:space="preserve">The 6-Layer Knowledge Architecture is the right abstraction. </w:t>
      </w:r>
      <w:r>
        <w:rPr>
          <w:rFonts w:ascii="Arial" w:cs="Arial" w:eastAsia="Arial" w:hAnsi="Arial"/>
        </w:rPr>
        <w:t xml:space="preserve">Having built a layered graph for regulatory content, I can confirm that the pyramid model — where each layer depends on the one below it — is exactly how graph traversal should work in practice. In RegOS, we settled on a 3-layer hierarchy (Ch24Class concepts → Ch24Document sections → Ch24Entity extracted entities) for a narrower regulatory domain. PIPE OS is a substantially more complex domain and the 6-layer decomposition is the right call. The key insight — that </w:t>
      </w:r>
      <w:r>
        <w:rPr>
          <w:rFonts w:ascii="Arial" w:cs="Arial" w:eastAsia="Arial" w:hAnsi="Arial"/>
          <w:b/>
          <w:bCs/>
        </w:rPr>
        <w:t xml:space="preserve">these layers will trigger the graph traversal</w:t>
      </w:r>
      <w:r>
        <w:rPr>
          <w:rFonts w:ascii="Arial" w:cs="Arial" w:eastAsia="Arial" w:hAnsi="Arial"/>
        </w:rPr>
        <w:t xml:space="preserve"> — is not just aspirational. We proved this in production.</w:t>
      </w:r>
    </w:p>
    <w:p>
      <w:pPr>
        <w:spacing w:after="60" w:before="60"/>
      </w:pPr>
      <w:r>
        <w:rPr>
          <w:rFonts w:ascii="Arial" w:cs="Arial" w:eastAsia="Arial" w:hAnsi="Arial"/>
        </w:rPr>
        <w:t xml:space="preserve"/>
      </w:r>
    </w:p>
    <w:p>
      <w:pPr>
        <w:spacing w:after="60" w:before="60"/>
      </w:pPr>
      <w:r>
        <w:rPr>
          <w:rFonts w:ascii="Arial" w:cs="Arial" w:eastAsia="Arial" w:hAnsi="Arial"/>
        </w:rPr>
        <w:t xml:space="preserve">In our confidence scoring system (v0.17.3), </w:t>
      </w:r>
      <w:r>
        <w:rPr>
          <w:rFonts w:ascii="Arial" w:cs="Arial" w:eastAsia="Arial" w:hAnsi="Arial"/>
          <w:b/>
          <w:bCs/>
        </w:rPr>
        <w:t xml:space="preserve">concept expansion through the ontology layer became the single most important retrieval signal</w:t>
      </w:r>
      <w:r>
        <w:rPr>
          <w:rFonts w:ascii="Arial" w:cs="Arial" w:eastAsia="Arial" w:hAnsi="Arial"/>
        </w:rPr>
        <w:t xml:space="preserve">. When we migrated from a flat Entity/Episodic schema (876 nodes, 2 labels) to the hierarchical FEA schema (693 nodes, 3 labels, 4 relationship types), concept expansion via RELATES_TO_CONCEPT edges replaced entity overlap as the primary confidence signal (weight 0.25). The graph stopped being a lookup table and started being a reasoning structure. That is exactly what the 6-layer model here is designed to enable, and I fully endorse it.</w:t>
      </w:r>
    </w:p>
    <w:p>
      <w:pPr>
        <w:spacing w:after="60" w:before="60"/>
      </w:pPr>
      <w:r>
        <w:rPr>
          <w:rFonts w:ascii="Arial" w:cs="Arial" w:eastAsia="Arial" w:hAnsi="Arial"/>
        </w:rPr>
        <w:t xml:space="preserve"/>
      </w:r>
    </w:p>
    <w:p>
      <w:pPr>
        <w:spacing w:after="60" w:before="60"/>
      </w:pPr>
      <w:r>
        <w:rPr>
          <w:rFonts w:ascii="Arial" w:cs="Arial" w:eastAsia="Arial" w:hAnsi="Arial"/>
          <w:b/>
          <w:bCs/>
        </w:rPr>
        <w:t xml:space="preserve">The competency questions framework (72 questions) is outstanding. </w:t>
      </w:r>
      <w:r>
        <w:rPr>
          <w:rFonts w:ascii="Arial" w:cs="Arial" w:eastAsia="Arial" w:hAnsi="Arial"/>
        </w:rPr>
        <w:t xml:space="preserve">This is the most rigorous ontology validation approach I have seen applied to a codebase extraction. The coverage/partial/gap tagging per question is actionable — it turns a theoretical ontology exercise into a concrete build checklist. I would recommend we adopt this same methodology for RegOS’s graph when we move to multi-jurisdiction support.</w:t>
      </w:r>
    </w:p>
    <w:p>
      <w:pPr>
        <w:spacing w:after="60" w:before="60"/>
      </w:pPr>
      <w:r>
        <w:rPr>
          <w:rFonts w:ascii="Arial" w:cs="Arial" w:eastAsia="Arial" w:hAnsi="Arial"/>
        </w:rPr>
        <w:t xml:space="preserve"/>
      </w:r>
    </w:p>
    <w:p>
      <w:pPr>
        <w:spacing w:after="60" w:before="60"/>
      </w:pPr>
      <w:r>
        <w:rPr>
          <w:rFonts w:ascii="Arial" w:cs="Arial" w:eastAsia="Arial" w:hAnsi="Arial"/>
          <w:b/>
          <w:bCs/>
        </w:rPr>
        <w:t xml:space="preserve">The gap analysis is honest and correctly prioritized. </w:t>
      </w:r>
      <w:r>
        <w:rPr>
          <w:rFonts w:ascii="Arial" w:cs="Arial" w:eastAsia="Arial" w:hAnsi="Arial"/>
        </w:rPr>
        <w:t xml:space="preserve">Layers 4 (SOPs) and 6 (Experiential Knowledge) being called out as completely absent is the right diagnosis. These are also the layers that offer the highest defensibility as a moat — anyone can model pipe materials and failure modes from AWWA standards, but procedural knowledge and expert annotations are proprietary and accumulate value over time.</w:t>
      </w:r>
    </w:p>
    <w:p>
      <w:pPr>
        <w:spacing w:after="60" w:before="60"/>
      </w:pPr>
      <w:r>
        <w:rPr>
          <w:rFonts w:ascii="Arial" w:cs="Arial" w:eastAsia="Arial" w:hAnsi="Arial"/>
        </w:rPr>
        <w:t xml:space="preserve"/>
      </w:r>
    </w:p>
    <w:p>
      <w:pPr>
        <w:spacing w:after="60" w:before="60"/>
      </w:pPr>
      <w:r>
        <w:rPr>
          <w:rFonts w:ascii="Arial" w:cs="Arial" w:eastAsia="Arial" w:hAnsi="Arial"/>
          <w:b/>
          <w:bCs/>
        </w:rPr>
        <w:t xml:space="preserve">The failure mode taxonomy depth is impressive. </w:t>
      </w:r>
      <w:r>
        <w:rPr>
          <w:rFonts w:ascii="Arial" w:cs="Arial" w:eastAsia="Arial" w:hAnsi="Arial"/>
        </w:rPr>
        <w:t xml:space="preserve">1,068 lines of failureModeTaxonomy.ts mapping 40+ failure modes across 10 materials with MDC-specific context (45 CI graphitic corrosion failures/year, 6 PCCP wire breaks/year in coastal Cl⁻ environments) — this is not generic textbook content, it is operationally grounded. The fact that this already exists in the codebase and just needs formalization is a significant advantage.</w:t>
      </w:r>
    </w:p>
    <w:p>
      <w:pPr>
        <w:pStyle w:val="Heading1"/>
        <w:spacing w:after="120" w:before="300"/>
      </w:pPr>
      <w:r>
        <w:rPr>
          <w:rFonts w:ascii="Arial" w:cs="Arial" w:eastAsia="Arial" w:hAnsi="Arial"/>
          <w:b/>
          <w:bCs/>
          <w:sz w:val="28"/>
          <w:szCs w:val="28"/>
        </w:rPr>
        <w:t xml:space="preserve">2. Direct Validation from RegOS Graph Experience</w:t>
      </w:r>
    </w:p>
    <w:p>
      <w:pPr>
        <w:spacing w:after="60" w:before="60"/>
      </w:pPr>
      <w:r>
        <w:rPr>
          <w:rFonts w:ascii="Arial" w:cs="Arial" w:eastAsia="Arial" w:hAnsi="Arial"/>
        </w:rPr>
        <w:t xml:space="preserve">There are several architectural decisions in this document that our RegOS experience directly validates:</w:t>
      </w:r>
    </w:p>
    <w:p>
      <w:pPr>
        <w:spacing w:after="60" w:before="60"/>
      </w:pPr>
      <w:r>
        <w:rPr>
          <w:rFonts w:ascii="Arial" w:cs="Arial" w:eastAsia="Arial" w:hAnsi="Arial"/>
        </w:rPr>
        <w:t xml:space="preserve"/>
      </w:r>
    </w:p>
    <w:p>
      <w:pPr>
        <w:spacing w:after="60" w:before="60"/>
      </w:pPr>
      <w:r>
        <w:rPr>
          <w:rFonts w:ascii="Arial" w:cs="Arial" w:eastAsia="Arial" w:hAnsi="Arial"/>
          <w:b/>
          <w:bCs/>
        </w:rPr>
        <w:t xml:space="preserve">2.1 Layered ontology drives retrieval quality, not just organization</w:t>
      </w:r>
    </w:p>
    <w:p>
      <w:pPr>
        <w:spacing w:after="60" w:before="60"/>
      </w:pPr>
      <w:r>
        <w:rPr>
          <w:rFonts w:ascii="Arial" w:cs="Arial" w:eastAsia="Arial" w:hAnsi="Arial"/>
        </w:rPr>
        <w:t xml:space="preserve">When our RegOS retrieval pipeline runs a query like “What are the BOD limits for industrial discharge?”, the 4-step pipeline produces results in this order: (1) fulltext search finds Sec. 24-42.4 directly, (2) entity matching finds “BOD” and “Industrial user”, (3) entity→document traversal via MENTIONS_ENTITY finds connected sections, then — critically — (4) concept expansion via RELATES_TO_CONCEPT discovers sections connected through the </w:t>
      </w:r>
      <w:r>
        <w:rPr>
          <w:rFonts w:ascii="Arial" w:cs="Arial" w:eastAsia="Arial" w:hAnsi="Arial"/>
          <w:i/>
          <w:iCs/>
        </w:rPr>
        <w:t xml:space="preserve">ontology layer</w:t>
      </w:r>
      <w:r>
        <w:rPr>
          <w:rFonts w:ascii="Arial" w:cs="Arial" w:eastAsia="Arial" w:hAnsi="Arial"/>
        </w:rPr>
        <w:t xml:space="preserve"> that text search alone would never find. Step 4 is where the graph earns its keep. The PIPE OS 6-layer model is architecturally designed to maximize step 4’s equivalent. This is correct.</w:t>
      </w:r>
    </w:p>
    <w:p>
      <w:pPr>
        <w:spacing w:after="60" w:before="60"/>
      </w:pPr>
      <w:r>
        <w:rPr>
          <w:rFonts w:ascii="Arial" w:cs="Arial" w:eastAsia="Arial" w:hAnsi="Arial"/>
        </w:rPr>
        <w:t xml:space="preserve"/>
      </w:r>
    </w:p>
    <w:p>
      <w:pPr>
        <w:spacing w:after="60" w:before="60"/>
      </w:pPr>
      <w:r>
        <w:rPr>
          <w:rFonts w:ascii="Arial" w:cs="Arial" w:eastAsia="Arial" w:hAnsi="Arial"/>
          <w:b/>
          <w:bCs/>
        </w:rPr>
        <w:t xml:space="preserve">2.2 The edge vocabulary is well-scoped</w:t>
      </w:r>
    </w:p>
    <w:p>
      <w:pPr>
        <w:spacing w:after="60" w:before="60"/>
      </w:pPr>
      <w:r>
        <w:rPr>
          <w:rFonts w:ascii="Arial" w:cs="Arial" w:eastAsia="Arial" w:hAnsi="Arial"/>
        </w:rPr>
        <w:t xml:space="preserve">14 relationship types across 57 nodes is a healthy ratio. In RegOS, we use 4 relationship types across 693 nodes (RELATES_TO_CONCEPT, MENTIONS_ENTITY, SUBCLASS_OF, CH24_RELATIONSHIP). The PIPE OS domain is more heterogeneous, so 14 types is proportional. The FAILS_VIA → INFLUENCED_BY → TRIGGERS_RISK → RENEWED_BY chain is particularly clean — it reads as a causal narrative, which is exactly how engineers and operators think about pipe failure.</w:t>
      </w:r>
    </w:p>
    <w:p>
      <w:pPr>
        <w:spacing w:after="60" w:before="60"/>
      </w:pPr>
      <w:r>
        <w:rPr>
          <w:rFonts w:ascii="Arial" w:cs="Arial" w:eastAsia="Arial" w:hAnsi="Arial"/>
        </w:rPr>
        <w:t xml:space="preserve"/>
      </w:r>
    </w:p>
    <w:p>
      <w:pPr>
        <w:spacing w:after="60" w:before="60"/>
      </w:pPr>
      <w:r>
        <w:rPr>
          <w:rFonts w:ascii="Arial" w:cs="Arial" w:eastAsia="Arial" w:hAnsi="Arial"/>
          <w:b/>
          <w:bCs/>
        </w:rPr>
        <w:t xml:space="preserve">2.3 Cross-domain bridge edges (PREDICTS/INPUTS) are the highest-value connections</w:t>
      </w:r>
    </w:p>
    <w:p>
      <w:pPr>
        <w:spacing w:after="60" w:before="60"/>
      </w:pPr>
      <w:r>
        <w:rPr>
          <w:rFonts w:ascii="Arial" w:cs="Arial" w:eastAsia="Arial" w:hAnsi="Arial"/>
        </w:rPr>
        <w:t xml:space="preserve">The edge connecting performance grade to leak rate estimation (PI grades 1–5 mapping to 120–1800 gal/mi/day via PIPEiD Vol 5) bridges the Analytics Domain and the Water Loss Domain. In our RegOS chunking strategy research, we identified the </w:t>
      </w:r>
      <w:r>
        <w:rPr>
          <w:rFonts w:ascii="Arial" w:cs="Arial" w:eastAsia="Arial" w:hAnsi="Arial"/>
          <w:b/>
          <w:bCs/>
        </w:rPr>
        <w:t xml:space="preserve">Document-Level Retrieval Mismatch (DRM) problem</w:t>
      </w:r>
      <w:r>
        <w:rPr>
          <w:rFonts w:ascii="Arial" w:cs="Arial" w:eastAsia="Arial" w:hAnsi="Arial"/>
        </w:rPr>
        <w:t xml:space="preserve"> — when concepts defined in one section are used in another, retrieval systems fail to connect them. Cross-domain bridge edges solve this at the graph level rather than at the chunking level. I would advocate for explicitly prioritizing the discovery and formalization of more cross-domain bridges during the build.</w:t>
      </w:r>
    </w:p>
    <w:p>
      <w:pPr>
        <w:pStyle w:val="Heading1"/>
        <w:spacing w:after="120" w:before="300"/>
      </w:pPr>
      <w:r>
        <w:rPr>
          <w:rFonts w:ascii="Arial" w:cs="Arial" w:eastAsia="Arial" w:hAnsi="Arial"/>
          <w:b/>
          <w:bCs/>
          <w:sz w:val="28"/>
          <w:szCs w:val="28"/>
        </w:rPr>
        <w:t xml:space="preserve">3. Observations &amp; Constructive Suggestions</w:t>
      </w:r>
    </w:p>
    <w:p>
      <w:pPr>
        <w:spacing w:after="60" w:before="60"/>
      </w:pPr>
      <w:r>
        <w:rPr>
          <w:rFonts w:ascii="Arial" w:cs="Arial" w:eastAsia="Arial" w:hAnsi="Arial"/>
        </w:rPr>
        <w:t xml:space="preserve">These are areas where our RegOS experience suggests we should think carefully before committing:</w:t>
      </w:r>
    </w:p>
    <w:p>
      <w:pPr>
        <w:spacing w:after="60" w:before="60"/>
      </w:pPr>
      <w:r>
        <w:rPr>
          <w:rFonts w:ascii="Arial" w:cs="Arial" w:eastAsia="Arial" w:hAnsi="Arial"/>
        </w:rPr>
        <w:t xml:space="preserve"/>
      </w:r>
    </w:p>
    <w:p>
      <w:pPr>
        <w:spacing w:after="60" w:before="60"/>
      </w:pPr>
      <w:r>
        <w:rPr>
          <w:rFonts w:ascii="Arial" w:cs="Arial" w:eastAsia="Arial" w:hAnsi="Arial"/>
          <w:b/>
          <w:bCs/>
        </w:rPr>
        <w:t xml:space="preserve">3.1 On OWL Formalization (Week 1) — Consider a Parallel Track</w:t>
      </w:r>
    </w:p>
    <w:p>
      <w:pPr>
        <w:spacing w:after="60" w:before="60"/>
      </w:pPr>
      <w:r>
        <w:rPr>
          <w:rFonts w:ascii="Arial" w:cs="Arial" w:eastAsia="Arial" w:hAnsi="Arial"/>
        </w:rPr>
        <w:t xml:space="preserve">The build sequence proposes converting the existing graph into OWL + JSON-LD in Week 1 (pipe-os-ontology.owl for Protégé, pipe-os-schema.jsonld for runtime). I want to gently push back on sequencing, not on the goal.</w:t>
      </w:r>
    </w:p>
    <w:p>
      <w:pPr>
        <w:spacing w:after="60" w:before="60"/>
      </w:pPr>
      <w:r>
        <w:rPr>
          <w:rFonts w:ascii="Arial" w:cs="Arial" w:eastAsia="Arial" w:hAnsi="Arial"/>
        </w:rPr>
        <w:t xml:space="preserve"/>
      </w:r>
    </w:p>
    <w:p>
      <w:pPr>
        <w:spacing w:after="60" w:before="60"/>
      </w:pPr>
      <w:r>
        <w:rPr>
          <w:rFonts w:ascii="Arial" w:cs="Arial" w:eastAsia="Arial" w:hAnsi="Arial"/>
        </w:rPr>
        <w:t xml:space="preserve">In RegOS, we went </w:t>
      </w:r>
      <w:r>
        <w:rPr>
          <w:rFonts w:ascii="Arial" w:cs="Arial" w:eastAsia="Arial" w:hAnsi="Arial"/>
          <w:b/>
          <w:bCs/>
        </w:rPr>
        <w:t xml:space="preserve">directly from domain analysis to Neo4j property graph</w:t>
      </w:r>
      <w:r>
        <w:rPr>
          <w:rFonts w:ascii="Arial" w:cs="Arial" w:eastAsia="Arial" w:hAnsi="Arial"/>
        </w:rPr>
        <w:t xml:space="preserve"> with a JSON-LD context file. We skipped the OWL formalization entirely, and this saved us significant time. The reason: OWL is a description logic formalism designed for inference (class subsumption, consistency checking). Neo4j is a property graph designed for traversal. The traversal performance — which is what drives retrieval quality — does not benefit from OWL’s inference capabilities. Cypher queries against labeled property graphs are simpler, faster, and natively support weighted edges and property-rich relationships that OWL struggles with.</w:t>
      </w:r>
    </w:p>
    <w:p>
      <w:pPr>
        <w:spacing w:after="60" w:before="60"/>
      </w:pPr>
      <w:r>
        <w:rPr>
          <w:rFonts w:ascii="Arial" w:cs="Arial" w:eastAsia="Arial" w:hAnsi="Arial"/>
        </w:rPr>
        <w:t xml:space="preserve"/>
      </w:r>
    </w:p>
    <w:p>
      <w:pPr>
        <w:spacing w:after="60" w:before="60"/>
      </w:pPr>
      <w:r>
        <w:rPr>
          <w:rFonts w:ascii="Arial" w:cs="Arial" w:eastAsia="Arial" w:hAnsi="Arial"/>
          <w:b/>
          <w:bCs/>
        </w:rPr>
        <w:t xml:space="preserve">My suggestion: </w:t>
      </w:r>
      <w:r>
        <w:rPr>
          <w:rFonts w:ascii="Arial" w:cs="Arial" w:eastAsia="Arial" w:hAnsi="Arial"/>
        </w:rPr>
        <w:t xml:space="preserve">Run Week 1 as a parallel track. One stream builds the Neo4j graph directly from the TypeScript/SQL extraction (which is already graph-shaped data), making it immediately available for traversal and retrieval testing. A second stream produces the OWL formalization for formal validation and publication. This way we do not gate the runtime graph on the academic formalism. The OWL can validate the graph after it is running, rather than blocking it.</w:t>
      </w:r>
    </w:p>
    <w:p>
      <w:pPr>
        <w:spacing w:after="60" w:before="60"/>
      </w:pPr>
      <w:r>
        <w:rPr>
          <w:rFonts w:ascii="Arial" w:cs="Arial" w:eastAsia="Arial" w:hAnsi="Arial"/>
        </w:rPr>
        <w:t xml:space="preserve"/>
      </w:r>
    </w:p>
    <w:p>
      <w:pPr>
        <w:spacing w:after="60" w:before="60"/>
      </w:pPr>
      <w:r>
        <w:rPr>
          <w:rFonts w:ascii="Arial" w:cs="Arial" w:eastAsia="Arial" w:hAnsi="Arial"/>
          <w:b/>
          <w:bCs/>
        </w:rPr>
        <w:t xml:space="preserve">3.2 On Embeddings Strategy — Consider Non-Neural</w:t>
      </w:r>
    </w:p>
    <w:p>
      <w:pPr>
        <w:spacing w:after="60" w:before="60"/>
      </w:pPr>
      <w:r>
        <w:rPr>
          <w:rFonts w:ascii="Arial" w:cs="Arial" w:eastAsia="Arial" w:hAnsi="Arial"/>
        </w:rPr>
        <w:t xml:space="preserve">The document does not specify an embedding approach for the graph. In RegOS, we made a deliberate decision to use </w:t>
      </w:r>
      <w:r>
        <w:rPr>
          <w:rFonts w:ascii="Arial" w:cs="Arial" w:eastAsia="Arial" w:hAnsi="Arial"/>
          <w:b/>
          <w:bCs/>
        </w:rPr>
        <w:t xml:space="preserve">128-dimensional TF-IDF + SVD embeddings</w:t>
      </w:r>
      <w:r>
        <w:rPr>
          <w:rFonts w:ascii="Arial" w:cs="Arial" w:eastAsia="Arial" w:hAnsi="Arial"/>
        </w:rPr>
        <w:t xml:space="preserve"> on our Ch24Document nodes instead of neural embeddings (OpenAI, Cohere, etc.). This was counterintuitive but proved correct for our domain. The reasons: (1) deterministic — same input always produces the same vector, which is critical for auditability, (2) no external API dependency at query time, (3) no hallucination risk from the embedding model misrepresenting domain-specific terms like “UARL” or “ILI”, and (4) lower dimensionality means faster cosine similarity computation and less memory.</w:t>
      </w:r>
    </w:p>
    <w:p>
      <w:pPr>
        <w:spacing w:after="60" w:before="60"/>
      </w:pPr>
      <w:r>
        <w:rPr>
          <w:rFonts w:ascii="Arial" w:cs="Arial" w:eastAsia="Arial" w:hAnsi="Arial"/>
        </w:rPr>
        <w:t xml:space="preserve"/>
      </w:r>
    </w:p>
    <w:p>
      <w:pPr>
        <w:spacing w:after="60" w:before="60"/>
      </w:pPr>
      <w:r>
        <w:rPr>
          <w:rFonts w:ascii="Arial" w:cs="Arial" w:eastAsia="Arial" w:hAnsi="Arial"/>
        </w:rPr>
        <w:t xml:space="preserve">For PIPE OS, domain-specific terms like “Weibull scale parameter”, “graphitic corrosion”, and “Mamdani fuzzy inference” may not be well-represented in general-purpose neural embedding models. I would recommend benchmarking TF-IDF + SVD against neural embeddings on a set of the 72 competency questions before committing to an approach.</w:t>
      </w:r>
    </w:p>
    <w:p>
      <w:pPr>
        <w:spacing w:after="60" w:before="60"/>
      </w:pPr>
      <w:r>
        <w:rPr>
          <w:rFonts w:ascii="Arial" w:cs="Arial" w:eastAsia="Arial" w:hAnsi="Arial"/>
        </w:rPr>
        <w:t xml:space="preserve"/>
      </w:r>
    </w:p>
    <w:p>
      <w:pPr>
        <w:spacing w:after="60" w:before="60"/>
      </w:pPr>
      <w:r>
        <w:rPr>
          <w:rFonts w:ascii="Arial" w:cs="Arial" w:eastAsia="Arial" w:hAnsi="Arial"/>
          <w:b/>
          <w:bCs/>
        </w:rPr>
        <w:t xml:space="preserve">3.3 On the 7-Week Timeline — Be Prepared for Iteration</w:t>
      </w:r>
    </w:p>
    <w:p>
      <w:pPr>
        <w:spacing w:after="60" w:before="60"/>
      </w:pPr>
      <w:r>
        <w:rPr>
          <w:rFonts w:ascii="Arial" w:cs="Arial" w:eastAsia="Arial" w:hAnsi="Arial"/>
        </w:rPr>
        <w:t xml:space="preserve">Our RegOS knowledge graph went through </w:t>
      </w:r>
      <w:r>
        <w:rPr>
          <w:rFonts w:ascii="Arial" w:cs="Arial" w:eastAsia="Arial" w:hAnsi="Arial"/>
          <w:b/>
          <w:bCs/>
        </w:rPr>
        <w:t xml:space="preserve">19 versions</w:t>
      </w:r>
      <w:r>
        <w:rPr>
          <w:rFonts w:ascii="Arial" w:cs="Arial" w:eastAsia="Arial" w:hAnsi="Arial"/>
        </w:rPr>
        <w:t xml:space="preserve"> (v0.1.0 to v0.19.0) before reaching production stability. The FEA migration alone (Session 9) required a complete rewrite of 5 retrieval methods, a full confidence scoring rebalance, Cypher injection fixes, and stale variable cleanup across the entire codebase. Every schema change had ripple effects through the retrieval pipeline, the confidence scoring, the audit logging, and the source panel injection.</w:t>
      </w:r>
    </w:p>
    <w:p>
      <w:pPr>
        <w:spacing w:after="60" w:before="60"/>
      </w:pPr>
      <w:r>
        <w:rPr>
          <w:rFonts w:ascii="Arial" w:cs="Arial" w:eastAsia="Arial" w:hAnsi="Arial"/>
        </w:rPr>
        <w:t xml:space="preserve"/>
      </w:r>
    </w:p>
    <w:p>
      <w:pPr>
        <w:spacing w:after="60" w:before="60"/>
      </w:pPr>
      <w:r>
        <w:rPr>
          <w:rFonts w:ascii="Arial" w:cs="Arial" w:eastAsia="Arial" w:hAnsi="Arial"/>
        </w:rPr>
        <w:t xml:space="preserve">PIPE OS has a richer domain (57 node types vs. our 3 label types, 14 edge types vs. our 4, fuzzy logic modules, Weibull survival curves, Markov transition matrices). The 7-week plan is well-structured as a </w:t>
      </w:r>
      <w:r>
        <w:rPr>
          <w:rFonts w:ascii="Arial" w:cs="Arial" w:eastAsia="Arial" w:hAnsi="Arial"/>
          <w:i/>
          <w:iCs/>
        </w:rPr>
        <w:t xml:space="preserve">first pass</w:t>
      </w:r>
      <w:r>
        <w:rPr>
          <w:rFonts w:ascii="Arial" w:cs="Arial" w:eastAsia="Arial" w:hAnsi="Arial"/>
        </w:rPr>
        <w:t xml:space="preserve">, but I would recommend building in explicit iteration cycles — particularly between Weeks 2 and 3. The moment the graph starts answering competency questions from Layer 3 (regulations), the Layer 1 ontology will need refinement to support those traversals. That feedback loop was the most valuable part of our RegOS development — the graph taught us what the ontology was missing.</w:t>
      </w:r>
    </w:p>
    <w:p>
      <w:pPr>
        <w:spacing w:after="60" w:before="60"/>
      </w:pPr>
      <w:r>
        <w:rPr>
          <w:rFonts w:ascii="Arial" w:cs="Arial" w:eastAsia="Arial" w:hAnsi="Arial"/>
        </w:rPr>
        <w:t xml:space="preserve"/>
      </w:r>
    </w:p>
    <w:p>
      <w:pPr>
        <w:spacing w:after="60" w:before="60"/>
      </w:pPr>
      <w:r>
        <w:rPr>
          <w:rFonts w:ascii="Arial" w:cs="Arial" w:eastAsia="Arial" w:hAnsi="Arial"/>
          <w:b/>
          <w:bCs/>
        </w:rPr>
        <w:t xml:space="preserve">3.4 On Layer 4 (SOPs) — These Are Not Simple Ontology Classes</w:t>
      </w:r>
    </w:p>
    <w:p>
      <w:pPr>
        <w:spacing w:after="60" w:before="60"/>
      </w:pPr>
      <w:r>
        <w:rPr>
          <w:rFonts w:ascii="Arial" w:cs="Arial" w:eastAsia="Arial" w:hAnsi="Arial"/>
        </w:rPr>
        <w:t xml:space="preserve">The build sequence proposes encoding SOPs as step-sequence classes with trigger_condition, required_resources, step_sequence, acceptance_criteria, and documentation_requirements. I agree with the schema, but want to flag that our chunking strategy research for municipal codes revealed a deeper challenge.</w:t>
      </w:r>
    </w:p>
    <w:p>
      <w:pPr>
        <w:spacing w:after="60" w:before="60"/>
      </w:pPr>
      <w:r>
        <w:rPr>
          <w:rFonts w:ascii="Arial" w:cs="Arial" w:eastAsia="Arial" w:hAnsi="Arial"/>
        </w:rPr>
        <w:t xml:space="preserve"/>
      </w:r>
    </w:p>
    <w:p>
      <w:pPr>
        <w:spacing w:after="60" w:before="60"/>
      </w:pPr>
      <w:r>
        <w:rPr>
          <w:rFonts w:ascii="Arial" w:cs="Arial" w:eastAsia="Arial" w:hAnsi="Arial"/>
        </w:rPr>
        <w:t xml:space="preserve">Procedural content (which is what SOPs are) has a fundamentally different structure than declarative content (which is what Layers 1–3 contain). The AWWA M28 rehabilitation decision tree, for example, is a </w:t>
      </w:r>
      <w:r>
        <w:rPr>
          <w:rFonts w:ascii="Arial" w:cs="Arial" w:eastAsia="Arial" w:hAnsi="Arial"/>
          <w:b/>
          <w:bCs/>
        </w:rPr>
        <w:t xml:space="preserve">conditional branching structure</w:t>
      </w:r>
      <w:r>
        <w:rPr>
          <w:rFonts w:ascii="Arial" w:cs="Arial" w:eastAsia="Arial" w:hAnsi="Arial"/>
        </w:rPr>
        <w:t xml:space="preserve"> — not a flat class hierarchy. Material + diameter + soil + access constraints produce different method selections. This is closer to a finite state machine than an OWL class. In RegOS, we encode the 96 regulatory thresholds in a structured JSON file (regulatory_thresholds.json) with evaluation logic in Python rather than in the graph — because threshold evaluation requires conditional logic that graph traversal alone cannot express.</w:t>
      </w:r>
    </w:p>
    <w:p>
      <w:pPr>
        <w:spacing w:after="60" w:before="60"/>
      </w:pPr>
      <w:r>
        <w:rPr>
          <w:rFonts w:ascii="Arial" w:cs="Arial" w:eastAsia="Arial" w:hAnsi="Arial"/>
        </w:rPr>
        <w:t xml:space="preserve"/>
      </w:r>
    </w:p>
    <w:p>
      <w:pPr>
        <w:spacing w:after="60" w:before="60"/>
      </w:pPr>
      <w:r>
        <w:rPr>
          <w:rFonts w:ascii="Arial" w:cs="Arial" w:eastAsia="Arial" w:hAnsi="Arial"/>
          <w:b/>
          <w:bCs/>
        </w:rPr>
        <w:t xml:space="preserve">My suggestion for Layer 4: </w:t>
      </w:r>
      <w:r>
        <w:rPr>
          <w:rFonts w:ascii="Arial" w:cs="Arial" w:eastAsia="Arial" w:hAnsi="Arial"/>
        </w:rPr>
        <w:t xml:space="preserve">Model the SOP metadata (what SOPs exist, what they apply to, who is responsible) in the ontology. Model the SOP content (the actual step sequences and decision trees) as linked documents or executable logic, not as ontology classes. The graph should know that “AWWA M77 acoustic assessment” applies to “CI pipe, diameter &gt; 6 inches” — but the actual assessment procedure should be a traversable document, not a class hierarchy.</w:t>
      </w:r>
    </w:p>
    <w:p>
      <w:pPr>
        <w:spacing w:after="60" w:before="60"/>
      </w:pPr>
      <w:r>
        <w:rPr>
          <w:rFonts w:ascii="Arial" w:cs="Arial" w:eastAsia="Arial" w:hAnsi="Arial"/>
        </w:rPr>
        <w:t xml:space="preserve"/>
      </w:r>
    </w:p>
    <w:p>
      <w:pPr>
        <w:spacing w:after="60" w:before="60"/>
      </w:pPr>
      <w:r>
        <w:rPr>
          <w:rFonts w:ascii="Arial" w:cs="Arial" w:eastAsia="Arial" w:hAnsi="Arial"/>
          <w:b/>
          <w:bCs/>
        </w:rPr>
        <w:t xml:space="preserve">3.5 On Layer 6 (Experiential Knowledge) — Start with Structured Feedback Loops</w:t>
      </w:r>
    </w:p>
    <w:p>
      <w:pPr>
        <w:spacing w:after="60" w:before="60"/>
      </w:pPr>
      <w:r>
        <w:rPr>
          <w:rFonts w:ascii="Arial" w:cs="Arial" w:eastAsia="Arial" w:hAnsi="Arial"/>
        </w:rPr>
        <w:t xml:space="preserve">The proposed confidence-weighted knowledge accumulation model and the “knowledge retirement” pattern are ambitious and valuable. From our RegOS experience, I would suggest starting with a simpler foundation.</w:t>
      </w:r>
    </w:p>
    <w:p>
      <w:pPr>
        <w:spacing w:after="60" w:before="60"/>
      </w:pPr>
      <w:r>
        <w:rPr>
          <w:rFonts w:ascii="Arial" w:cs="Arial" w:eastAsia="Arial" w:hAnsi="Arial"/>
        </w:rPr>
        <w:t xml:space="preserve"/>
      </w:r>
    </w:p>
    <w:p>
      <w:pPr>
        <w:spacing w:after="60" w:before="60"/>
      </w:pPr>
      <w:r>
        <w:rPr>
          <w:rFonts w:ascii="Arial" w:cs="Arial" w:eastAsia="Arial" w:hAnsi="Arial"/>
        </w:rPr>
        <w:t xml:space="preserve">In RegOS, we built an escalation feedback loop: when the system’s confidence score falls below 0.65, it automatically flags the query for human expert review and logs the expert’s response. Over time, this accumulates expert knowledge attached to specific regulatory sections and query patterns. We also implemented conditional disclaimers — the system’s language adapts based on what it actually knows (high confidence gets direct answers, low confidence gets caveats). Research showed that static disclaimers erode user trust, while adaptive language builds it.</w:t>
      </w:r>
    </w:p>
    <w:p>
      <w:pPr>
        <w:spacing w:after="60" w:before="60"/>
      </w:pPr>
      <w:r>
        <w:rPr>
          <w:rFonts w:ascii="Arial" w:cs="Arial" w:eastAsia="Arial" w:hAnsi="Arial"/>
        </w:rPr>
        <w:t xml:space="preserve"/>
      </w:r>
    </w:p>
    <w:p>
      <w:pPr>
        <w:spacing w:after="60" w:before="60"/>
      </w:pPr>
      <w:r>
        <w:rPr>
          <w:rFonts w:ascii="Arial" w:cs="Arial" w:eastAsia="Arial" w:hAnsi="Arial"/>
          <w:b/>
          <w:bCs/>
        </w:rPr>
        <w:t xml:space="preserve">For PIPE OS Layer 6: </w:t>
      </w:r>
      <w:r>
        <w:rPr>
          <w:rFonts w:ascii="Arial" w:cs="Arial" w:eastAsia="Arial" w:hAnsi="Arial"/>
        </w:rPr>
        <w:t xml:space="preserve">I would recommend starting with (a) structured annotation capture on pipe segments and DMAs (field_observation, anomaly_note — as proposed), (b) a simple feedback loop where expert overrides are logged against model predictions, and (c) periodic calibration where accumulated annotations adjust Weibull parameters or risk weights. The full knowledge retirement pattern is important but is a Phase 2 capability — trying to build it in Weeks 5–6 alongside the basic capture mechanism may overextend.</w:t>
      </w:r>
    </w:p>
    <w:p>
      <w:pPr>
        <w:spacing w:after="60" w:before="60"/>
      </w:pPr>
      <w:r>
        <w:rPr>
          <w:rFonts w:ascii="Arial" w:cs="Arial" w:eastAsia="Arial" w:hAnsi="Arial"/>
        </w:rPr>
        <w:t xml:space="preserve"/>
      </w:r>
    </w:p>
    <w:p>
      <w:pPr>
        <w:spacing w:after="60" w:before="60"/>
      </w:pPr>
      <w:r>
        <w:rPr>
          <w:rFonts w:ascii="Arial" w:cs="Arial" w:eastAsia="Arial" w:hAnsi="Arial"/>
          <w:b/>
          <w:bCs/>
        </w:rPr>
        <w:t xml:space="preserve">3.6 On the Extraction Approach — Validate Against Domain Experts</w:t>
      </w:r>
    </w:p>
    <w:p>
      <w:pPr>
        <w:spacing w:after="60" w:before="60"/>
      </w:pPr>
      <w:r>
        <w:rPr>
          <w:rFonts w:ascii="Arial" w:cs="Arial" w:eastAsia="Arial" w:hAnsi="Arial"/>
        </w:rPr>
        <w:t xml:space="preserve">The principle of “mine the codebase” is sound, and I fully support it. One caution from our experience: </w:t>
      </w:r>
      <w:r>
        <w:rPr>
          <w:rFonts w:ascii="Arial" w:cs="Arial" w:eastAsia="Arial" w:hAnsi="Arial"/>
          <w:b/>
          <w:bCs/>
        </w:rPr>
        <w:t xml:space="preserve">codebase ontology reflects implementation decisions, not necessarily domain truth</w:t>
      </w:r>
      <w:r>
        <w:rPr>
          <w:rFonts w:ascii="Arial" w:cs="Arial" w:eastAsia="Arial" w:hAnsi="Arial"/>
        </w:rPr>
        <w:t xml:space="preserve">. When we built the RegOS graph, automated extraction from Chapter 24 text produced too many false concepts. We had to manually curate the 30 Ch24Class ontology concepts — these are human-defined, not machine-extracted. The TypeScript and SQL in PIPE OS v4 encode the developer’s model of the domain, which may have gaps or simplifications that a pipe engineer would catch.</w:t>
      </w:r>
    </w:p>
    <w:p>
      <w:pPr>
        <w:spacing w:after="60" w:before="60"/>
      </w:pPr>
      <w:r>
        <w:rPr>
          <w:rFonts w:ascii="Arial" w:cs="Arial" w:eastAsia="Arial" w:hAnsi="Arial"/>
        </w:rPr>
        <w:t xml:space="preserve"/>
      </w:r>
    </w:p>
    <w:p>
      <w:pPr>
        <w:spacing w:after="60" w:before="60"/>
      </w:pPr>
      <w:r>
        <w:rPr>
          <w:rFonts w:ascii="Arial" w:cs="Arial" w:eastAsia="Arial" w:hAnsi="Arial"/>
        </w:rPr>
        <w:t xml:space="preserve">I would recommend a validation pass with a domain expert (pipe engineer, asset management specialist) against the 57-node graph before formalization. Specifically: are there node types missing that the codebase doesn’t model but the domain requires? Are there edges that the foreign keys imply but that domain reality contradicts? This is a one-day exercise that can save weeks of rework.</w:t>
      </w:r>
    </w:p>
    <w:p>
      <w:pPr>
        <w:pStyle w:val="Heading1"/>
        <w:spacing w:after="120" w:before="300"/>
      </w:pPr>
      <w:r>
        <w:rPr>
          <w:rFonts w:ascii="Arial" w:cs="Arial" w:eastAsia="Arial" w:hAnsi="Arial"/>
          <w:b/>
          <w:bCs/>
          <w:sz w:val="28"/>
          <w:szCs w:val="28"/>
        </w:rPr>
        <w:t xml:space="preserve">4. On Neo4j Ownership</w:t>
      </w:r>
    </w:p>
    <w:p>
      <w:pPr>
        <w:spacing w:after="60" w:before="60"/>
      </w:pPr>
      <w:r>
        <w:rPr>
          <w:rFonts w:ascii="Arial" w:cs="Arial" w:eastAsia="Arial" w:hAnsi="Arial"/>
        </w:rPr>
        <w:t xml:space="preserve">Happy to own this. The PIPE OS graph will be substantially different from the RegOS graph in structure (more node types, more edge types, computational edges with fuzzy logic and survival functions), but the </w:t>
      </w:r>
      <w:r>
        <w:rPr>
          <w:rFonts w:ascii="Arial" w:cs="Arial" w:eastAsia="Arial" w:hAnsi="Arial"/>
          <w:b/>
          <w:bCs/>
        </w:rPr>
        <w:t xml:space="preserve">retrieval architecture patterns transfer directly</w:t>
      </w:r>
      <w:r>
        <w:rPr>
          <w:rFonts w:ascii="Arial" w:cs="Arial" w:eastAsia="Arial" w:hAnsi="Arial"/>
        </w:rPr>
        <w:t xml:space="preserve">: layered traversal, concept expansion, confidence scoring based on graph signal strength, and cross-domain bridge discovery. The tooling we have built (Cypher query templates, fulltext index patterns, parameterized search, confidence signal calibration) can be adapted rather than rebuilt.</w:t>
      </w:r>
    </w:p>
    <w:p>
      <w:pPr>
        <w:spacing w:after="60" w:before="60"/>
      </w:pPr>
      <w:r>
        <w:rPr>
          <w:rFonts w:ascii="Arial" w:cs="Arial" w:eastAsia="Arial" w:hAnsi="Arial"/>
        </w:rPr>
        <w:t xml:space="preserve"/>
      </w:r>
    </w:p>
    <w:p>
      <w:pPr>
        <w:spacing w:after="60" w:before="60"/>
      </w:pPr>
      <w:r>
        <w:rPr>
          <w:rFonts w:ascii="Arial" w:cs="Arial" w:eastAsia="Arial" w:hAnsi="Arial"/>
        </w:rPr>
        <w:t xml:space="preserve">I will start with a practical exercise: take the 57-node graph from the document and model it in Neo4j with the 14 relationship types. Run a subset of the 72 competency questions as Cypher traversals. This will immediately show which questions the graph can answer, which need additional edges, and which need data that the ontology does not yet capture. I can have this ready by end of week.</w:t>
      </w:r>
    </w:p>
    <w:p>
      <w:pPr>
        <w:pStyle w:val="Heading1"/>
        <w:spacing w:after="120" w:before="300"/>
      </w:pPr>
      <w:r>
        <w:rPr>
          <w:rFonts w:ascii="Arial" w:cs="Arial" w:eastAsia="Arial" w:hAnsi="Arial"/>
          <w:b/>
          <w:bCs/>
          <w:sz w:val="28"/>
          <w:szCs w:val="28"/>
        </w:rPr>
        <w:t xml:space="preserve">5.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C1C1C" w:val="clear"/>
            <w:tcMar>
              <w:top w:type="dxa" w:w="60"/>
              <w:left w:type="dxa" w:w="100"/>
              <w:bottom w:type="dxa" w:w="60"/>
              <w:right w:type="dxa" w:w="100"/>
            </w:tcMar>
          </w:tcPr>
          <w:p>
            <w:r>
              <w:rPr>
                <w:rFonts w:ascii="Arial" w:cs="Arial" w:eastAsia="Arial" w:hAnsi="Arial"/>
                <w:b/>
                <w:bCs/>
                <w:color w:val="D4A017"/>
                <w:sz w:val="18"/>
                <w:szCs w:val="18"/>
              </w:rPr>
              <w:t xml:space="preserve">ASPECT</w:t>
            </w:r>
          </w:p>
        </w:tc>
        <w:tc>
          <w:tcPr>
            <w:tcW w:type="dxa" w:w="5860"/>
            <w:tcBorders>
              <w:top w:val="single" w:color="CCCCCC" w:sz="1"/>
              <w:left w:val="single" w:color="CCCCCC" w:sz="1"/>
              <w:bottom w:val="single" w:color="CCCCCC" w:sz="1"/>
              <w:right w:val="single" w:color="CCCCCC" w:sz="1"/>
            </w:tcBorders>
            <w:shd w:fill="1C1C1C" w:val="clear"/>
            <w:tcMar>
              <w:top w:type="dxa" w:w="60"/>
              <w:left w:type="dxa" w:w="100"/>
              <w:bottom w:type="dxa" w:w="60"/>
              <w:right w:type="dxa" w:w="100"/>
            </w:tcMar>
          </w:tcPr>
          <w:p>
            <w:r>
              <w:rPr>
                <w:rFonts w:ascii="Arial" w:cs="Arial" w:eastAsia="Arial" w:hAnsi="Arial"/>
                <w:b/>
                <w:bCs/>
                <w:color w:val="D4A017"/>
                <w:sz w:val="18"/>
                <w:szCs w:val="18"/>
              </w:rPr>
              <w:t xml:space="preserve">ASSESSMENT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6-Layer Architecture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Fully endorse. Validated by RegOS concept expansion results.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Extraction Principle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Correct approach. Recommend domain expert validation pass before formalization.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72 Competency Questions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Outstanding methodology. Recommend adopting for RegOS multi-jurisdiction.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Gap Analysis (L4/L6)</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Honest and correct. These are also the highest-value moat layers.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OWL Formalization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Recommend parallel track: Neo4j graph first (runtime), OWL second (validation).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7-Week Timeline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Achievable as first pass. Build in iteration cycles between weeks 2–3.</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Layer 4 SOPs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Model metadata in graph, content as linked documents/executable logic.</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Layer 6 Experiential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Start with structured feedback loops. Full knowledge retirement is Phase 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Embeddings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Benchmark TF-IDF+SVD vs neural before committing. Domain terms matter.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Neo4j Ownership</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Accepted. Will model 57-node graph in Neo4j and test competency questions by EOW.</w:t>
            </w:r>
          </w:p>
        </w:tc>
      </w:tr>
    </w:tbl>
    <w:p>
      <w:pPr>
        <w:spacing w:after="60" w:before="60"/>
      </w:pPr>
      <w:r>
        <w:rPr>
          <w:rFonts w:ascii="Arial" w:cs="Arial" w:eastAsia="Arial" w:hAnsi="Arial"/>
        </w:rPr>
        <w:t xml:space="preserve"/>
      </w:r>
    </w:p>
    <w:p>
      <w:pPr>
        <w:spacing w:after="60" w:before="60"/>
      </w:pPr>
      <w:r>
        <w:rPr>
          <w:rFonts w:ascii="Arial" w:cs="Arial" w:eastAsia="Arial" w:hAnsi="Arial"/>
        </w:rPr>
        <w:t xml:space="preserve">Looking forward to the team’s perspectives on this. The interconnected nature of our systems — RegOS, PIPE OS, and NIDD — means the ontology decisions we make here will ripple through everything. Let’s get it right.</w:t>
      </w:r>
    </w:p>
    <w:p>
      <w:pPr>
        <w:spacing w:after="60" w:before="60"/>
      </w:pPr>
      <w:r>
        <w:rPr>
          <w:rFonts w:ascii="Arial" w:cs="Arial" w:eastAsia="Arial" w:hAnsi="Arial"/>
        </w:rPr>
        <w:t xml:space="preserve"/>
      </w:r>
    </w:p>
    <w:p>
      <w:pPr>
        <w:spacing w:after="60" w:before="60"/>
      </w:pPr>
      <w:r>
        <w:rPr>
          <w:rFonts w:ascii="Arial" w:cs="Arial" w:eastAsia="Arial" w:hAnsi="Arial"/>
        </w:rPr>
        <w:t xml:space="preserve">Cheers,</w:t>
      </w:r>
    </w:p>
    <w:p>
      <w:pPr>
        <w:spacing w:after="60" w:before="60"/>
      </w:pPr>
      <w:r>
        <w:rPr>
          <w:rFonts w:ascii="Arial" w:cs="Arial" w:eastAsia="Arial" w:hAnsi="Arial"/>
          <w:b/>
          <w:bCs/>
        </w:rPr>
        <w:t xml:space="preserve">Anmol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Re: Pipe OS - Onto/Taxo — Anmol’s Response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C1C1C"/>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2026-03-23T12:47:53.260Z</dcterms:created>
  <dcterms:modified xsi:type="dcterms:W3CDTF">2026-03-23T12:47:53.260Z</dcterms:modified>
</cp:coreProperties>
</file>

<file path=docProps/custom.xml><?xml version="1.0" encoding="utf-8"?>
<Properties xmlns="http://schemas.openxmlformats.org/officeDocument/2006/custom-properties" xmlns:vt="http://schemas.openxmlformats.org/officeDocument/2006/docPropsVTypes"/>
</file>