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RegOS Sidecar API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Sample Query &amp; Response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Demonstrating the API request/response cycle and parsed output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/api/regos/query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157.245.15.224:8300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Nemotron Super 49B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AD4E"/>
                <w:sz w:val="20"/>
                <w:szCs w:val="20"/>
              </w:rPr>
              <w:t xml:space="preserve">78%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$0.0009 (5,088 tokens)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March 2026 | APAS Group |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The API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curl command was used to query the RegOS Sidecar API:</w:t>
      </w:r>
    </w:p>
    <w:p>
      <w:pPr>
        <w:shd w:fill="F5F5F5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http://157.245.15.224:8300/api/regos/query \</w:t>
      </w:r>
    </w:p>
    <w:p>
      <w:pPr>
        <w:shd w:fill="F5F5F5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'{"question": "What are the BOD limits for</w:t>
      </w:r>
    </w:p>
    <w:p>
      <w:pPr>
        <w:shd w:fill="F5F5F5" w:val="clear"/>
        <w:spacing w:after="60"/>
        <w:ind w:left="240" w:righ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wastewater discharge?"}'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sends a simple regulatory question through the full RegOS pipeline: graph retrieval from Neo4j, context injection, LLM generation, confidence scoring, threshold evaluation, and audit logging.</w:t>
      </w:r>
    </w:p>
    <w:p>
      <w:pPr>
        <w:pStyle w:val="Heading2"/>
      </w:pPr>
      <w:r>
        <w:rPr>
          <w:rFonts w:ascii="Arial" w:cs="Arial" w:eastAsia="Arial" w:hAnsi="Arial"/>
        </w:rPr>
        <w:t xml:space="preserve">Request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http://157.245.15.224:8300/api/regos/query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BOD limits for wastewater discharge?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(default)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show_reasoning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(default)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Parsed Response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GraphRAG  </w:t>
      </w:r>
    </w:p>
    <w:p>
      <w:pPr>
        <w:pStyle w:val="Heading2"/>
      </w:pPr>
      <w:r>
        <w:rPr>
          <w:rFonts w:ascii="Arial" w:cs="Arial" w:eastAsia="Arial" w:hAnsi="Arial"/>
        </w:rPr>
        <w:t xml:space="preserve">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specific BOD (Biochemical Oxygen Demand) limits for wastewater discharge in Miami-Dade County Chapter 24 are not explicitly stated in the retrieved sections. However, the regulatory framework requires compliance with effluent standards under Section 24-42(2) (referenced in [G2]) and pretreatment standards under Section 24-42.4 ([G1]). Compliance testing for BOD removal is mandated, and sampling must follow methods outlined in Section 24-44.2 ([G2]).</w:t>
      </w:r>
    </w:p>
    <w:p>
      <w:pPr>
        <w:pStyle w:val="Heading2"/>
      </w:pPr>
      <w:r>
        <w:rPr>
          <w:rFonts w:ascii="Arial" w:cs="Arial" w:eastAsia="Arial" w:hAnsi="Arial"/>
        </w:rPr>
        <w:t xml:space="preserve">Regulatory Analysis</w:t>
      </w:r>
    </w:p>
    <w:p>
      <w:pPr>
        <w:pStyle w:val="Heading3"/>
      </w:pPr>
      <w:r>
        <w:rPr>
          <w:rFonts w:ascii="Arial" w:cs="Arial" w:eastAsia="Arial" w:hAnsi="Arial"/>
        </w:rPr>
        <w:t xml:space="preserve">1. BOD Compliance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While the exact BOD numerical limit is not directly quoted,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Section 24-44.2(1)</w:t>
      </w:r>
      <w:r>
        <w:rPr>
          <w:rFonts w:ascii="Arial" w:cs="Arial" w:eastAsia="Arial" w:hAnsi="Arial"/>
          <w:sz w:val="22"/>
          <w:szCs w:val="22"/>
        </w:rPr>
        <w:t xml:space="preserve"> ([G2]) states that samples for compliance with effluent standards (including BOD) must be taken at the point past which no further treatment occurs.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24-44.2(5)</w:t>
      </w:r>
      <w:r>
        <w:rPr>
          <w:rFonts w:ascii="Arial" w:cs="Arial" w:eastAsia="Arial" w:hAnsi="Arial"/>
          <w:sz w:val="22"/>
          <w:szCs w:val="22"/>
        </w:rPr>
        <w:t xml:space="preserve"> ([G2]) explicitly mentions "percent removal of BOD and suspended solids," indicating that BOD limits are tied to removal efficiency requirements.</w:t>
      </w:r>
    </w:p>
    <w:p>
      <w:pPr>
        <w:pStyle w:val="Heading3"/>
      </w:pPr>
      <w:r>
        <w:rPr>
          <w:rFonts w:ascii="Arial" w:cs="Arial" w:eastAsia="Arial" w:hAnsi="Arial"/>
        </w:rPr>
        <w:t xml:space="preserve">2. Pretreatment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24-42.4</w:t>
      </w:r>
      <w:r>
        <w:rPr>
          <w:rFonts w:ascii="Arial" w:cs="Arial" w:eastAsia="Arial" w:hAnsi="Arial"/>
          <w:sz w:val="22"/>
          <w:szCs w:val="22"/>
        </w:rPr>
        <w:t xml:space="preserve"> ([G1]) governs pretreatment standards for industrial users discharging into publicly owned treatment works (POTWs). It prohibits discharges that cause "interference" or "pass-through" of pollutants, which may indirectly regulate BOD levels.</w:t>
      </w:r>
    </w:p>
    <w:p>
      <w:pPr>
        <w:pStyle w:val="Heading3"/>
      </w:pPr>
      <w:r>
        <w:rPr>
          <w:rFonts w:ascii="Arial" w:cs="Arial" w:eastAsia="Arial" w:hAnsi="Arial"/>
        </w:rPr>
        <w:t xml:space="preserve">3. Stormwater and FOG Provisions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Sections 24-42.8</w:t>
      </w:r>
      <w:r>
        <w:rPr>
          <w:rFonts w:ascii="Arial" w:cs="Arial" w:eastAsia="Arial" w:hAnsi="Arial"/>
          <w:sz w:val="22"/>
          <w:szCs w:val="22"/>
        </w:rPr>
        <w:t xml:space="preserve"> ([G3])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24-42.6</w:t>
      </w:r>
      <w:r>
        <w:rPr>
          <w:rFonts w:ascii="Arial" w:cs="Arial" w:eastAsia="Arial" w:hAnsi="Arial"/>
          <w:sz w:val="22"/>
          <w:szCs w:val="22"/>
        </w:rPr>
        <w:t xml:space="preserve"> ([G4]) address stormwater and Fats, Oils, and Grease (FOG) controls but do not specify BOD limits.</w:t>
      </w:r>
    </w:p>
    <w:p>
      <w:pPr>
        <w:pStyle w:val="Heading2"/>
      </w:pPr>
      <w:r>
        <w:rPr>
          <w:rFonts w:ascii="Arial" w:cs="Arial" w:eastAsia="Arial" w:hAnsi="Arial"/>
        </w:rPr>
        <w:t xml:space="preserve">Applicable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[G1]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§24-42.4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Sanitary sewer discharge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pretreatment standards and prohibited discharges affecting BOD.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[G2]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§24-44.2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tests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sampling methods and references BOD removal requirements.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What You Need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Section 24-42(2):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Locate the full text to identify explicit BOD limits for effluent.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Follow Sampling Protocols: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Ensure compliance testing for BOD is conducted at the designated discharge point per Section 24-44.2 ([G2]).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 Pretreatment Rules: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discharging to a POTW, comply with Section 24-42.4 ([G1]) to avoid interference or pass-through violations.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Gaps &amp;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57373" w:sz="12"/>
              <w:bottom w:val="none" w:sz="0"/>
              <w:right w:val="none" w:sz="0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retrieved sections do not include the exact BOD numerical limit (e.g., mg/L), which is likely specified in Section 24-42(2) (not fully retrieved here).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Site-specific factors (e.g., facility type, discharge destination) may affect applicable BOD limits.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Engineering judgment is required to interpret removal efficiency requirements mentioned in Section 24-44.2(5) ([G2]).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DD5FF"/>
                <w:sz w:val="22"/>
                <w:szCs w:val="22"/>
              </w:rPr>
              <w:t xml:space="preserve">Next Step: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Verify the full text of Section 24-42(2) for explicit BOD limits and consult Miami-Dade County's Environmental Quality Control Board if clarification is needed.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E0E5EC" w:sz="4" w:space="8"/>
        </w:pBd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SOURCE CONFIDENCE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D4E"/>
                <w:sz w:val="32"/>
                <w:szCs w:val="32"/>
              </w:rPr>
              <w:t xml:space="preserve">78%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TOKENS USED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5,088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$0.0009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RegOS regulatory analysis — Miami-Dade Chapter 24, Sections [G1]–[G5]. Review cited sections for your specific facility context.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Raw JSON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raw API response is a JSON object with the following top-level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full markdown-formatted regulatory analysis (shown parsed above)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reasoning tokens (null because show_reasoning was not set)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nvidia/llama-3.3-nemotron-super-49b-v1.5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confidence band (null here — model embedded it in content instead)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usage: 3,767 prompt + 1,321 completion = 5,088 total ($0.0009)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content</w:t>
      </w:r>
      <w:r>
        <w:rPr>
          <w:rFonts w:ascii="Arial" w:cs="Arial" w:eastAsia="Arial" w:hAnsi="Arial"/>
          <w:sz w:val="22"/>
          <w:szCs w:val="22"/>
        </w:rPr>
        <w:t xml:space="preserve"> field contains markdown that should be rendered by the consuming application. The HTML file attached alongside this document demonstrates one way to parse and display this content.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Attached File: </w:t>
            </w: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parsed_response.html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this HTML file in any browser to see the fully rendered, styled version of the API response shown above.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APAS Group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RegOS API — Sample Query &amp; Response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2026-03-05T18:46:39.183Z</dcterms:created>
  <dcterms:modified xsi:type="dcterms:W3CDTF">2026-03-05T18:46:39.183Z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