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RegOS Discovery Document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Technical Architecture, Integration Potential &amp; Knowledge Base Analysis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1.0  —  March 2026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by APAS AI Engineering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For: External Engineering Team Integration Assessment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RegOS (Regulatory Operating System) is an AI-powered compliance assistant purpose-built for Miami-Dade County Chapter 24 environmental regulations. It sits as a filter layer inside Open WebUI, intercepting user queries, searching a Neo4j knowledge graph containing the full text of Chapter 24, and injecting relevant regulatory sections as context before the LLM generates a response. The system then scores confidence, evaluates numeric thresholds deterministically, logs an audit trail, and applies guardrails—all without requiring the underlying LLM to support tool calling.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RegOS is designed for three user personas: citizens seeking permit/compliance guidance, environmental consultants performing regulatory analysis, and regulators reviewing compliance data. It produces structured, citation-backed responses with section references, confidence scores, and deterministic threshold evaluations.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integration purposes, RegOS exposes a Sidecar REST API (FastAPI on port 8300) that wraps the full pipeline into a single HTTP call. An external system can POST a question and receive a fully scored, cited, guardrailed response—without needing to understand Open WebUI internals.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System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Platform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WebUI (Docker container)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Knowledge Graph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Neo4j Aura (cloud-hosted graph DB)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LLM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2.0 Flash (via OpenRouter)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Vision 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 (via OpenRouter, for document analysis)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 Framework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WebUI Filter (Python, inlet/outlet pattern)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Sidecar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 on port 8300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 (tamper-evident, SHA-256 hashed records)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Breach Logging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 (threshold evaluation evidence)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Bash scripts (idempotent, modular 8-step installer)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+ systemd service for sidecar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2.2 Filter Architecture (Inlet/Outlet Pattern)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RegOS is implemented as an Open WebUI Filter, not a Pipe. This distinction matters: a Filter works with any LLM model (no tool-calling required), while a Pipe replaces the model endpoint. The filter intercepts messages at two points: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inlet()</w:t>
      </w:r>
      <w:r>
        <w:rPr>
          <w:rFonts w:ascii="Arial" w:cs="Arial" w:eastAsia="Arial" w:hAnsi="Arial"/>
          <w:sz w:val="22"/>
          <w:szCs w:val="22"/>
        </w:rPr>
        <w:t xml:space="preserve"> — Before the LLM sees the message. The filter searches Neo4j, injects regulatory context as a system message, detects uploaded documents, evaluates numeric thresholds, and applies guardrails. If a guardrail triggers, the query never reaches the LLM.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outlet()</w:t>
      </w:r>
      <w:r>
        <w:rPr>
          <w:rFonts w:ascii="Arial" w:cs="Arial" w:eastAsia="Arial" w:hAnsi="Arial"/>
          <w:sz w:val="22"/>
          <w:szCs w:val="22"/>
        </w:rPr>
        <w:t xml:space="preserve"> — After the LLM responds. The filter appends confidence badges, citation blocks, threshold evaluation results, escalation notices, trace data, and audit metadata to the response.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architecture means RegOS is model-agnostic. You can swap the underlying LLM (Gemini, GPT-4, Claude, Llama) without changing the filter. All structured intelligence—retrieval, scoring, thresholds, guardrails—lives in the filter, not the model.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2.3 Data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submits query via Open WebUI chat or Sidecar API.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inlet() fires: guardrail check → document analysis → Neo4j graph search → threshold extraction → context injection.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WebUI sends the enriched message (with regulatory context as system prompt) to the configured LLM.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 generates response using the injected Chapter 24 sections as grounding context.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outlet() fires: confidence scoring → citation assembly → threshold evaluation results → escalation check → audit logging → response enrichment.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Enriched response returned to user (or Sidecar API consumer).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2.4 File System Layout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Key files in the regos-installer/ repository: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functions/graphrag_filter.py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filter: GraphRAG retrieval, confidence scoring, thresholds, guardrails, document analysis (2,679 lines, v0.18.0)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functions/audit_logger.py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Tamper-evident audit trail filter. Captures every query/response with SHA-256 hashing (336 lines, v0.5.0)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api/regos_api.py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sidecar proxy. Single-endpoint REST API for external consumers (468 lines)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data/regulatory_thresholds.json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 curated Chapter 24 thresholds with section refs, units, directions (22 KB)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data/concepts.json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Ontology of 15 regulatory concepts mapping to primary Chapter 24 sections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data/apas_metric_mappings.json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APAS Telemetry API metric-to-threshold mappings (8 metrics, 14 effluent templates)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prompts/system_prompt.md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model system prompt defining RegOS identity and response structure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config/install.conf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Installer configuration: container name, API URL, model ID, feature flags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steps/01-08*.sh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Modular installer steps (detect container, install deps, copy data, register functions, create model, verify)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The Knowledge Base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Neo4j Graph 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knowledge graph is hosted on Neo4j Aura and contains the complete text of Miami-Dade County Code Chapter 24 (Environmental Protection). The graph export file (chaptor_24_graph.json) is approximately 226 MB and contains: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Label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Ch24Document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regulatory sections (e.g., Sec. 24-42, 24-43). Each contains the full section text, title, and a section_ref identifier.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Ch24Entity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Named entities extracted from the text: pollutants, facilities, permits, processes, regulatory bodies. Each has a name and optional description.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Ch24Class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High-level regulatory concepts (e.g., SEWER_DISCHARGE_LIMITS, FOG_CONTROL, WELLFIELD_PROTECTION) that group related sections.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MENTIONS_ENTITY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→ 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section mentions a specific entity (e.g., Sec. 24-42 mentions 'Biochemical Oxygen Demand')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RELATES_TO_CONCEPT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→ Class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section belongs to a regulatory concept grouping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 Four-Step Retrieval Pipeline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GraphRAG filter executes a four-step search pipeline against Neo4j for every query. Each step uses a different search strategy, and results are deduplicated and merged. A typical query completes in approximately 800ms.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Fulltext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Runs a Lucene fulltext search across Ch24Document.text. Returns sections where the query terms appear in the regulatory text itself. Typically the highest-scoring results.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Entity Match + Traversal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Searches Ch24Entity nodes by name, then traverses MENTIONS_ENTITY relationships backward to find parent documents. This catches sections that discuss an entity even if the query terms don't appear verbatim.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Concept Expansion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Maps query terms to Ch24Class concepts (using concepts.json), then finds all documents linked via RELATES_TO_CONCEPT. Broadens coverage for thematic queries like 'stormwater management'.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 Fulltext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second fulltext pass with broader term matching (lower threshold). Catches sections that marginally match. Results from earlier steps are excluded to avoid duplicates.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3.3 Structured Extractions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Regulatory Thresholds (regulatory_thresholds.json)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system maintains a curated table of 96 numeric regulatory thresholds extracted from Chapter 24. These are used for deterministic (non-LLM) compliance evaluation. Each threshold entry contains: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parameter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Biochemical oxygen demand (BOD)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is being measured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regulatory limit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mg/l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of measurement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direction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Whether the value is a minimum or maximum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section_ref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24_42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Chapter 24 section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context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BOD shall not exceed 30 mg/l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Original regulatory text for the threshold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concentration_limit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Category: concentration_limit, percentage, temperature, etc.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Key Threshold Categories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96 thresholds cover the following parameter categories: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Effluent quality: BOD, TSS, dissolved oxygen, pH, oil and grease, turbidity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Heavy metals: copper, lead, zinc, chromium, nickel, cadmium, mercury, arsenic, cyanide, silver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Temperature limits: 92°F freshwater, 95°F marine receiving waters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Fats/Oils/Grease (FOG): limits for food service establishments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Treatment efficiency: minimum 90% treatment requirement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Stormwater: discharge standards, retention requirements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Ontology Concepts (concepts.json)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15 regulatory domain concepts that map query themes to primary Chapter 24 sections: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Sections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SEWER_DISCHARGE_LIMITS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Sewer Discharge Limits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24-42, 24-42.4, 24-42.5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FOG_CONTROL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FOG Control Program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24-42.6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STORMWATER_MANAGEMENT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Stormwater Management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24-42.8, 24-51, 24-21.1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WELLFIELD_PROTECTION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Wellfield Protection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24-43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POTABLE_WATER_STANDARDS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Potable Water Standards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24-11 through 24-28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(Plus 10 more: RECLAIMED_WATER, INDUSTRIAL_PRETREATMENT, SEPTIC_SYSTEMS, WATER_CONSERVATION, ENVIRONMENTAL_IMPACT, NOISE_CONTROL, WELLFIELD_CONTAMINATION, CROSS_CONNECTION_CONTROL, WATER_SHORTAGE, ENFORCEMENT_PENALTIES.)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APAS Metric Mappings (apas_metric_mappings.json)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Maps APAS Telemetry API sensor readings to Chapter 24 threshold parameters. Currently 8 metrics from a pump station SCADA system are mapped, but only 1 (temperature) has an active evaluate:true flag with a corresponding threshold. 14 effluent sensor templates are defined for future deployment (BOD, TSS, DO, pH, oil/grease, turbidity, copper, lead, zinc, chromium, nickel, cyanide, FOG).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Capabilities &amp; Limitations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 Deterministic Capabilities (No LLM Involved)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These features operate entirely in Python code, producing repeatable, auditable results: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Threshold Evaluation: </w:t>
      </w:r>
      <w:r>
        <w:rPr>
          <w:rFonts w:ascii="Arial" w:cs="Arial" w:eastAsia="Arial" w:hAnsi="Arial"/>
          <w:sz w:val="22"/>
          <w:szCs w:val="22"/>
        </w:rPr>
        <w:t xml:space="preserve">Regex-based parameter detection extracts numeric measurements from user queries (e.g., 'my BOD is 35 mg/l') and evaluates them against the 96 curated thresholds. Produces a deterministic PASS/FAIL/INCONCLUSIVE verdict with SHA-256 evidence hashing. No LLM hallucination possible.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Guardrails: </w:t>
      </w:r>
      <w:r>
        <w:rPr>
          <w:rFonts w:ascii="Arial" w:cs="Arial" w:eastAsia="Arial" w:hAnsi="Arial"/>
          <w:sz w:val="22"/>
          <w:szCs w:val="22"/>
        </w:rPr>
        <w:t xml:space="preserve">Keyword-based out-of-scope detection (blocks queries about building code, OSHA, EPA federal, etc.), jurisdiction mismatch detection (blocks queries about non-Miami-Dade locations), and zero-retrieval blocking (no graph results = guardrail notice instead of hallucinated answer).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Confidence Scoring: </w:t>
      </w:r>
      <w:r>
        <w:rPr>
          <w:rFonts w:ascii="Arial" w:cs="Arial" w:eastAsia="Arial" w:hAnsi="Arial"/>
          <w:sz w:val="22"/>
          <w:szCs w:val="22"/>
        </w:rPr>
        <w:t xml:space="preserve">6-signal weighted composite score (0.0–1.0) computed from: average document relevance (0.30), document count (0.15), concept match (0.25), section count (0.12), graph-exclusive content (0.10), direct search results (0.08). Bands: HIGH (≥0.75), MEDIUM (0.50–0.74), LOW (&lt;0.50).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Logging: </w:t>
      </w:r>
      <w:r>
        <w:rPr>
          <w:rFonts w:ascii="Arial" w:cs="Arial" w:eastAsia="Arial" w:hAnsi="Arial"/>
          <w:sz w:val="22"/>
          <w:szCs w:val="22"/>
        </w:rPr>
        <w:t xml:space="preserve">Every query/response pair is logged to SQLite with: query text, response text, confidence score and signals, escalation status, guardrail status, and a SHA-256 record hash for tamper detection.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Escalation Flagging: </w:t>
      </w:r>
      <w:r>
        <w:rPr>
          <w:rFonts w:ascii="Arial" w:cs="Arial" w:eastAsia="Arial" w:hAnsi="Arial"/>
          <w:sz w:val="22"/>
          <w:szCs w:val="22"/>
        </w:rPr>
        <w:t xml:space="preserve">Queries below the configurable confidence threshold (default 0.65) are automatically flagged for expert review. Supports webhook notification via n8n.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 Probabilistic Capabilities (LLM-Dependent)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Natural Language Response Generation: </w:t>
      </w:r>
      <w:r>
        <w:rPr>
          <w:rFonts w:ascii="Arial" w:cs="Arial" w:eastAsia="Arial" w:hAnsi="Arial"/>
          <w:sz w:val="22"/>
          <w:szCs w:val="22"/>
        </w:rPr>
        <w:t xml:space="preserve">The LLM synthesizes the injected regulatory sections into a structured answer (Summary → Regulatory Analysis → Applicable Sections → What You Need To Do → Gaps &amp; Limitations).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Analysis: </w:t>
      </w:r>
      <w:r>
        <w:rPr>
          <w:rFonts w:ascii="Arial" w:cs="Arial" w:eastAsia="Arial" w:hAnsi="Arial"/>
          <w:sz w:val="22"/>
          <w:szCs w:val="22"/>
        </w:rPr>
        <w:t xml:space="preserve">Uploaded PDFs, Word docs, Excel files, PowerPoint, and images are converted to page images and sent to GPT-4o for vision-based extraction. The analysis is injected into the conversation for the primary model to reason over.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Interpretation: </w:t>
      </w:r>
      <w:r>
        <w:rPr>
          <w:rFonts w:ascii="Arial" w:cs="Arial" w:eastAsia="Arial" w:hAnsi="Arial"/>
          <w:sz w:val="22"/>
          <w:szCs w:val="22"/>
        </w:rPr>
        <w:t xml:space="preserve">The LLM interprets ambiguous or complex queries to produce readable answers—but this is where hallucination risk exists (mitigated by the system prompt + injected context).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4.3 Known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jurisdiction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Miami-Dade County Chapter 24. No cross-jurisdictional comparison or multi-county support.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multi-turn context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query is independent. The filter does not track conversation history for retrieval purposes (though Open WebUI's chat history is visible to the LLM).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Graph coverage gaps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a Chapter 24 section was not properly ingested into Neo4j, it won't appear in results. Coverage depends on the graph export quality.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real-time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Threshold evaluation uses static curated values. It does not pull live sensor data (APAS telemetry integration is in the P1 backlog).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hallucination risk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Despite injected context, the LLM may still hallucinate section numbers or regulatory details. Confidence scoring mitigates but doesn't eliminate this.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federated search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Cannot search across multiple knowledge bases simultaneously (e.g., Chapter 24 + Florida DEP + EPA).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of 8 APAS metrics active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temperature is currently evaluable against thresholds. 14 effluent sensor templates await hardware deployment.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Integration Potential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 Sidecar REST API (Primary Integration Path)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recommended integration point is the Sidecar API (api/regos_api.py), a FastAPI service that wraps the entire RegOS pipeline into a single HTTP endpoint. This is the simplest way to consume RegOS programmatically.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Endpoint: POST /api/regos/query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Request body: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"question": "What are the BOD limits for wastewater discharge?",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"stream": false,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"chat_id": "optional-session-id",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"show_reasoning": false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Response (blocking mode):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"id": "uuid",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"question": "What are the BOD limits...",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"answer": "Full LLM response with citations...",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"model": "better-hardeepai",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"chat_id": "session-id",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"created_at": 1709750400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Streaming mode (stream: true) returns Server-Sent Events (SSE) with incremental tokens. The show_reasoning flag includes reasoning/thinking tokens for models that support it.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Environment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OPENWEBUI_URL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URL of the Open WebUI instance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OPENWEBUI_TOKEN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API token from Open WebUI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REGOS_MODEL_ID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better-hardeepai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ID to query (must have the GraphRAG filter enabled)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REGOS_API_PORT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8300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Sidecar API listen port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Additional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/api/regos/health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check. Returns { status: 'ok', model: '...', target: '...'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/api/regos/info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info: version, model ID, Open WebUI URL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5.2 Open WebUI REST API (Direct Access)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If you need lower-level control, you can call Open WebUI's REST API directly. The key endpoints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POST /api/chat/completions</w:t>
      </w:r>
      <w:r>
        <w:rPr>
          <w:rFonts w:ascii="Arial" w:cs="Arial" w:eastAsia="Arial" w:hAnsi="Arial"/>
          <w:sz w:val="22"/>
          <w:szCs w:val="22"/>
        </w:rPr>
        <w:t xml:space="preserve"> — Send a chat message. The GraphRAG filter's inlet() fires automatically if the filter is enabled on the target model. Returns the LLM response (before outlet processing).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POST /api/chat/completed</w:t>
      </w:r>
      <w:r>
        <w:rPr>
          <w:rFonts w:ascii="Arial" w:cs="Arial" w:eastAsia="Arial" w:hAnsi="Arial"/>
          <w:sz w:val="22"/>
          <w:szCs w:val="22"/>
        </w:rPr>
        <w:t xml:space="preserve"> — Signals that a chat response is complete. Triggers the outlet() filter, which adds confidence scores, citations, threshold results, and audit logging.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GET /api/v1/auths/token</w:t>
      </w:r>
      <w:r>
        <w:rPr>
          <w:rFonts w:ascii="Arial" w:cs="Arial" w:eastAsia="Arial" w:hAnsi="Arial"/>
          <w:sz w:val="22"/>
          <w:szCs w:val="22"/>
        </w:rPr>
        <w:t xml:space="preserve"> — Generate an API token for authentication.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Sidecar API chains these two calls automatically. Direct usage requires you to handle both steps and parse the enriched response yourself.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5.3 Structured Data in Responses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RegOS embeds structured metadata into message objects that can be programmatically consumed. After outlet() processing, each assistant message contains: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graphrag_confidence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score: 0.82, band: "HIGH", signals: { avg_doc: 0.88, doc_count: 0.6, concept: 0.95, section_count: 0.75, graph_exclusive: 0.7, direct: 0.5 }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graphrag_escalation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triggered: true/false, reason: "Low confidence (0.42)", target: "compliance-review", ref: "ESC-20260306-0001"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graphrag_guardrail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triggered: true/false, type: "out_of_scope"|"zero_retrieval"|"jurisdiction"|"neo4j_unavailable"|"neo4j_degraded", reason: "...", ref: "GRD-..." }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an asset management dashboard, these structured fields are the key integration points. You can extract the confidence score to drive traffic-light indicators, use guardrail metadata for alert routing, and parse escalation flags for workflow triggers.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5.4 Direct Neo4j Queries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advanced integrations that need raw graph access (e.g., building a custom search UI or a compliance dashboard), you can query Neo4j directly. The graph supports Cypher queries. Example queries: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Find all sections mentioning a specific entity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MATCH (d:Ch24Document)-[:MENTIONS_ENTITY]-&gt;(e:Ch24Entity)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WHERE e.name CONTAINS 'BOD'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RETURN d.title, d.section_ref, d.text</w:t>
      </w:r>
    </w:p>
    <w:p>
      <w:pPr>
        <w:spacing w:after="80"/>
      </w:pP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Find all sections for a regulatory concept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MATCH (d:Ch24Document)-[:RELATES_TO_CONCEPT]-&gt;(c:Ch24Class)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WHERE c.id = 'WELLFIELD_PROTECTION'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RETURN d.title, d.section_ref</w:t>
      </w:r>
    </w:p>
    <w:p>
      <w:pPr>
        <w:spacing w:after="80"/>
      </w:pP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Fulltext search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CALL db.index.fulltext.queryNodes('document_text_index', 'dissolved oxygen')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YIELD node, score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RETURN node.title, node.section_ref, score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Connection details: Neo4j Aura instance at neo4j+s://11d95839.databases.neo4j.io, database 'neo4j'. Credentials are configured in the filter's Valves (admin UI).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5.5 Threshold Evaluation API (Programmatic)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threshold evaluation engine can be leveraged programmatically by sending queries with numeric measurements through the Sidecar API. The filter automatically detects patterns like 'BOD is 35 mg/l' or 'temperature reading of 94 degrees' and evaluates them. Results appear in the outlet response with PASS/FAIL verdicts and evidence hashes.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 evaluate APAS telemetry data against thresholds, the integration pattern would be: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sensor value from APAS Telemetry API.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 as natural language query: 'Is a BOD reading of 35 mg/l compliant?'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to /api/regos/query.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Parse the threshold evaluation results from the response (deterministic PASS/FAIL, not LLM-generated).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bulk threshold evaluation without LLM overhead, a dedicated threshold-only endpoint is planned (P1 backlog item: API Exposure).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Configuration &amp; Valves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GraphRAG filter exposes all its settings as 'Valves' (Open WebUI's term for runtime-configurable parameters). These can be changed in the admin UI without restarting the container.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neo4j_uri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neo4j+s://11d95839...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Neo4j connection URI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neo4j_password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Neo4j auth password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max_sections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regulatory sections in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show_confidence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 confidence 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escalation_enabled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Auto-flag low-confidence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escalation_threshold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 below which to escalate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guardrail_enabled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 query guardrails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threshold_check_enabled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 threshold eval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doc_analysis_enabled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Vision-based document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doc_vision_model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openai/gpt-4o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for document extraction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neo4j_fallback_to_kb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KB-only fallback if Neo4j down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enterprise_format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consultant-style output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Audit &amp; Compliance Trail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audit_logger.py filter runs after graphrag_filter and captures every query/response pair in a SQLite database. Each record is hashed with SHA-256 for tamper detection.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7.1 Audit Record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 PK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record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Unix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query_text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user's original 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response_text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LLM's 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confidence_score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Composite confidence score (0.0–1.0)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confidence_signals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(JSON)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 signal breakdown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escalation_triggered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Boolean: was this query escalated?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guardrail_triggered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Boolean: was a guardrail triggered?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guardrail_type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of guardrail (if triggered)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guardrail_reason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explanation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record_hash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SHA-256 hash of the record for tamper detection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7.2 Breach Logging (Threshold Evaluations)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When the threshold evaluation engine detects a numeric measurement that exceeds a regulatory limit, it logs a 'breach' record to a separate SQLite database. Each breach includes the parameter, measured value, threshold value, verdict (PASS/FAIL/INCONCLUSIVE), and a SHA-256 evidence hash. This provides a deterministic, tamper-evident record of every compliance evaluation.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Installation &amp; Deployment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regos-installer repository is a standalone installer designed to be cloned onto any server running Open WebUI in Docker. It automates the entire setup through an 8-step modular process.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Quick Start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git clone &lt;repo-url&gt; regos-installer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cd regos-installer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OPENWEBUI_URL="https://your-openwebui-host"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OPENWEBUI_TOKEN="your-admin-token"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./install.sh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Install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 the Open WebUI Docker container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 Python dependencies (neo4j driver) inside the container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 data files (thresholds, concepts, mappings) into the container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 demo/utility scripts into the container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filter functions via the Open WebUI REST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the "RegOS Compliance Copilot" custom model with system prompt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(Optional) Create user groups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installation: health checks, function existence, model config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installer is idempotent (safe to re-run), supports --dry-run mode, and allows re-running individual steps with --step 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Roadmap &amp; Backlog Highlights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Key items from the P1/P2 backlog relevant to integration: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2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Relevance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Sidecar API Exposure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Dedicated threshold-only endpoint, batch evaluation, structured JSON responses for dashboards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APAS Telemetry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sensor data → threshold evaluation pipeline. Enables real-time compliance monitoring.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SCADA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Reference dashboard implementation showing how to consume RegOS 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Escalation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 webhook integration for routing low-confidence queries to human reviewers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Explainability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Clickable confidence breakdown showing which signals contributed to the score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Neo4j Failover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Done (v1.3.0)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Graceful degradation when graph DB is unreachable. KB-only fallback with degraded mode notices.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Injection Defense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Adversarial input detection to prevent manipulation of regulatory responses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GIS Wellfield Protection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Geospatial overlay of wellfield protection zones on maps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10. Integration Recommendations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an asset management dashboard seeking to consume RegOS compliance intelligence, we recommend the following approach: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Immediate (Available Now)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the Sidecar API </w:t>
      </w:r>
      <w:r>
        <w:rPr>
          <w:rFonts w:ascii="Arial" w:cs="Arial" w:eastAsia="Arial" w:hAnsi="Arial"/>
          <w:sz w:val="22"/>
          <w:szCs w:val="22"/>
        </w:rPr>
        <w:t xml:space="preserve">(POST /api/regos/query) as the primary integration point. It abstracts all Open WebUI complexity and returns enriched responses in a single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Parse structured metadata </w:t>
      </w:r>
      <w:r>
        <w:rPr>
          <w:rFonts w:ascii="Arial" w:cs="Arial" w:eastAsia="Arial" w:hAnsi="Arial"/>
          <w:sz w:val="22"/>
          <w:szCs w:val="22"/>
        </w:rPr>
        <w:t xml:space="preserve">from responses: graphrag_confidence for dashboard indicators, graphrag_guardrail for alert routing, graphrag_escalation for workflow triggers.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thresholds via natural language: </w:t>
      </w:r>
      <w:r>
        <w:rPr>
          <w:rFonts w:ascii="Arial" w:cs="Arial" w:eastAsia="Arial" w:hAnsi="Arial"/>
          <w:sz w:val="22"/>
          <w:szCs w:val="22"/>
        </w:rPr>
        <w:t xml:space="preserve">send formatted measurement queries to get deterministic PASS/FAIL evaluations with evidence hashes.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Near-Term (After P1 Delivery)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Dedicated threshold API: </w:t>
      </w:r>
      <w:r>
        <w:rPr>
          <w:rFonts w:ascii="Arial" w:cs="Arial" w:eastAsia="Arial" w:hAnsi="Arial"/>
          <w:sz w:val="22"/>
          <w:szCs w:val="22"/>
        </w:rPr>
        <w:t xml:space="preserve">A lightweight endpoint for bulk threshold evaluation without LLM overhead. Submit SCADA readings directly.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APAS telemetry pipeline: </w:t>
      </w:r>
      <w:r>
        <w:rPr>
          <w:rFonts w:ascii="Arial" w:cs="Arial" w:eastAsia="Arial" w:hAnsi="Arial"/>
          <w:sz w:val="22"/>
          <w:szCs w:val="22"/>
        </w:rPr>
        <w:t xml:space="preserve">Automated sensor data → threshold evaluation → breach logging. Connect your dashboard to the breach DB for real-time compliance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Webhook notifications: </w:t>
      </w:r>
      <w:r>
        <w:rPr>
          <w:rFonts w:ascii="Arial" w:cs="Arial" w:eastAsia="Arial" w:hAnsi="Arial"/>
          <w:sz w:val="22"/>
          <w:szCs w:val="22"/>
        </w:rPr>
        <w:t xml:space="preserve">n8n-based escalation routing to your team's alerting system.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Authentication: </w:t>
      </w:r>
      <w:r>
        <w:rPr>
          <w:rFonts w:ascii="Arial" w:cs="Arial" w:eastAsia="Arial" w:hAnsi="Arial"/>
          <w:sz w:val="22"/>
          <w:szCs w:val="22"/>
        </w:rPr>
        <w:t xml:space="preserve">The Sidecar API requires an OPENWEBUI_TOKEN. Coordinate with the RegOS admin to provision a service account token.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limits: </w:t>
      </w:r>
      <w:r>
        <w:rPr>
          <w:rFonts w:ascii="Arial" w:cs="Arial" w:eastAsia="Arial" w:hAnsi="Arial"/>
          <w:sz w:val="22"/>
          <w:szCs w:val="22"/>
        </w:rPr>
        <w:t xml:space="preserve">Each query triggers a Neo4j search + LLM call. For high-volume dashboard use, consider caching strategies or the upcoming batch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freshness: </w:t>
      </w:r>
      <w:r>
        <w:rPr>
          <w:rFonts w:ascii="Arial" w:cs="Arial" w:eastAsia="Arial" w:hAnsi="Arial"/>
          <w:sz w:val="22"/>
          <w:szCs w:val="22"/>
        </w:rPr>
        <w:t xml:space="preserve">The knowledge graph reflects Chapter 24 as of the last ingestion. Regulatory updates require re-ingestion into Neo4j.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tabs>
        <w:tab w:val="right" w:pos="9360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RegOS Discovery Document</w:t>
    </w:r>
    <w:r>
      <w:t xml:space="preserve">	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2026-03-06T13:02:54.203Z</dcterms:created>
  <dcterms:modified xsi:type="dcterms:W3CDTF">2026-03-06T13:02:54.204Z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