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60"/>
        <w:jc w:val="center"/>
      </w:pPr>
      <w:r>
        <w:rPr>
          <w:rFonts w:ascii="Arial" w:cs="Arial" w:eastAsia="Arial" w:hAnsi="Arial"/>
          <w:b/>
          <w:bCs/>
          <w:color w:val="0F2B46"/>
          <w:sz w:val="72"/>
          <w:szCs w:val="72"/>
        </w:rPr>
        <w:t xml:space="preserve">RegOS</w:t>
      </w:r>
    </w:p>
    <w:p>
      <w:pPr>
        <w:spacing w:after="120"/>
        <w:jc w:val="center"/>
      </w:pPr>
      <w:r>
        <w:rPr>
          <w:rFonts w:ascii="Arial" w:cs="Arial" w:eastAsia="Arial" w:hAnsi="Arial"/>
          <w:color w:val="0066CC"/>
          <w:sz w:val="36"/>
          <w:szCs w:val="36"/>
        </w:rPr>
        <w:t xml:space="preserve">Regulatory Compliance Copilot</w:t>
      </w:r>
    </w:p>
    <w:p>
      <w:pPr>
        <w:spacing w:after="600"/>
        <w:jc w:val="center"/>
      </w:pPr>
      <w:r>
        <w:rPr>
          <w:rFonts w:ascii="Arial" w:cs="Arial" w:eastAsia="Arial" w:hAnsi="Arial"/>
          <w:color w:val="6B7280"/>
          <w:sz w:val="28"/>
          <w:szCs w:val="28"/>
        </w:rPr>
        <w:t xml:space="preserve">Product Requirements Document</w:t>
      </w:r>
    </w:p>
    <w:p>
      <w:pPr>
        <w:spacing w:after="60"/>
        <w:jc w:val="center"/>
      </w:pPr>
      <w:r>
        <w:rPr>
          <w:rFonts w:ascii="Arial" w:cs="Arial" w:eastAsia="Arial" w:hAnsi="Arial"/>
          <w:color w:val="6B7280"/>
          <w:sz w:val="20"/>
          <w:szCs w:val="20"/>
        </w:rPr>
        <w:t xml:space="preserve">APAS Group  |  March 2026  |  Version 1.0</w:t>
      </w:r>
    </w:p>
    <w:p>
      <w:pPr>
        <w:spacing w:after="80"/>
        <w:jc w:val="center"/>
      </w:pPr>
      <w:r>
        <w:rPr>
          <w:rFonts w:ascii="Arial" w:cs="Arial" w:eastAsia="Arial" w:hAnsi="Arial"/>
          <w:b/>
          <w:bCs/>
          <w:caps/>
          <w:color w:val="E65100"/>
          <w:sz w:val="18"/>
          <w:szCs w:val="18"/>
        </w:rPr>
        <w:t xml:space="preserve">CONFIDENTIAL</w:t>
      </w:r>
    </w:p>
    <w:p>
      <w:r>
        <w:br w:type="page"/>
      </w:r>
    </w:p>
    <w:p>
      <w:pPr>
        <w:pStyle w:val="Heading1"/>
        <w:spacing w:after="200" w:before="500"/>
      </w:pPr>
      <w:r>
        <w:rPr>
          <w:rFonts w:ascii="Arial" w:cs="Arial" w:eastAsia="Arial" w:hAnsi="Arial"/>
          <w:b/>
          <w:bCs/>
          <w:color w:val="0F2B46"/>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500"/>
      </w:pPr>
      <w:r>
        <w:rPr>
          <w:rFonts w:ascii="Arial" w:cs="Arial" w:eastAsia="Arial" w:hAnsi="Arial"/>
          <w:b/>
          <w:bCs/>
          <w:color w:val="0F2B46"/>
          <w:sz w:val="36"/>
          <w:szCs w:val="3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6"/>
              <w:left w:val="single" w:color="D1D5DB" w:sz="1"/>
              <w:bottom w:val="single" w:color="D1D5DB" w:sz="1"/>
              <w:right w:val="single" w:color="D1D5DB" w:sz="1"/>
            </w:tcBorders>
            <w:shd w:fill="EBF5FF" w:val="clear"/>
            <w:tcMar>
              <w:top w:type="dxa" w:w="160"/>
              <w:left w:type="dxa" w:w="200"/>
              <w:bottom w:type="dxa" w:w="160"/>
              <w:right w:type="dxa" w:w="200"/>
            </w:tcMar>
          </w:tcPr>
          <w:p>
            <w:pPr>
              <w:spacing w:after="80"/>
            </w:pPr>
            <w:r>
              <w:rPr>
                <w:rFonts w:ascii="Arial" w:cs="Arial" w:eastAsia="Arial" w:hAnsi="Arial"/>
                <w:b/>
                <w:bCs/>
                <w:color w:val="0066CC"/>
                <w:sz w:val="22"/>
                <w:szCs w:val="22"/>
              </w:rPr>
              <w:t xml:space="preserve">RegOS in One Line</w:t>
            </w:r>
          </w:p>
          <w:p>
            <w:pPr>
              <w:spacing w:after="40"/>
            </w:pPr>
            <w:r>
              <w:rPr>
                <w:rFonts w:ascii="Arial" w:cs="Arial" w:eastAsia="Arial" w:hAnsi="Arial"/>
                <w:color w:val="1A1A2E"/>
                <w:sz w:val="20"/>
                <w:szCs w:val="20"/>
              </w:rPr>
              <w:t xml:space="preserve">RegOS is an AI-powered regulatory compliance copilot that turns dense municipal code into actionable, citation-backed guidance — with every answer traceable to the source regulation, every confidence score explained, and every interaction audit-logged with cryptographic tamper evidence.</w:t>
            </w:r>
          </w:p>
        </w:tc>
      </w:tr>
    </w:tbl>
    <w:p>
      <w:pPr>
        <w:spacing w:after="160" w:line="300"/>
      </w:pPr>
      <w:r>
        <w:rPr>
          <w:rFonts w:ascii="Arial" w:cs="Arial" w:eastAsia="Arial" w:hAnsi="Arial"/>
          <w:color w:val="1A1A2E"/>
          <w:sz w:val="22"/>
          <w:szCs w:val="22"/>
        </w:rPr>
        <w:t xml:space="preserve"/>
      </w:r>
    </w:p>
    <w:p>
      <w:pPr>
        <w:spacing w:after="160" w:line="300"/>
      </w:pPr>
      <w:r>
        <w:rPr>
          <w:rFonts w:ascii="Arial" w:cs="Arial" w:eastAsia="Arial" w:hAnsi="Arial"/>
          <w:color w:val="1A1A2E"/>
          <w:sz w:val="22"/>
          <w:szCs w:val="22"/>
        </w:rPr>
        <w:t xml:space="preserve">Regulatory compliance professionals spend thousands of hours each year navigating dense legal text, cross-referencing sections, and manually verifying that their interpretations are correct. A single missed requirement or misread threshold can result in enforcement actions, fines, or operational shutdowns.</w:t>
      </w:r>
    </w:p>
    <w:p>
      <w:pPr>
        <w:spacing w:after="160" w:line="300"/>
      </w:pPr>
      <w:r>
        <w:rPr>
          <w:rFonts w:ascii="Arial" w:cs="Arial" w:eastAsia="Arial" w:hAnsi="Arial"/>
          <w:color w:val="1A1A2E"/>
          <w:sz w:val="22"/>
          <w:szCs w:val="22"/>
        </w:rPr>
        <w:t xml:space="preserve">RegOS eliminates this burden by combining a domain-specific knowledge graph with retrieval-augmented generation (GraphRAG) to deliver structured, consultant-grade regulatory analysis in real time. Unlike general-purpose AI chatbots that hallucinate legal citations and lack domain grounding, RegOS retrieves actual regulatory text through a 4-step graph traversal pipeline, computes a transparent confidence score for every answer, and formats responses as actionable compliance checklists with full traceability.</w:t>
      </w:r>
    </w:p>
    <w:p>
      <w:pPr>
        <w:spacing w:after="160" w:line="300"/>
      </w:pPr>
      <w:r>
        <w:rPr>
          <w:rFonts w:ascii="Arial" w:cs="Arial" w:eastAsia="Arial" w:hAnsi="Arial"/>
          <w:color w:val="1A1A2E"/>
          <w:sz w:val="22"/>
          <w:szCs w:val="22"/>
        </w:rPr>
        <w:t xml:space="preserve">The platform is deployed for Miami-Dade County Chapter 24 (Environmental Quality Control Board) and is architected for multi-jurisdiction expansion. RegOS is built on Open WebUI with custom GraphRAG filters, a Neo4j knowledge graph, real-time SCADA telemetry integration, and a comprehensive audit trail — making it the first regulatory copilot that treats compliance as a mission-critical, auditable process rather than a convenience chatbot.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tcMar>
              <w:top w:type="dxa" w:w="120"/>
              <w:left w:type="dxa" w:w="80"/>
              <w:bottom w:type="dxa" w:w="120"/>
              <w:right w:type="dxa" w:w="80"/>
            </w:tcMar>
          </w:tcPr>
          <w:p>
            <w:pPr>
              <w:spacing w:after="40"/>
              <w:jc w:val="center"/>
            </w:pPr>
            <w:r>
              <w:rPr>
                <w:rFonts w:ascii="Arial" w:cs="Arial" w:eastAsia="Arial" w:hAnsi="Arial"/>
                <w:b/>
                <w:bCs/>
                <w:color w:val="0066CC"/>
                <w:sz w:val="40"/>
                <w:szCs w:val="40"/>
              </w:rPr>
              <w:t xml:space="preserve">693</w:t>
            </w:r>
          </w:p>
          <w:p>
            <w:pPr>
              <w:spacing w:after="20"/>
              <w:jc w:val="center"/>
            </w:pPr>
            <w:r>
              <w:rPr>
                <w:rFonts w:ascii="Arial" w:cs="Arial" w:eastAsia="Arial" w:hAnsi="Arial"/>
                <w:color w:val="6B7280"/>
                <w:sz w:val="18"/>
                <w:szCs w:val="18"/>
              </w:rPr>
              <w:t xml:space="preserve">Knowledge Graph Nodes</w:t>
            </w:r>
          </w:p>
        </w:tc>
        <w:tc>
          <w:tcPr>
            <w:tcW w:type="dxa" w:w="3120"/>
            <w:tcBorders>
              <w:top w:val="none" w:sz="0"/>
              <w:left w:val="none" w:sz="0"/>
              <w:bottom w:val="none" w:sz="0"/>
              <w:right w:val="none" w:sz="0"/>
            </w:tcBorders>
            <w:tcMar>
              <w:top w:type="dxa" w:w="120"/>
              <w:left w:type="dxa" w:w="80"/>
              <w:bottom w:type="dxa" w:w="120"/>
              <w:right w:type="dxa" w:w="80"/>
            </w:tcMar>
          </w:tcPr>
          <w:p>
            <w:pPr>
              <w:spacing w:after="40"/>
              <w:jc w:val="center"/>
            </w:pPr>
            <w:r>
              <w:rPr>
                <w:rFonts w:ascii="Arial" w:cs="Arial" w:eastAsia="Arial" w:hAnsi="Arial"/>
                <w:b/>
                <w:bCs/>
                <w:color w:val="0066CC"/>
                <w:sz w:val="40"/>
                <w:szCs w:val="40"/>
              </w:rPr>
              <w:t xml:space="preserve">2,351</w:t>
            </w:r>
          </w:p>
          <w:p>
            <w:pPr>
              <w:spacing w:after="20"/>
              <w:jc w:val="center"/>
            </w:pPr>
            <w:r>
              <w:rPr>
                <w:rFonts w:ascii="Arial" w:cs="Arial" w:eastAsia="Arial" w:hAnsi="Arial"/>
                <w:color w:val="6B7280"/>
                <w:sz w:val="18"/>
                <w:szCs w:val="18"/>
              </w:rPr>
              <w:t xml:space="preserve">Graph Relationships</w:t>
            </w:r>
          </w:p>
        </w:tc>
        <w:tc>
          <w:tcPr>
            <w:tcW w:type="dxa" w:w="3120"/>
            <w:tcBorders>
              <w:top w:val="none" w:sz="0"/>
              <w:left w:val="none" w:sz="0"/>
              <w:bottom w:val="none" w:sz="0"/>
              <w:right w:val="none" w:sz="0"/>
            </w:tcBorders>
            <w:tcMar>
              <w:top w:type="dxa" w:w="120"/>
              <w:left w:type="dxa" w:w="80"/>
              <w:bottom w:type="dxa" w:w="120"/>
              <w:right w:type="dxa" w:w="80"/>
            </w:tcMar>
          </w:tcPr>
          <w:p>
            <w:pPr>
              <w:spacing w:after="40"/>
              <w:jc w:val="center"/>
            </w:pPr>
            <w:r>
              <w:rPr>
                <w:rFonts w:ascii="Arial" w:cs="Arial" w:eastAsia="Arial" w:hAnsi="Arial"/>
                <w:b/>
                <w:bCs/>
                <w:color w:val="0066CC"/>
                <w:sz w:val="40"/>
                <w:szCs w:val="40"/>
              </w:rPr>
              <w:t xml:space="preserve">96</w:t>
            </w:r>
          </w:p>
          <w:p>
            <w:pPr>
              <w:spacing w:after="20"/>
              <w:jc w:val="center"/>
            </w:pPr>
            <w:r>
              <w:rPr>
                <w:rFonts w:ascii="Arial" w:cs="Arial" w:eastAsia="Arial" w:hAnsi="Arial"/>
                <w:color w:val="6B7280"/>
                <w:sz w:val="18"/>
                <w:szCs w:val="18"/>
              </w:rPr>
              <w:t xml:space="preserve">Regulatory Thresholds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tcMar>
              <w:top w:type="dxa" w:w="120"/>
              <w:left w:type="dxa" w:w="80"/>
              <w:bottom w:type="dxa" w:w="120"/>
              <w:right w:type="dxa" w:w="80"/>
            </w:tcMar>
          </w:tcPr>
          <w:p>
            <w:pPr>
              <w:spacing w:after="40"/>
              <w:jc w:val="center"/>
            </w:pPr>
            <w:r>
              <w:rPr>
                <w:rFonts w:ascii="Arial" w:cs="Arial" w:eastAsia="Arial" w:hAnsi="Arial"/>
                <w:b/>
                <w:bCs/>
                <w:color w:val="0066CC"/>
                <w:sz w:val="40"/>
                <w:szCs w:val="40"/>
              </w:rPr>
              <w:t xml:space="preserve">&lt;1s</w:t>
            </w:r>
          </w:p>
          <w:p>
            <w:pPr>
              <w:spacing w:after="20"/>
              <w:jc w:val="center"/>
            </w:pPr>
            <w:r>
              <w:rPr>
                <w:rFonts w:ascii="Arial" w:cs="Arial" w:eastAsia="Arial" w:hAnsi="Arial"/>
                <w:color w:val="6B7280"/>
                <w:sz w:val="18"/>
                <w:szCs w:val="18"/>
              </w:rPr>
              <w:t xml:space="preserve">Average Query Response</w:t>
            </w:r>
          </w:p>
        </w:tc>
        <w:tc>
          <w:tcPr>
            <w:tcW w:type="dxa" w:w="3120"/>
            <w:tcBorders>
              <w:top w:val="none" w:sz="0"/>
              <w:left w:val="none" w:sz="0"/>
              <w:bottom w:val="none" w:sz="0"/>
              <w:right w:val="none" w:sz="0"/>
            </w:tcBorders>
            <w:tcMar>
              <w:top w:type="dxa" w:w="120"/>
              <w:left w:type="dxa" w:w="80"/>
              <w:bottom w:type="dxa" w:w="120"/>
              <w:right w:type="dxa" w:w="80"/>
            </w:tcMar>
          </w:tcPr>
          <w:p>
            <w:pPr>
              <w:spacing w:after="40"/>
              <w:jc w:val="center"/>
            </w:pPr>
            <w:r>
              <w:rPr>
                <w:rFonts w:ascii="Arial" w:cs="Arial" w:eastAsia="Arial" w:hAnsi="Arial"/>
                <w:b/>
                <w:bCs/>
                <w:color w:val="0066CC"/>
                <w:sz w:val="40"/>
                <w:szCs w:val="40"/>
              </w:rPr>
              <w:t xml:space="preserve">5</w:t>
            </w:r>
          </w:p>
          <w:p>
            <w:pPr>
              <w:spacing w:after="20"/>
              <w:jc w:val="center"/>
            </w:pPr>
            <w:r>
              <w:rPr>
                <w:rFonts w:ascii="Arial" w:cs="Arial" w:eastAsia="Arial" w:hAnsi="Arial"/>
                <w:color w:val="6B7280"/>
                <w:sz w:val="18"/>
                <w:szCs w:val="18"/>
              </w:rPr>
              <w:t xml:space="preserve">Confidence Signals</w:t>
            </w:r>
          </w:p>
        </w:tc>
        <w:tc>
          <w:tcPr>
            <w:tcW w:type="dxa" w:w="3120"/>
            <w:tcBorders>
              <w:top w:val="none" w:sz="0"/>
              <w:left w:val="none" w:sz="0"/>
              <w:bottom w:val="none" w:sz="0"/>
              <w:right w:val="none" w:sz="0"/>
            </w:tcBorders>
            <w:tcMar>
              <w:top w:type="dxa" w:w="120"/>
              <w:left w:type="dxa" w:w="80"/>
              <w:bottom w:type="dxa" w:w="120"/>
              <w:right w:type="dxa" w:w="80"/>
            </w:tcMar>
          </w:tcPr>
          <w:p>
            <w:pPr>
              <w:spacing w:after="40"/>
              <w:jc w:val="center"/>
            </w:pPr>
            <w:r>
              <w:rPr>
                <w:rFonts w:ascii="Arial" w:cs="Arial" w:eastAsia="Arial" w:hAnsi="Arial"/>
                <w:b/>
                <w:bCs/>
                <w:color w:val="0066CC"/>
                <w:sz w:val="40"/>
                <w:szCs w:val="40"/>
              </w:rPr>
              <w:t xml:space="preserve">28</w:t>
            </w:r>
          </w:p>
          <w:p>
            <w:pPr>
              <w:spacing w:after="20"/>
              <w:jc w:val="center"/>
            </w:pPr>
            <w:r>
              <w:rPr>
                <w:rFonts w:ascii="Arial" w:cs="Arial" w:eastAsia="Arial" w:hAnsi="Arial"/>
                <w:color w:val="6B7280"/>
                <w:sz w:val="18"/>
                <w:szCs w:val="18"/>
              </w:rPr>
              <w:t xml:space="preserve">Adversarial Test Scenarios</w:t>
            </w:r>
          </w:p>
        </w:tc>
      </w:tr>
    </w:tbl>
    <w:p>
      <w:r>
        <w:br w:type="page"/>
      </w:r>
    </w:p>
    <w:p>
      <w:pPr>
        <w:pStyle w:val="Heading1"/>
        <w:spacing w:after="200" w:before="500"/>
      </w:pPr>
      <w:r>
        <w:rPr>
          <w:rFonts w:ascii="Arial" w:cs="Arial" w:eastAsia="Arial" w:hAnsi="Arial"/>
          <w:b/>
          <w:bCs/>
          <w:color w:val="0F2B46"/>
          <w:sz w:val="36"/>
          <w:szCs w:val="36"/>
        </w:rPr>
        <w:t xml:space="preserve">2. The Problem RegOS Solves</w:t>
      </w:r>
    </w:p>
    <w:p>
      <w:pPr>
        <w:pStyle w:val="Heading2"/>
        <w:spacing w:after="160" w:before="360"/>
      </w:pPr>
      <w:r>
        <w:rPr>
          <w:rFonts w:ascii="Arial" w:cs="Arial" w:eastAsia="Arial" w:hAnsi="Arial"/>
          <w:b/>
          <w:bCs/>
          <w:color w:val="0F2B46"/>
          <w:sz w:val="28"/>
          <w:szCs w:val="28"/>
        </w:rPr>
        <w:t xml:space="preserve">2.1 The Regulatory Compliance Gap</w:t>
      </w:r>
    </w:p>
    <w:p>
      <w:pPr>
        <w:spacing w:after="160" w:line="300"/>
      </w:pPr>
      <w:r>
        <w:rPr>
          <w:rFonts w:ascii="Arial" w:cs="Arial" w:eastAsia="Arial" w:hAnsi="Arial"/>
          <w:color w:val="1A1A2E"/>
          <w:sz w:val="22"/>
          <w:szCs w:val="22"/>
        </w:rPr>
        <w:t xml:space="preserve">Environmental regulatory compliance for wastewater, stormwater, and industrial discharge is governed by complex municipal codes that span hundreds of sections, thousands of defined terms, and dozens of numeric thresholds. Compliance professionals — citizens seeking permits, consultants preparing submissions, and regulators reviewing applications — all face the same challenge: finding the right regulatory requirement, understanding its full context, and applying it correctly to their specific situation.</w:t>
      </w:r>
    </w:p>
    <w:p>
      <w:pPr>
        <w:spacing w:after="160" w:line="300"/>
      </w:pPr>
      <w:r>
        <w:rPr>
          <w:rFonts w:ascii="Arial" w:cs="Arial" w:eastAsia="Arial" w:hAnsi="Arial"/>
          <w:color w:val="1A1A2E"/>
          <w:sz w:val="22"/>
          <w:szCs w:val="22"/>
        </w:rPr>
        <w:t xml:space="preserve">Today, this work is done by manually searching PDF documents, cross-referencing section numbers, and relying on institutional knowledge that walks out the door with experienced staff. The process is slow, error-prone, and fundamentally unscalable.</w:t>
      </w:r>
    </w:p>
    <w:p>
      <w:pPr>
        <w:pStyle w:val="Heading2"/>
        <w:spacing w:after="160" w:before="360"/>
      </w:pPr>
      <w:r>
        <w:rPr>
          <w:rFonts w:ascii="Arial" w:cs="Arial" w:eastAsia="Arial" w:hAnsi="Arial"/>
          <w:b/>
          <w:bCs/>
          <w:color w:val="0F2B46"/>
          <w:sz w:val="28"/>
          <w:szCs w:val="28"/>
        </w:rPr>
        <w:t xml:space="preserve">2.2 Why General-Purpose AI Fails Here</w:t>
      </w:r>
    </w:p>
    <w:p>
      <w:pPr>
        <w:spacing w:after="160" w:line="300"/>
      </w:pPr>
      <w:r>
        <w:rPr>
          <w:rFonts w:ascii="Arial" w:cs="Arial" w:eastAsia="Arial" w:hAnsi="Arial"/>
          <w:color w:val="1A1A2E"/>
          <w:sz w:val="22"/>
          <w:szCs w:val="22"/>
        </w:rPr>
        <w:t xml:space="preserve">General-purpose LLMs (ChatGPT, Claude, Gemini) trained on broad internet data are fundamentally unsuited for regulatory compliance:</w:t>
      </w:r>
    </w:p>
    <w:p>
      <w:pPr>
        <w:pStyle w:val="ListParagraph"/>
        <w:numPr>
          <w:ilvl w:val="0"/>
          <w:numId w:val="1"/>
        </w:numPr>
        <w:spacing w:after="100" w:line="280"/>
      </w:pPr>
      <w:r>
        <w:rPr>
          <w:rFonts w:ascii="Arial" w:cs="Arial" w:eastAsia="Arial" w:hAnsi="Arial"/>
          <w:b/>
          <w:bCs/>
          <w:color w:val="1A1A2E"/>
          <w:sz w:val="22"/>
          <w:szCs w:val="22"/>
        </w:rPr>
        <w:t xml:space="preserve">Hallucinated citations: </w:t>
      </w:r>
      <w:r>
        <w:rPr>
          <w:rFonts w:ascii="Arial" w:cs="Arial" w:eastAsia="Arial" w:hAnsi="Arial"/>
          <w:color w:val="1A1A2E"/>
          <w:sz w:val="22"/>
          <w:szCs w:val="22"/>
        </w:rPr>
        <w:t xml:space="preserve">LLMs confidently cite regulatory sections that do not exist, invent threshold values, and fabricate legal language. In compliance, a fabricated citation is worse than no answer at all.</w:t>
      </w:r>
    </w:p>
    <w:p>
      <w:pPr>
        <w:pStyle w:val="ListParagraph"/>
        <w:numPr>
          <w:ilvl w:val="0"/>
          <w:numId w:val="1"/>
        </w:numPr>
        <w:spacing w:after="100" w:line="280"/>
      </w:pPr>
      <w:r>
        <w:rPr>
          <w:rFonts w:ascii="Arial" w:cs="Arial" w:eastAsia="Arial" w:hAnsi="Arial"/>
          <w:b/>
          <w:bCs/>
          <w:color w:val="1A1A2E"/>
          <w:sz w:val="22"/>
          <w:szCs w:val="22"/>
        </w:rPr>
        <w:t xml:space="preserve">No traceability: </w:t>
      </w:r>
      <w:r>
        <w:rPr>
          <w:rFonts w:ascii="Arial" w:cs="Arial" w:eastAsia="Arial" w:hAnsi="Arial"/>
          <w:color w:val="1A1A2E"/>
          <w:sz w:val="22"/>
          <w:szCs w:val="22"/>
        </w:rPr>
        <w:t xml:space="preserve">There is no way to verify where the answer came from. Regulators require that every claim be traceable to a specific code section — general AI provides no audit trail.</w:t>
      </w:r>
    </w:p>
    <w:p>
      <w:pPr>
        <w:pStyle w:val="ListParagraph"/>
        <w:numPr>
          <w:ilvl w:val="0"/>
          <w:numId w:val="1"/>
        </w:numPr>
        <w:spacing w:after="100" w:line="280"/>
      </w:pPr>
      <w:r>
        <w:rPr>
          <w:rFonts w:ascii="Arial" w:cs="Arial" w:eastAsia="Arial" w:hAnsi="Arial"/>
          <w:b/>
          <w:bCs/>
          <w:color w:val="1A1A2E"/>
          <w:sz w:val="22"/>
          <w:szCs w:val="22"/>
        </w:rPr>
        <w:t xml:space="preserve">No confidence quantification: </w:t>
      </w:r>
      <w:r>
        <w:rPr>
          <w:rFonts w:ascii="Arial" w:cs="Arial" w:eastAsia="Arial" w:hAnsi="Arial"/>
          <w:color w:val="1A1A2E"/>
          <w:sz w:val="22"/>
          <w:szCs w:val="22"/>
        </w:rPr>
        <w:t xml:space="preserve">General AI cannot tell you how confident it is in a regulatory interpretation. In compliance, the difference between a high-confidence answer and a low-confidence one determines whether you need additional expert review.</w:t>
      </w:r>
    </w:p>
    <w:p>
      <w:pPr>
        <w:pStyle w:val="ListParagraph"/>
        <w:numPr>
          <w:ilvl w:val="0"/>
          <w:numId w:val="1"/>
        </w:numPr>
        <w:spacing w:after="100" w:line="280"/>
      </w:pPr>
      <w:r>
        <w:rPr>
          <w:rFonts w:ascii="Arial" w:cs="Arial" w:eastAsia="Arial" w:hAnsi="Arial"/>
          <w:b/>
          <w:bCs/>
          <w:color w:val="1A1A2E"/>
          <w:sz w:val="22"/>
          <w:szCs w:val="22"/>
        </w:rPr>
        <w:t xml:space="preserve">No domain guardrails: </w:t>
      </w:r>
      <w:r>
        <w:rPr>
          <w:rFonts w:ascii="Arial" w:cs="Arial" w:eastAsia="Arial" w:hAnsi="Arial"/>
          <w:color w:val="1A1A2E"/>
          <w:sz w:val="22"/>
          <w:szCs w:val="22"/>
        </w:rPr>
        <w:t xml:space="preserve">General AI will happily answer questions outside its domain of competence. For regulatory work, answering with the wrong jurisdiction's rules is more dangerous than refusing to answer.</w:t>
      </w:r>
    </w:p>
    <w:p>
      <w:pPr>
        <w:pStyle w:val="Heading2"/>
        <w:spacing w:after="160" w:before="360"/>
      </w:pPr>
      <w:r>
        <w:rPr>
          <w:rFonts w:ascii="Arial" w:cs="Arial" w:eastAsia="Arial" w:hAnsi="Arial"/>
          <w:b/>
          <w:bCs/>
          <w:color w:val="0F2B46"/>
          <w:sz w:val="28"/>
          <w:szCs w:val="28"/>
        </w:rPr>
        <w:t xml:space="preserve">2.3 The Cost of Getting It Wrong</w:t>
      </w:r>
    </w:p>
    <w:p>
      <w:pPr>
        <w:spacing w:after="160" w:line="300"/>
      </w:pPr>
      <w:r>
        <w:rPr>
          <w:rFonts w:ascii="Arial" w:cs="Arial" w:eastAsia="Arial" w:hAnsi="Arial"/>
          <w:color w:val="1A1A2E"/>
          <w:sz w:val="22"/>
          <w:szCs w:val="22"/>
        </w:rPr>
        <w:t xml:space="preserve">Miami-Dade County Chapter 24 enforcement actions include civil penalties up to $10,000 per violation per day, facility shutdown orders, and criminal referrals for willful violations. Beyond direct penalties, compliance gaps lead to permit delays, project overruns, and reputational damage that compounds over time.</w:t>
      </w:r>
    </w:p>
    <w:p>
      <w:r>
        <w:br w:type="page"/>
      </w:r>
    </w:p>
    <w:p>
      <w:pPr>
        <w:pStyle w:val="Heading1"/>
        <w:spacing w:after="200" w:before="500"/>
      </w:pPr>
      <w:r>
        <w:rPr>
          <w:rFonts w:ascii="Arial" w:cs="Arial" w:eastAsia="Arial" w:hAnsi="Arial"/>
          <w:b/>
          <w:bCs/>
          <w:color w:val="0F2B46"/>
          <w:sz w:val="36"/>
          <w:szCs w:val="36"/>
        </w:rPr>
        <w:t xml:space="preserve">3. Product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6"/>
              <w:left w:val="single" w:color="D1D5DB" w:sz="1"/>
              <w:bottom w:val="single" w:color="D1D5DB" w:sz="1"/>
              <w:right w:val="single" w:color="D1D5DB" w:sz="1"/>
            </w:tcBorders>
            <w:shd w:fill="EBF5FF" w:val="clear"/>
            <w:tcMar>
              <w:top w:type="dxa" w:w="160"/>
              <w:left w:type="dxa" w:w="200"/>
              <w:bottom w:type="dxa" w:w="160"/>
              <w:right w:type="dxa" w:w="200"/>
            </w:tcMar>
          </w:tcPr>
          <w:p>
            <w:pPr>
              <w:spacing w:after="80"/>
            </w:pPr>
            <w:r>
              <w:rPr>
                <w:rFonts w:ascii="Arial" w:cs="Arial" w:eastAsia="Arial" w:hAnsi="Arial"/>
                <w:b/>
                <w:bCs/>
                <w:color w:val="0066CC"/>
                <w:sz w:val="22"/>
                <w:szCs w:val="22"/>
              </w:rPr>
              <w:t xml:space="preserve">Three Pillars of RegOS</w:t>
            </w:r>
          </w:p>
          <w:p>
            <w:pPr>
              <w:spacing w:after="40"/>
            </w:pPr>
            <w:r>
              <w:rPr>
                <w:rFonts w:ascii="Arial" w:cs="Arial" w:eastAsia="Arial" w:hAnsi="Arial"/>
                <w:color w:val="1A1A2E"/>
                <w:sz w:val="20"/>
                <w:szCs w:val="20"/>
              </w:rPr>
              <w:t xml:space="preserve">RETRIEVE — Graph-powered retrieval finds the exact regulatory sections that matter, not just keyword matches. REASON — Structured analysis turns dense code into actionable checklists with transparent confidence scoring. AUDIT — Every interaction is cryptographically logged with SHA-256 tamper evidence for complete regulatory traceability.</w:t>
            </w:r>
          </w:p>
        </w:tc>
      </w:tr>
    </w:tbl>
    <w:p>
      <w:pPr>
        <w:spacing w:after="160" w:line="300"/>
      </w:pPr>
      <w:r>
        <w:rPr>
          <w:rFonts w:ascii="Arial" w:cs="Arial" w:eastAsia="Arial" w:hAnsi="Arial"/>
          <w:color w:val="1A1A2E"/>
          <w:sz w:val="22"/>
          <w:szCs w:val="22"/>
        </w:rPr>
        <w:t xml:space="preserve"/>
      </w:r>
    </w:p>
    <w:p>
      <w:pPr>
        <w:pStyle w:val="Heading2"/>
        <w:spacing w:after="160" w:before="360"/>
      </w:pPr>
      <w:r>
        <w:rPr>
          <w:rFonts w:ascii="Arial" w:cs="Arial" w:eastAsia="Arial" w:hAnsi="Arial"/>
          <w:b/>
          <w:bCs/>
          <w:color w:val="0F2B46"/>
          <w:sz w:val="28"/>
          <w:szCs w:val="28"/>
        </w:rPr>
        <w:t xml:space="preserve">3.1 Architecture at a Glance</w:t>
      </w:r>
    </w:p>
    <w:p>
      <w:pPr>
        <w:spacing w:after="160" w:line="300"/>
      </w:pPr>
      <w:r>
        <w:rPr>
          <w:rFonts w:ascii="Arial" w:cs="Arial" w:eastAsia="Arial" w:hAnsi="Arial"/>
          <w:color w:val="1A1A2E"/>
          <w:sz w:val="22"/>
          <w:szCs w:val="22"/>
        </w:rPr>
        <w:t xml:space="preserve">RegOS is a modular compliance platform built on integrated technology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Layer</w:t>
            </w:r>
          </w:p>
        </w:tc>
        <w:tc>
          <w:tcPr>
            <w:tcW w:type="dxa" w:w="24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Technology</w:t>
            </w:r>
          </w:p>
        </w:tc>
        <w:tc>
          <w:tcPr>
            <w:tcW w:type="dxa" w:w="47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What It Does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Knowledge Graph</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Neo4j 5 + FEA v2 Schema</w:t>
            </w:r>
          </w:p>
        </w:tc>
        <w:tc>
          <w:tcPr>
            <w:tcW w:type="dxa" w:w="4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693 nodes across 3 layers (30 concepts, 141 document sections, 455 entities) connected by 2,351 relationships. Full regulatory ontology for Chapter 24.</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Retrieval Engine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GraphRAG Filter v0.19.0</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4-step pipeline: fulltext search, entity matching, concept expansion, direct search. Runs in &lt;1 second. Hybrid GraphRAG + vector RAG for maximum coverage.</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AI Interface</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Open WebUI + Custom Filters</w:t>
            </w:r>
          </w:p>
        </w:tc>
        <w:tc>
          <w:tcPr>
            <w:tcW w:type="dxa" w:w="4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Chat-based interface with enterprise response formatting, 3 user personas, conditional disclaimers, and Sources Panel integration.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Confidence Engine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5-Signal Scoring + Feedback Loop</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Multi-signal confidence with Thompson Sampling weight optimization from user feedback. Natural-language explainability for every score.</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Audit System</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SQLite + SHA-256 Signing</w:t>
            </w:r>
          </w:p>
        </w:tc>
        <w:tc>
          <w:tcPr>
            <w:tcW w:type="dxa" w:w="4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Every query, response, confidence score, guardrail trigger, and escalation event is permanently logged with cryptographic tamper evidence.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Telemetry Bridge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SCADA Streaming API</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Real-time sensor data from wastewater treatment plants evaluated against 96 regulatory thresholds with automated compliance determination.</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Security Layer</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Phase 2 Smart Scope Detection</w:t>
            </w:r>
          </w:p>
        </w:tc>
        <w:tc>
          <w:tcPr>
            <w:tcW w:type="dxa" w:w="4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Aho-Corasick keyword matching + MiniLM embedding-based scope detection. 8 adversarial test categories with 28 test scenarios.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GIS Engine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Cartesian Coordinate Geometry</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Point-in-polygon wellfield protection zone mapping against Miami-Dade boundary data for location-dependent regulatory compliance.</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API Layer</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RESTful API Exposure</w:t>
            </w:r>
          </w:p>
        </w:tc>
        <w:tc>
          <w:tcPr>
            <w:tcW w:type="dxa" w:w="4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External platform consumption endpoint enabling third-party systems to query RegOS programmatically.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PDF Pipeline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Legal PDF Chunking Dashboard</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Docling v2 extraction, section-based chunking, LLM enrichment, and Neo4j graph push for onboarding new regulatory jurisdictions.</w:t>
            </w:r>
          </w:p>
        </w:tc>
      </w:tr>
    </w:tbl>
    <w:p>
      <w:pPr>
        <w:spacing w:after="160" w:line="300"/>
      </w:pPr>
      <w:r>
        <w:rPr>
          <w:rFonts w:ascii="Arial" w:cs="Arial" w:eastAsia="Arial" w:hAnsi="Arial"/>
          <w:color w:val="1A1A2E"/>
          <w:sz w:val="22"/>
          <w:szCs w:val="22"/>
        </w:rPr>
        <w:t xml:space="preserve"/>
      </w:r>
    </w:p>
    <w:p>
      <w:pPr>
        <w:pStyle w:val="Heading2"/>
        <w:spacing w:after="160" w:before="360"/>
      </w:pPr>
      <w:r>
        <w:rPr>
          <w:rFonts w:ascii="Arial" w:cs="Arial" w:eastAsia="Arial" w:hAnsi="Arial"/>
          <w:b/>
          <w:bCs/>
          <w:color w:val="0F2B46"/>
          <w:sz w:val="28"/>
          <w:szCs w:val="28"/>
        </w:rPr>
        <w:t xml:space="preserve">3.2 The 4-Step Graph Retrieval Pipeline</w:t>
      </w:r>
    </w:p>
    <w:p>
      <w:pPr>
        <w:spacing w:after="160" w:line="300"/>
      </w:pPr>
      <w:r>
        <w:rPr>
          <w:rFonts w:ascii="Arial" w:cs="Arial" w:eastAsia="Arial" w:hAnsi="Arial"/>
          <w:color w:val="1A1A2E"/>
          <w:sz w:val="22"/>
          <w:szCs w:val="22"/>
        </w:rPr>
        <w:t xml:space="preserve">RegOS does not simply search for keywords — it understands regulatory structure. When a user asks a compliance question, the GraphRAG filter executes a 4-step pipeline that combines text search with graph traversal:</w:t>
      </w:r>
    </w:p>
    <w:p>
      <w:pPr>
        <w:pStyle w:val="ListParagraph"/>
        <w:numPr>
          <w:ilvl w:val="0"/>
          <w:numId w:val="1"/>
        </w:numPr>
        <w:spacing w:after="100" w:line="280"/>
      </w:pPr>
      <w:r>
        <w:rPr>
          <w:rFonts w:ascii="Arial" w:cs="Arial" w:eastAsia="Arial" w:hAnsi="Arial"/>
          <w:b/>
          <w:bCs/>
          <w:color w:val="1A1A2E"/>
          <w:sz w:val="22"/>
          <w:szCs w:val="22"/>
        </w:rPr>
        <w:t xml:space="preserve">Step 1 — Document Fulltext Search: </w:t>
      </w:r>
      <w:r>
        <w:rPr>
          <w:rFonts w:ascii="Arial" w:cs="Arial" w:eastAsia="Arial" w:hAnsi="Arial"/>
          <w:color w:val="1A1A2E"/>
          <w:sz w:val="22"/>
          <w:szCs w:val="22"/>
        </w:rPr>
        <w:t xml:space="preserve">Lucene-backed fulltext search against indexed Chapter 24 sections. Finds sections with direct textual relevance to the query.</w:t>
      </w:r>
    </w:p>
    <w:p>
      <w:pPr>
        <w:pStyle w:val="ListParagraph"/>
        <w:numPr>
          <w:ilvl w:val="0"/>
          <w:numId w:val="1"/>
        </w:numPr>
        <w:spacing w:after="100" w:line="280"/>
      </w:pPr>
      <w:r>
        <w:rPr>
          <w:rFonts w:ascii="Arial" w:cs="Arial" w:eastAsia="Arial" w:hAnsi="Arial"/>
          <w:b/>
          <w:bCs/>
          <w:color w:val="1A1A2E"/>
          <w:sz w:val="22"/>
          <w:szCs w:val="22"/>
        </w:rPr>
        <w:t xml:space="preserve">Step 2a — Entity Name Matching: </w:t>
      </w:r>
      <w:r>
        <w:rPr>
          <w:rFonts w:ascii="Arial" w:cs="Arial" w:eastAsia="Arial" w:hAnsi="Arial"/>
          <w:color w:val="1A1A2E"/>
          <w:sz w:val="22"/>
          <w:szCs w:val="22"/>
        </w:rPr>
        <w:t xml:space="preserve">Extracts regulatory terms from the query (e.g., "BOD", "industrial discharge") and matches them against 455 coded entities in the knowledge graph.</w:t>
      </w:r>
    </w:p>
    <w:p>
      <w:pPr>
        <w:pStyle w:val="ListParagraph"/>
        <w:numPr>
          <w:ilvl w:val="0"/>
          <w:numId w:val="1"/>
        </w:numPr>
        <w:spacing w:after="100" w:line="280"/>
      </w:pPr>
      <w:r>
        <w:rPr>
          <w:rFonts w:ascii="Arial" w:cs="Arial" w:eastAsia="Arial" w:hAnsi="Arial"/>
          <w:b/>
          <w:bCs/>
          <w:color w:val="1A1A2E"/>
          <w:sz w:val="22"/>
          <w:szCs w:val="22"/>
        </w:rPr>
        <w:t xml:space="preserve">Step 2b — Entity-to-Document Traversal: </w:t>
      </w:r>
      <w:r>
        <w:rPr>
          <w:rFonts w:ascii="Arial" w:cs="Arial" w:eastAsia="Arial" w:hAnsi="Arial"/>
          <w:color w:val="1A1A2E"/>
          <w:sz w:val="22"/>
          <w:szCs w:val="22"/>
        </w:rPr>
        <w:t xml:space="preserve">Walks MENTIONS_ENTITY relationships backward from matched entities to discover which regulatory sections cite those entities. Pure graph traversal — no text search.</w:t>
      </w:r>
    </w:p>
    <w:p>
      <w:pPr>
        <w:pStyle w:val="ListParagraph"/>
        <w:numPr>
          <w:ilvl w:val="0"/>
          <w:numId w:val="1"/>
        </w:numPr>
        <w:spacing w:after="100" w:line="280"/>
      </w:pPr>
      <w:r>
        <w:rPr>
          <w:rFonts w:ascii="Arial" w:cs="Arial" w:eastAsia="Arial" w:hAnsi="Arial"/>
          <w:b/>
          <w:bCs/>
          <w:color w:val="1A1A2E"/>
          <w:sz w:val="22"/>
          <w:szCs w:val="22"/>
        </w:rPr>
        <w:t xml:space="preserve">Step 2c — Concept Expansion (The Graph Advantage): </w:t>
      </w:r>
      <w:r>
        <w:rPr>
          <w:rFonts w:ascii="Arial" w:cs="Arial" w:eastAsia="Arial" w:hAnsi="Arial"/>
          <w:color w:val="1A1A2E"/>
          <w:sz w:val="22"/>
          <w:szCs w:val="22"/>
        </w:rPr>
        <w:t xml:space="preserve">Takes the top document matches, finds their connections to 30 regulatory concept nodes, and discovers sibling documents connected to the same concepts. This is where RegOS outperforms vector search — documents are linked by regulatory meaning, not just shared keywords. A query about "BOD limits" automatically discovers related "discharge limitations" and "compliance testing" sections through concept bridging.</w:t>
      </w:r>
    </w:p>
    <w:p>
      <w:pPr>
        <w:pStyle w:val="ListParagraph"/>
        <w:numPr>
          <w:ilvl w:val="0"/>
          <w:numId w:val="1"/>
        </w:numPr>
        <w:spacing w:after="100" w:line="280"/>
      </w:pPr>
      <w:r>
        <w:rPr>
          <w:rFonts w:ascii="Arial" w:cs="Arial" w:eastAsia="Arial" w:hAnsi="Arial"/>
          <w:b/>
          <w:bCs/>
          <w:color w:val="1A1A2E"/>
          <w:sz w:val="22"/>
          <w:szCs w:val="22"/>
        </w:rPr>
        <w:t xml:space="preserve">Step 3 — Direct Fulltext Search: </w:t>
      </w:r>
      <w:r>
        <w:rPr>
          <w:rFonts w:ascii="Arial" w:cs="Arial" w:eastAsia="Arial" w:hAnsi="Arial"/>
          <w:color w:val="1A1A2E"/>
          <w:sz w:val="22"/>
          <w:szCs w:val="22"/>
        </w:rPr>
        <w:t xml:space="preserve">Safety net — a second fulltext search with reformulated terms catches anything the graph traversal missed.</w:t>
      </w:r>
    </w:p>
    <w:p>
      <w:pPr>
        <w:pStyle w:val="ListParagraph"/>
        <w:numPr>
          <w:ilvl w:val="0"/>
          <w:numId w:val="1"/>
        </w:numPr>
        <w:spacing w:after="100" w:line="280"/>
      </w:pPr>
      <w:r>
        <w:rPr>
          <w:rFonts w:ascii="Arial" w:cs="Arial" w:eastAsia="Arial" w:hAnsi="Arial"/>
          <w:b/>
          <w:bCs/>
          <w:color w:val="1A1A2E"/>
          <w:sz w:val="22"/>
          <w:szCs w:val="22"/>
        </w:rPr>
        <w:t xml:space="preserve">Step 4 — Context Assembly: </w:t>
      </w:r>
      <w:r>
        <w:rPr>
          <w:rFonts w:ascii="Arial" w:cs="Arial" w:eastAsia="Arial" w:hAnsi="Arial"/>
          <w:color w:val="1A1A2E"/>
          <w:sz w:val="22"/>
          <w:szCs w:val="22"/>
        </w:rPr>
        <w:t xml:space="preserve">Deduplicates, ranks, and assembles the top regulatory sections into structured context for the LLM. Each section is tagged with its retrieval source ([G1], [G2], etc.) for full citation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6"/>
              <w:left w:val="single" w:color="D1D5DB" w:sz="1"/>
              <w:bottom w:val="single" w:color="D1D5DB" w:sz="1"/>
              <w:right w:val="single" w:color="D1D5DB" w:sz="1"/>
            </w:tcBorders>
            <w:shd w:fill="EBF5FF" w:val="clear"/>
            <w:tcMar>
              <w:top w:type="dxa" w:w="160"/>
              <w:left w:type="dxa" w:w="200"/>
              <w:bottom w:type="dxa" w:w="160"/>
              <w:right w:type="dxa" w:w="200"/>
            </w:tcMar>
          </w:tcPr>
          <w:p>
            <w:pPr>
              <w:spacing w:after="80"/>
            </w:pPr>
            <w:r>
              <w:rPr>
                <w:rFonts w:ascii="Arial" w:cs="Arial" w:eastAsia="Arial" w:hAnsi="Arial"/>
                <w:b/>
                <w:bCs/>
                <w:color w:val="0066CC"/>
                <w:sz w:val="22"/>
                <w:szCs w:val="22"/>
              </w:rPr>
              <w:t xml:space="preserve">Why This Matters</w:t>
            </w:r>
          </w:p>
          <w:p>
            <w:pPr>
              <w:spacing w:after="40"/>
            </w:pPr>
            <w:r>
              <w:rPr>
                <w:rFonts w:ascii="Arial" w:cs="Arial" w:eastAsia="Arial" w:hAnsi="Arial"/>
                <w:color w:val="1A1A2E"/>
                <w:sz w:val="20"/>
                <w:szCs w:val="20"/>
              </w:rPr>
              <w:t xml:space="preserve">In a head-to-head comparison, RegOS's concept expansion discovers regulatory sections that pure text search misses entirely. When a user asks about "BOD limits for industrial discharge," vector search returns sections containing those exact words. RegOS also returns Sec. 24-42.4 (discharge limitations) and Sec. 24-44.2 (compliance testing) — sections that are conceptually essential but don't share keywords with the query.</w:t>
            </w:r>
          </w:p>
        </w:tc>
      </w:tr>
    </w:tbl>
    <w:p>
      <w:r>
        <w:br w:type="page"/>
      </w:r>
    </w:p>
    <w:p>
      <w:pPr>
        <w:pStyle w:val="Heading1"/>
        <w:spacing w:after="200" w:before="500"/>
      </w:pPr>
      <w:r>
        <w:rPr>
          <w:rFonts w:ascii="Arial" w:cs="Arial" w:eastAsia="Arial" w:hAnsi="Arial"/>
          <w:b/>
          <w:bCs/>
          <w:color w:val="0F2B46"/>
          <w:sz w:val="36"/>
          <w:szCs w:val="36"/>
        </w:rPr>
        <w:t xml:space="preserve">4. Core Capabilities</w:t>
      </w:r>
    </w:p>
    <w:p>
      <w:pPr>
        <w:pStyle w:val="Heading2"/>
        <w:spacing w:after="160" w:before="360"/>
      </w:pPr>
      <w:r>
        <w:rPr>
          <w:rFonts w:ascii="Arial" w:cs="Arial" w:eastAsia="Arial" w:hAnsi="Arial"/>
          <w:b/>
          <w:bCs/>
          <w:color w:val="0F2B46"/>
          <w:sz w:val="28"/>
          <w:szCs w:val="28"/>
        </w:rPr>
        <w:t xml:space="preserve">4.1 Multi-Signal Confidence Scoring with Adaptive Learning</w:t>
      </w:r>
    </w:p>
    <w:p>
      <w:pPr>
        <w:spacing w:after="160" w:line="300"/>
      </w:pPr>
      <w:r>
        <w:rPr>
          <w:rFonts w:ascii="Arial" w:cs="Arial" w:eastAsia="Arial" w:hAnsi="Arial"/>
          <w:color w:val="1A1A2E"/>
          <w:sz w:val="22"/>
          <w:szCs w:val="22"/>
        </w:rPr>
        <w:t xml:space="preserve">Every RegOS response carries a transparent confidence score computed from 5 independent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Signal</w:t>
            </w:r>
          </w:p>
        </w:tc>
        <w:tc>
          <w:tcPr>
            <w:tcW w:type="dxa" w:w="12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Weight</w:t>
            </w:r>
          </w:p>
        </w:tc>
        <w:tc>
          <w:tcPr>
            <w:tcW w:type="dxa" w:w="57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What It Measures</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Retrieval Confidence</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0.30</w:t>
            </w:r>
          </w:p>
        </w:tc>
        <w:tc>
          <w:tcPr>
            <w:tcW w:type="dxa" w:w="5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Average fulltext search score from Neo4j. High scores = strong textual match to regulatory content.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Faithfulness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0.35</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How well the retrieved content actually answers the question, measured by entity overlap and retrieval quality.</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Hallucination Detection</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0.20</w:t>
            </w:r>
          </w:p>
        </w:tc>
        <w:tc>
          <w:tcPr>
            <w:tcW w:type="dxa" w:w="5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Inverse hallucination risk. Derived from the breadth and coherence of retrieved sections.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Token Confidence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0.08</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LLM-level confidence in individual tokens of the generated response.</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Context Relevance</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0.07</w:t>
            </w:r>
          </w:p>
        </w:tc>
        <w:tc>
          <w:tcPr>
            <w:tcW w:type="dxa" w:w="5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How many independent retrieval paths (sections, documents, concepts) converge on the same answer.</w:t>
            </w:r>
          </w:p>
        </w:tc>
      </w:tr>
    </w:tbl>
    <w:p>
      <w:pPr>
        <w:spacing w:after="160" w:line="300"/>
      </w:pPr>
      <w:r>
        <w:rPr>
          <w:rFonts w:ascii="Arial" w:cs="Arial" w:eastAsia="Arial" w:hAnsi="Arial"/>
          <w:color w:val="1A1A2E"/>
          <w:sz w:val="22"/>
          <w:szCs w:val="22"/>
        </w:rPr>
        <w:t xml:space="preserve"/>
      </w:r>
    </w:p>
    <w:p>
      <w:pPr>
        <w:spacing w:after="160" w:line="300"/>
      </w:pPr>
      <w:r>
        <w:rPr>
          <w:rFonts w:ascii="Arial" w:cs="Arial" w:eastAsia="Arial" w:hAnsi="Arial"/>
          <w:color w:val="1A1A2E"/>
          <w:sz w:val="22"/>
          <w:szCs w:val="22"/>
        </w:rPr>
        <w:t xml:space="preserve">Confidence is displayed as three bands — HIGH (85%+), MODERATE (60-85%), and LOW (&lt;60%) — each triggering different disclaimer behavior. HIGH confidence responses carry a clean citation notice. LOW confidence responses explicitly warn the user to verify against the original regulation text.</w:t>
      </w:r>
    </w:p>
    <w:p>
      <w:pPr>
        <w:spacing w:after="160" w:line="300"/>
      </w:pPr>
      <w:r>
        <w:rPr>
          <w:rFonts w:ascii="Arial" w:cs="Arial" w:eastAsia="Arial" w:hAnsi="Arial"/>
          <w:color w:val="1A1A2E"/>
          <w:sz w:val="22"/>
          <w:szCs w:val="22"/>
        </w:rPr>
        <w:t xml:space="preserve">RegOS goes beyond static scoring with a Thompson Sampling feedback loop: when users rate responses as helpful or unhelpful (thumbs up/down), those signals feed back into a multi-armed bandit algorithm that continuously optimizes the signal weights. Cold-start requires 150-200 stratified feedback samples across confidence bins; after convergence, the system self-calibrates with safety bounds (max +/-0.05/week weight delta, auto-rollback if Expected Calibration Error degrades &gt;5 percentage points).</w:t>
      </w:r>
    </w:p>
    <w:p>
      <w:pPr>
        <w:pStyle w:val="Heading2"/>
        <w:spacing w:after="160" w:before="360"/>
      </w:pPr>
      <w:r>
        <w:rPr>
          <w:rFonts w:ascii="Arial" w:cs="Arial" w:eastAsia="Arial" w:hAnsi="Arial"/>
          <w:b/>
          <w:bCs/>
          <w:color w:val="0F2B46"/>
          <w:sz w:val="28"/>
          <w:szCs w:val="28"/>
        </w:rPr>
        <w:t xml:space="preserve">4.2 Confidence Explainability</w:t>
      </w:r>
    </w:p>
    <w:p>
      <w:pPr>
        <w:spacing w:after="160" w:line="300"/>
      </w:pPr>
      <w:r>
        <w:rPr>
          <w:rFonts w:ascii="Arial" w:cs="Arial" w:eastAsia="Arial" w:hAnsi="Arial"/>
          <w:color w:val="1A1A2E"/>
          <w:sz w:val="22"/>
          <w:szCs w:val="22"/>
        </w:rPr>
        <w:t xml:space="preserve">RegOS doesn't just show a confidence number — it explains why. Each response includes a natural-language explanation of the confidence score: which retrieval steps contributed most, how many concept paths converged, whether the retrieved sections form a coherent regulatory chain or are scattered across unrelated domains. Trace mode provides a full pipeline breakdown showing exactly what Neo4j returned at each step.</w:t>
      </w:r>
    </w:p>
    <w:p>
      <w:pPr>
        <w:spacing w:after="160" w:line="300"/>
      </w:pPr>
      <w:r>
        <w:rPr>
          <w:rFonts w:ascii="Arial" w:cs="Arial" w:eastAsia="Arial" w:hAnsi="Arial"/>
          <w:color w:val="1A1A2E"/>
          <w:sz w:val="22"/>
          <w:szCs w:val="22"/>
        </w:rPr>
        <w:t xml:space="preserve">Example explanations: "High confidence: 4 regulatory sections converge on this limit via the SEWER_DISCHARGE_LIMITS concept" or "Moderate confidence: strong text match but limited concept expansion — consider verifying related pretreatment requirements."</w:t>
      </w:r>
    </w:p>
    <w:p>
      <w:pPr>
        <w:pStyle w:val="Heading2"/>
        <w:spacing w:after="160" w:before="360"/>
      </w:pPr>
      <w:r>
        <w:rPr>
          <w:rFonts w:ascii="Arial" w:cs="Arial" w:eastAsia="Arial" w:hAnsi="Arial"/>
          <w:b/>
          <w:bCs/>
          <w:color w:val="0F2B46"/>
          <w:sz w:val="28"/>
          <w:szCs w:val="28"/>
        </w:rPr>
        <w:t xml:space="preserve">4.3 Enterprise Response Formatting</w:t>
      </w:r>
    </w:p>
    <w:p>
      <w:pPr>
        <w:spacing w:after="160" w:line="300"/>
      </w:pPr>
      <w:r>
        <w:rPr>
          <w:rFonts w:ascii="Arial" w:cs="Arial" w:eastAsia="Arial" w:hAnsi="Arial"/>
          <w:color w:val="1A1A2E"/>
          <w:sz w:val="22"/>
          <w:szCs w:val="22"/>
        </w:rPr>
        <w:t xml:space="preserve">Every regulatory response is structured as a consultant-grade analysis with five mandatory sections:</w:t>
      </w:r>
    </w:p>
    <w:p>
      <w:pPr>
        <w:pStyle w:val="ListParagraph"/>
        <w:numPr>
          <w:ilvl w:val="0"/>
          <w:numId w:val="1"/>
        </w:numPr>
        <w:spacing w:after="100" w:line="280"/>
      </w:pPr>
      <w:r>
        <w:rPr>
          <w:rFonts w:ascii="Arial" w:cs="Arial" w:eastAsia="Arial" w:hAnsi="Arial"/>
          <w:b/>
          <w:bCs/>
          <w:color w:val="1A1A2E"/>
          <w:sz w:val="22"/>
          <w:szCs w:val="22"/>
        </w:rPr>
        <w:t xml:space="preserve">Summary: </w:t>
      </w:r>
      <w:r>
        <w:rPr>
          <w:rFonts w:ascii="Arial" w:cs="Arial" w:eastAsia="Arial" w:hAnsi="Arial"/>
          <w:color w:val="1A1A2E"/>
          <w:sz w:val="22"/>
          <w:szCs w:val="22"/>
        </w:rPr>
        <w:t xml:space="preserve">One paragraph, plain English. A citizen understands it; a consultant acts on it immediately.</w:t>
      </w:r>
    </w:p>
    <w:p>
      <w:pPr>
        <w:pStyle w:val="ListParagraph"/>
        <w:numPr>
          <w:ilvl w:val="0"/>
          <w:numId w:val="1"/>
        </w:numPr>
        <w:spacing w:after="100" w:line="280"/>
      </w:pPr>
      <w:r>
        <w:rPr>
          <w:rFonts w:ascii="Arial" w:cs="Arial" w:eastAsia="Arial" w:hAnsi="Arial"/>
          <w:b/>
          <w:bCs/>
          <w:color w:val="1A1A2E"/>
          <w:sz w:val="22"/>
          <w:szCs w:val="22"/>
        </w:rPr>
        <w:t xml:space="preserve">Regulatory Analysis: </w:t>
      </w:r>
      <w:r>
        <w:rPr>
          <w:rFonts w:ascii="Arial" w:cs="Arial" w:eastAsia="Arial" w:hAnsi="Arial"/>
          <w:color w:val="1A1A2E"/>
          <w:sz w:val="22"/>
          <w:szCs w:val="22"/>
        </w:rPr>
        <w:t xml:space="preserve">Detailed findings with inline citations ([G1], [G2]) quoting exact statutory language for all numeric limits, deadlines, and definitions.</w:t>
      </w:r>
    </w:p>
    <w:p>
      <w:pPr>
        <w:pStyle w:val="ListParagraph"/>
        <w:numPr>
          <w:ilvl w:val="0"/>
          <w:numId w:val="1"/>
        </w:numPr>
        <w:spacing w:after="100" w:line="280"/>
      </w:pPr>
      <w:r>
        <w:rPr>
          <w:rFonts w:ascii="Arial" w:cs="Arial" w:eastAsia="Arial" w:hAnsi="Arial"/>
          <w:b/>
          <w:bCs/>
          <w:color w:val="1A1A2E"/>
          <w:sz w:val="22"/>
          <w:szCs w:val="22"/>
        </w:rPr>
        <w:t xml:space="preserve">Applicable Sections Table: </w:t>
      </w:r>
      <w:r>
        <w:rPr>
          <w:rFonts w:ascii="Arial" w:cs="Arial" w:eastAsia="Arial" w:hAnsi="Arial"/>
          <w:color w:val="1A1A2E"/>
          <w:sz w:val="22"/>
          <w:szCs w:val="22"/>
        </w:rPr>
        <w:t xml:space="preserve">Structured reference table with section number, title, and relevance for every cited provision.</w:t>
      </w:r>
    </w:p>
    <w:p>
      <w:pPr>
        <w:pStyle w:val="ListParagraph"/>
        <w:numPr>
          <w:ilvl w:val="0"/>
          <w:numId w:val="1"/>
        </w:numPr>
        <w:spacing w:after="100" w:line="280"/>
      </w:pPr>
      <w:r>
        <w:rPr>
          <w:rFonts w:ascii="Arial" w:cs="Arial" w:eastAsia="Arial" w:hAnsi="Arial"/>
          <w:b/>
          <w:bCs/>
          <w:color w:val="1A1A2E"/>
          <w:sz w:val="22"/>
          <w:szCs w:val="22"/>
        </w:rPr>
        <w:t xml:space="preserve">What You Need To Do: </w:t>
      </w:r>
      <w:r>
        <w:rPr>
          <w:rFonts w:ascii="Arial" w:cs="Arial" w:eastAsia="Arial" w:hAnsi="Arial"/>
          <w:color w:val="1A1A2E"/>
          <w:sz w:val="22"/>
          <w:szCs w:val="22"/>
        </w:rPr>
        <w:t xml:space="preserve">Actionable compliance checklist. Each item is a concrete action: "Submit Form X", "Meet BOD limit of 300 mg/L per [G1]", "Obtain permit Z before commencing operations."</w:t>
      </w:r>
    </w:p>
    <w:p>
      <w:pPr>
        <w:pStyle w:val="ListParagraph"/>
        <w:numPr>
          <w:ilvl w:val="0"/>
          <w:numId w:val="1"/>
        </w:numPr>
        <w:spacing w:after="100" w:line="280"/>
      </w:pPr>
      <w:r>
        <w:rPr>
          <w:rFonts w:ascii="Arial" w:cs="Arial" w:eastAsia="Arial" w:hAnsi="Arial"/>
          <w:b/>
          <w:bCs/>
          <w:color w:val="1A1A2E"/>
          <w:sz w:val="22"/>
          <w:szCs w:val="22"/>
        </w:rPr>
        <w:t xml:space="preserve">Gaps &amp; Limitations: </w:t>
      </w:r>
      <w:r>
        <w:rPr>
          <w:rFonts w:ascii="Arial" w:cs="Arial" w:eastAsia="Arial" w:hAnsi="Arial"/>
          <w:color w:val="1A1A2E"/>
          <w:sz w:val="22"/>
          <w:szCs w:val="22"/>
        </w:rPr>
        <w:t xml:space="preserve">Explicit statement of what the response does NOT cover — missing site-specific context, requirements outside retrieved sections, areas requiring engineering judgment. Never skipped.</w:t>
      </w:r>
    </w:p>
    <w:p>
      <w:pPr>
        <w:pStyle w:val="Heading2"/>
        <w:spacing w:after="160" w:before="360"/>
      </w:pPr>
      <w:r>
        <w:rPr>
          <w:rFonts w:ascii="Arial" w:cs="Arial" w:eastAsia="Arial" w:hAnsi="Arial"/>
          <w:b/>
          <w:bCs/>
          <w:color w:val="0F2B46"/>
          <w:sz w:val="28"/>
          <w:szCs w:val="28"/>
        </w:rPr>
        <w:t xml:space="preserve">4.4 Three-Persona Adaptive Interface</w:t>
      </w:r>
    </w:p>
    <w:p>
      <w:pPr>
        <w:spacing w:after="160" w:line="300"/>
      </w:pPr>
      <w:r>
        <w:rPr>
          <w:rFonts w:ascii="Arial" w:cs="Arial" w:eastAsia="Arial" w:hAnsi="Arial"/>
          <w:color w:val="1A1A2E"/>
          <w:sz w:val="22"/>
          <w:szCs w:val="22"/>
        </w:rPr>
        <w:t xml:space="preserve">RegOS serves three distinct user personas with automatically adapted tone and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rPr>
          <w:tblHeader/>
        </w:trPr>
        <w:tc>
          <w:tcPr>
            <w:tcW w:type="dxa" w:w="20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Persona</w:t>
            </w:r>
          </w:p>
        </w:tc>
        <w:tc>
          <w:tcPr>
            <w:tcW w:type="dxa" w:w="20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Who They Are</w:t>
            </w:r>
          </w:p>
        </w:tc>
        <w:tc>
          <w:tcPr>
            <w:tcW w:type="dxa" w:w="24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What They Need</w:t>
            </w:r>
          </w:p>
        </w:tc>
        <w:tc>
          <w:tcPr>
            <w:tcW w:type="dxa" w:w="29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How RegOS Adapts</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Citizens / Business Applicants</w:t>
            </w:r>
          </w:p>
        </w:tc>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Non-experts seeking permits or compliance guidance</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Plain-language guidance, clear next steps, no jargon</w:t>
            </w:r>
          </w:p>
        </w:tc>
        <w:tc>
          <w:tcPr>
            <w:tcW w:type="dxa" w:w="2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Summary section leads with accessible language; "What You Need To Do" provides step-by-step actions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Consultants / Expert Preparers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Environmental engineers and compliance professionals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Speed, accuracy, actionable checklists, full traceability</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Regulatory Analysis provides detailed code citations; Applicable Sections table enables rapid cross-reference</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Regulators / Reviewers</w:t>
            </w:r>
          </w:p>
        </w:tc>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County officials reviewing submissions</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Transparency, verification, audit trails</w:t>
            </w:r>
          </w:p>
        </w:tc>
        <w:tc>
          <w:tcPr>
            <w:tcW w:type="dxa" w:w="2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Every claim is citation-backed; Gaps &amp; Limitations section flags what was NOT covered; audit trail provides full query/response history</w:t>
            </w:r>
          </w:p>
        </w:tc>
      </w:tr>
    </w:tbl>
    <w:p>
      <w:r>
        <w:br w:type="page"/>
      </w:r>
    </w:p>
    <w:p>
      <w:pPr>
        <w:pStyle w:val="Heading2"/>
        <w:spacing w:after="160" w:before="360"/>
      </w:pPr>
      <w:r>
        <w:rPr>
          <w:rFonts w:ascii="Arial" w:cs="Arial" w:eastAsia="Arial" w:hAnsi="Arial"/>
          <w:b/>
          <w:bCs/>
          <w:color w:val="0F2B46"/>
          <w:sz w:val="28"/>
          <w:szCs w:val="28"/>
        </w:rPr>
        <w:t xml:space="preserve">4.5 Automated Threshold Evaluation</w:t>
      </w:r>
    </w:p>
    <w:p>
      <w:pPr>
        <w:spacing w:after="160" w:line="300"/>
      </w:pPr>
      <w:r>
        <w:rPr>
          <w:rFonts w:ascii="Arial" w:cs="Arial" w:eastAsia="Arial" w:hAnsi="Arial"/>
          <w:color w:val="1A1A2E"/>
          <w:sz w:val="22"/>
          <w:szCs w:val="22"/>
        </w:rPr>
        <w:t xml:space="preserve">RegOS doesn't just explain regulations — it evaluates compliance in real time. When a user provides a measurement value (e.g., "My BOD reading is 350 mg/L"), RegOS:</w:t>
      </w:r>
    </w:p>
    <w:p>
      <w:pPr>
        <w:pStyle w:val="ListParagraph"/>
        <w:numPr>
          <w:ilvl w:val="0"/>
          <w:numId w:val="1"/>
        </w:numPr>
        <w:spacing w:after="100" w:line="280"/>
      </w:pPr>
      <w:r>
        <w:rPr>
          <w:rFonts w:ascii="Arial" w:cs="Arial" w:eastAsia="Arial" w:hAnsi="Arial"/>
          <w:color w:val="1A1A2E"/>
          <w:sz w:val="22"/>
          <w:szCs w:val="22"/>
        </w:rPr>
        <w:t xml:space="preserve">Detects 35+ regulatory parameters via pattern matching (concentrations, temperatures, flow rates, percentages, distances)</w:t>
      </w:r>
    </w:p>
    <w:p>
      <w:pPr>
        <w:pStyle w:val="ListParagraph"/>
        <w:numPr>
          <w:ilvl w:val="0"/>
          <w:numId w:val="1"/>
        </w:numPr>
        <w:spacing w:after="100" w:line="280"/>
      </w:pPr>
      <w:r>
        <w:rPr>
          <w:rFonts w:ascii="Arial" w:cs="Arial" w:eastAsia="Arial" w:hAnsi="Arial"/>
          <w:color w:val="1A1A2E"/>
          <w:sz w:val="22"/>
          <w:szCs w:val="22"/>
        </w:rPr>
        <w:t xml:space="preserve">Evaluates the measurement against a curated table of 96 Chapter 24 regulatory thresholds</w:t>
      </w:r>
    </w:p>
    <w:p>
      <w:pPr>
        <w:pStyle w:val="ListParagraph"/>
        <w:numPr>
          <w:ilvl w:val="0"/>
          <w:numId w:val="1"/>
        </w:numPr>
        <w:spacing w:after="100" w:line="280"/>
      </w:pPr>
      <w:r>
        <w:rPr>
          <w:rFonts w:ascii="Arial" w:cs="Arial" w:eastAsia="Arial" w:hAnsi="Arial"/>
          <w:color w:val="1A1A2E"/>
          <w:sz w:val="22"/>
          <w:szCs w:val="22"/>
        </w:rPr>
        <w:t xml:space="preserve">Produces a structured Compliance Determination with: COMPLIANT / BORDERLINE / BREACH status, applicable limit, margin of compliance, exact regulatory section citation, and a SHA-256 evidence hash</w:t>
      </w:r>
    </w:p>
    <w:p>
      <w:pPr>
        <w:pStyle w:val="ListParagraph"/>
        <w:numPr>
          <w:ilvl w:val="0"/>
          <w:numId w:val="1"/>
        </w:numPr>
        <w:spacing w:after="100" w:line="280"/>
      </w:pPr>
      <w:r>
        <w:rPr>
          <w:rFonts w:ascii="Arial" w:cs="Arial" w:eastAsia="Arial" w:hAnsi="Arial"/>
          <w:color w:val="1A1A2E"/>
          <w:sz w:val="22"/>
          <w:szCs w:val="22"/>
        </w:rPr>
        <w:t xml:space="preserve">Appends the determination as a formatted badge below the response — the LLM provides context, the threshold engine provides the verdict</w:t>
      </w:r>
    </w:p>
    <w:p>
      <w:pPr>
        <w:pStyle w:val="Heading2"/>
        <w:spacing w:after="160" w:before="360"/>
      </w:pPr>
      <w:r>
        <w:rPr>
          <w:rFonts w:ascii="Arial" w:cs="Arial" w:eastAsia="Arial" w:hAnsi="Arial"/>
          <w:b/>
          <w:bCs/>
          <w:color w:val="0F2B46"/>
          <w:sz w:val="28"/>
          <w:szCs w:val="28"/>
        </w:rPr>
        <w:t xml:space="preserve">4.6 Cryptographic Audit Trail</w:t>
      </w:r>
    </w:p>
    <w:p>
      <w:pPr>
        <w:spacing w:after="160" w:line="300"/>
      </w:pPr>
      <w:r>
        <w:rPr>
          <w:rFonts w:ascii="Arial" w:cs="Arial" w:eastAsia="Arial" w:hAnsi="Arial"/>
          <w:color w:val="1A1A2E"/>
          <w:sz w:val="22"/>
          <w:szCs w:val="22"/>
        </w:rPr>
        <w:t xml:space="preserve">Every RegOS interaction is permanently recorded in a tamper-evident audit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Data Captured</w:t>
            </w:r>
          </w:p>
        </w:tc>
        <w:tc>
          <w:tcPr>
            <w:tcW w:type="dxa" w:w="30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Purpose</w:t>
            </w:r>
          </w:p>
        </w:tc>
        <w:tc>
          <w:tcPr>
            <w:tcW w:type="dxa" w:w="33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Tamper Protection</w:t>
            </w:r>
          </w:p>
        </w:tc>
      </w:tr>
      <w:tr>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User identity (ID, email, name, role)</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Who asked the question</w:t>
            </w:r>
          </w:p>
        </w:tc>
        <w:tc>
          <w:tcPr>
            <w:tcW w:type="dxa" w:w="3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SHA-256 hash of full record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Query text and timestamp</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What was asked and when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Epoch timestamp + ISO 8601 UTC</w:t>
            </w:r>
          </w:p>
        </w:tc>
      </w:tr>
      <w:tr>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Model used and response text</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What answered and how</w:t>
            </w:r>
          </w:p>
        </w:tc>
        <w:tc>
          <w:tcPr>
            <w:tcW w:type="dxa" w:w="3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Record hash includes response content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Confidence score, band, and all signals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How confident the system was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Signals stored as immutable JSON</w:t>
            </w:r>
          </w:p>
        </w:tc>
      </w:tr>
      <w:tr>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Guardrail triggers and type</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Whether safety systems activated</w:t>
            </w:r>
          </w:p>
        </w:tc>
        <w:tc>
          <w:tcPr>
            <w:tcW w:type="dxa" w:w="3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Guardrail metadata in signed record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Escalation status and webhook response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Whether human review was requested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Full escalation chain logged</w:t>
            </w:r>
          </w:p>
        </w:tc>
      </w:tr>
    </w:tbl>
    <w:p>
      <w:pPr>
        <w:spacing w:after="160" w:line="300"/>
      </w:pPr>
      <w:r>
        <w:rPr>
          <w:rFonts w:ascii="Arial" w:cs="Arial" w:eastAsia="Arial" w:hAnsi="Arial"/>
          <w:color w:val="1A1A2E"/>
          <w:sz w:val="22"/>
          <w:szCs w:val="22"/>
        </w:rPr>
        <w:t xml:space="preserve"/>
      </w:r>
    </w:p>
    <w:p>
      <w:pPr>
        <w:spacing w:after="160" w:line="300"/>
      </w:pPr>
      <w:r>
        <w:rPr>
          <w:rFonts w:ascii="Arial" w:cs="Arial" w:eastAsia="Arial" w:hAnsi="Arial"/>
          <w:color w:val="1A1A2E"/>
          <w:sz w:val="22"/>
          <w:szCs w:val="22"/>
        </w:rPr>
        <w:t xml:space="preserve">The SHA-256 signing ensures that if any field in an audit record is modified after creation — the query text, the response, the confidence score, the timestamp — the hash will no longer match. This provides the same level of tamper evidence used in blockchain systems, applied to compliance audit trails.</w:t>
      </w:r>
    </w:p>
    <w:p>
      <w:r>
        <w:br w:type="page"/>
      </w:r>
    </w:p>
    <w:p>
      <w:pPr>
        <w:pStyle w:val="Heading2"/>
        <w:spacing w:after="160" w:before="360"/>
      </w:pPr>
      <w:r>
        <w:rPr>
          <w:rFonts w:ascii="Arial" w:cs="Arial" w:eastAsia="Arial" w:hAnsi="Arial"/>
          <w:b/>
          <w:bCs/>
          <w:color w:val="0F2B46"/>
          <w:sz w:val="28"/>
          <w:szCs w:val="28"/>
        </w:rPr>
        <w:t xml:space="preserve">4.7 Real-Time SCADA Telemetry Integration</w:t>
      </w:r>
    </w:p>
    <w:p>
      <w:pPr>
        <w:spacing w:after="160" w:line="300"/>
      </w:pPr>
      <w:r>
        <w:rPr>
          <w:rFonts w:ascii="Arial" w:cs="Arial" w:eastAsia="Arial" w:hAnsi="Arial"/>
          <w:color w:val="1A1A2E"/>
          <w:sz w:val="22"/>
          <w:szCs w:val="22"/>
        </w:rPr>
        <w:t xml:space="preserve">RegOS connects directly to wastewater treatment plant sensor systems through a SCADA Streaming API that supports three ingestion modes:</w:t>
      </w:r>
    </w:p>
    <w:p>
      <w:pPr>
        <w:pStyle w:val="ListParagraph"/>
        <w:numPr>
          <w:ilvl w:val="0"/>
          <w:numId w:val="1"/>
        </w:numPr>
        <w:spacing w:after="100" w:line="280"/>
      </w:pPr>
      <w:r>
        <w:rPr>
          <w:rFonts w:ascii="Arial" w:cs="Arial" w:eastAsia="Arial" w:hAnsi="Arial"/>
          <w:b/>
          <w:bCs/>
          <w:color w:val="1A1A2E"/>
          <w:sz w:val="22"/>
          <w:szCs w:val="22"/>
        </w:rPr>
        <w:t xml:space="preserve">WebSocket (Full-Duplex): </w:t>
      </w:r>
      <w:r>
        <w:rPr>
          <w:rFonts w:ascii="Arial" w:cs="Arial" w:eastAsia="Arial" w:hAnsi="Arial"/>
          <w:color w:val="1A1A2E"/>
          <w:sz w:val="22"/>
          <w:szCs w:val="22"/>
        </w:rPr>
        <w:t xml:space="preserve">Bi-directional real-time communication for live sensor data streams with sub-second latency.</w:t>
      </w:r>
    </w:p>
    <w:p>
      <w:pPr>
        <w:pStyle w:val="ListParagraph"/>
        <w:numPr>
          <w:ilvl w:val="0"/>
          <w:numId w:val="1"/>
        </w:numPr>
        <w:spacing w:after="100" w:line="280"/>
      </w:pPr>
      <w:r>
        <w:rPr>
          <w:rFonts w:ascii="Arial" w:cs="Arial" w:eastAsia="Arial" w:hAnsi="Arial"/>
          <w:b/>
          <w:bCs/>
          <w:color w:val="1A1A2E"/>
          <w:sz w:val="22"/>
          <w:szCs w:val="22"/>
        </w:rPr>
        <w:t xml:space="preserve">Server-Sent Events (SSE): </w:t>
      </w:r>
      <w:r>
        <w:rPr>
          <w:rFonts w:ascii="Arial" w:cs="Arial" w:eastAsia="Arial" w:hAnsi="Arial"/>
          <w:color w:val="1A1A2E"/>
          <w:sz w:val="22"/>
          <w:szCs w:val="22"/>
        </w:rPr>
        <w:t xml:space="preserve">One-way monitoring streams for dashboard consumption. Clients subscribe to real-time compliance determinations as sensor readings are evaluated.</w:t>
      </w:r>
    </w:p>
    <w:p>
      <w:pPr>
        <w:pStyle w:val="ListParagraph"/>
        <w:numPr>
          <w:ilvl w:val="0"/>
          <w:numId w:val="1"/>
        </w:numPr>
        <w:spacing w:after="100" w:line="280"/>
      </w:pPr>
      <w:r>
        <w:rPr>
          <w:rFonts w:ascii="Arial" w:cs="Arial" w:eastAsia="Arial" w:hAnsi="Arial"/>
          <w:b/>
          <w:bCs/>
          <w:color w:val="1A1A2E"/>
          <w:sz w:val="22"/>
          <w:szCs w:val="22"/>
        </w:rPr>
        <w:t xml:space="preserve">REST Batch: </w:t>
      </w:r>
      <w:r>
        <w:rPr>
          <w:rFonts w:ascii="Arial" w:cs="Arial" w:eastAsia="Arial" w:hAnsi="Arial"/>
          <w:color w:val="1A1A2E"/>
          <w:sz w:val="22"/>
          <w:szCs w:val="22"/>
        </w:rPr>
        <w:t xml:space="preserve">Bulk upload of historical sensor data for retroactive compliance analysis.</w:t>
      </w:r>
    </w:p>
    <w:p>
      <w:pPr>
        <w:spacing w:after="160" w:line="300"/>
      </w:pPr>
      <w:r>
        <w:rPr>
          <w:rFonts w:ascii="Arial" w:cs="Arial" w:eastAsia="Arial" w:hAnsi="Arial"/>
          <w:color w:val="1A1A2E"/>
          <w:sz w:val="22"/>
          <w:szCs w:val="22"/>
        </w:rPr>
        <w:t xml:space="preserve">Each sensor reading is evaluated against the 96-threshold regulatory table in real time. When a reading exceeds a threshold, RegOS generates an automated compliance determination with the same traceability and evidence hashing used for chat-based queries.</w:t>
      </w:r>
    </w:p>
    <w:p>
      <w:pPr>
        <w:spacing w:after="160" w:line="300"/>
      </w:pPr>
      <w:r>
        <w:rPr>
          <w:rFonts w:ascii="Arial" w:cs="Arial" w:eastAsia="Arial" w:hAnsi="Arial"/>
          <w:color w:val="1A1A2E"/>
          <w:sz w:val="22"/>
          <w:szCs w:val="22"/>
        </w:rPr>
        <w:t xml:space="preserve">The APAS Telemetry Bridge connects to external sensor platforms via JWT-authenticated polling (30-second intervals), metric mapping configuration, and automatic unit conversion — feeding live data from field sensors into the RegOS compliance evaluation pipeline. Full effluent sensor activation covers 14 sensor types (pH, dissolved oxygen, chlorine, temperature, BOD, TSS, and more) with a dedicated UOM (Unit of Measurement) conversion table entity for universal cross-unit evaluation.</w:t>
      </w:r>
    </w:p>
    <w:p>
      <w:pPr>
        <w:pStyle w:val="Heading2"/>
        <w:spacing w:after="160" w:before="360"/>
      </w:pPr>
      <w:r>
        <w:rPr>
          <w:rFonts w:ascii="Arial" w:cs="Arial" w:eastAsia="Arial" w:hAnsi="Arial"/>
          <w:b/>
          <w:bCs/>
          <w:color w:val="0F2B46"/>
          <w:sz w:val="28"/>
          <w:szCs w:val="28"/>
        </w:rPr>
        <w:t xml:space="preserve">4.8 Adversarial Guardrails &amp; Security</w:t>
      </w:r>
    </w:p>
    <w:p>
      <w:pPr>
        <w:spacing w:after="160" w:line="300"/>
      </w:pPr>
      <w:r>
        <w:rPr>
          <w:rFonts w:ascii="Arial" w:cs="Arial" w:eastAsia="Arial" w:hAnsi="Arial"/>
          <w:color w:val="1A1A2E"/>
          <w:sz w:val="22"/>
          <w:szCs w:val="22"/>
        </w:rPr>
        <w:t xml:space="preserve">RegOS implements a layered defense system to prevent misuse, manipulation, and out-of-scope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Layer</w:t>
            </w:r>
          </w:p>
        </w:tc>
        <w:tc>
          <w:tcPr>
            <w:tcW w:type="dxa" w:w="30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Mechanism</w:t>
            </w:r>
          </w:p>
        </w:tc>
        <w:tc>
          <w:tcPr>
            <w:tcW w:type="dxa" w:w="41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What It Stops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Scope Detection</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Aho-Corasick keyword matching + MiniLM embeddings</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Out-of-scope queries (building codes, zoning, OSHA, federal EPA) are blocked before reaching the knowledge graph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Zero-Retrieval Guard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Automatic detection when no regulatory content is found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Vague or off-topic queries that would produce hallucinated responses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Jurisdiction Guard</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Domain boundary enforcement</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Queries about other jurisdictions that could produce misleading cross-jurisdiction answers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Prompt Injection Defense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System prompt boundary + programmatic input sanitization + canary token detection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Attempts to override instructions, disable guardrails, or extract system prompts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Citation Fabrication Prevention</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All citations tied to actual retrieved sections</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Prevents the LLM from inventing non-existent regulatory sections or fabricating threshold values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Neo4j Failover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Connection failure detection separate from zero-retrieval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Database outages are caught and surfaced as explicit service unavailability notices rather than silent failures</w:t>
            </w:r>
          </w:p>
        </w:tc>
      </w:tr>
    </w:tbl>
    <w:p>
      <w:pPr>
        <w:spacing w:after="160" w:line="300"/>
      </w:pPr>
      <w:r>
        <w:rPr>
          <w:rFonts w:ascii="Arial" w:cs="Arial" w:eastAsia="Arial" w:hAnsi="Arial"/>
          <w:color w:val="1A1A2E"/>
          <w:sz w:val="22"/>
          <w:szCs w:val="22"/>
        </w:rPr>
        <w:t xml:space="preserve"/>
      </w:r>
    </w:p>
    <w:p>
      <w:pPr>
        <w:spacing w:after="160" w:line="300"/>
      </w:pPr>
      <w:r>
        <w:rPr>
          <w:rFonts w:ascii="Arial" w:cs="Arial" w:eastAsia="Arial" w:hAnsi="Arial"/>
          <w:color w:val="1A1A2E"/>
          <w:sz w:val="22"/>
          <w:szCs w:val="22"/>
        </w:rPr>
        <w:t xml:space="preserve">The adversarial test suite covers 28 scenarios across 8 categories — including prompt injection, citation fabrication, jurisdiction mixing, and edge cases. Every guardrail trigger is logged to the audit database for compliance review.</w:t>
      </w:r>
    </w:p>
    <w:p>
      <w:r>
        <w:br w:type="page"/>
      </w:r>
    </w:p>
    <w:p>
      <w:pPr>
        <w:pStyle w:val="Heading2"/>
        <w:spacing w:after="160" w:before="360"/>
      </w:pPr>
      <w:r>
        <w:rPr>
          <w:rFonts w:ascii="Arial" w:cs="Arial" w:eastAsia="Arial" w:hAnsi="Arial"/>
          <w:b/>
          <w:bCs/>
          <w:color w:val="0F2B46"/>
          <w:sz w:val="28"/>
          <w:szCs w:val="28"/>
        </w:rPr>
        <w:t xml:space="preserve">4.9 Knowledge Graph: Fixed Entity Architecture (FEA)</w:t>
      </w:r>
    </w:p>
    <w:p>
      <w:pPr>
        <w:spacing w:after="160" w:line="300"/>
      </w:pPr>
      <w:r>
        <w:rPr>
          <w:rFonts w:ascii="Arial" w:cs="Arial" w:eastAsia="Arial" w:hAnsi="Arial"/>
          <w:color w:val="1A1A2E"/>
          <w:sz w:val="22"/>
          <w:szCs w:val="22"/>
        </w:rPr>
        <w:t xml:space="preserve">The RegOS knowledge graph uses a purpose-built three-layer ontology designed specifically for regulatory compliance:</w:t>
      </w:r>
    </w:p>
    <w:p>
      <w:pPr>
        <w:pStyle w:val="ListParagraph"/>
        <w:numPr>
          <w:ilvl w:val="0"/>
          <w:numId w:val="1"/>
        </w:numPr>
        <w:spacing w:after="100" w:line="280"/>
      </w:pPr>
      <w:r>
        <w:rPr>
          <w:rFonts w:ascii="Arial" w:cs="Arial" w:eastAsia="Arial" w:hAnsi="Arial"/>
          <w:b/>
          <w:bCs/>
          <w:color w:val="1A1A2E"/>
          <w:sz w:val="22"/>
          <w:szCs w:val="22"/>
        </w:rPr>
        <w:t xml:space="preserve">Layer 1 — Concepts (30 Ch24Class nodes): </w:t>
      </w:r>
      <w:r>
        <w:rPr>
          <w:rFonts w:ascii="Arial" w:cs="Arial" w:eastAsia="Arial" w:hAnsi="Arial"/>
          <w:color w:val="1A1A2E"/>
          <w:sz w:val="22"/>
          <w:szCs w:val="22"/>
        </w:rPr>
        <w:t xml:space="preserve">Regulatory domains like SEWER_DISCHARGE_LIMITS, FOG_CONTROL, STORMWATER_MANAGEMENT, WELLFIELD_PROTECTION. These represent the organizing principles of Chapter 24 and serve as the concept bridge for graph-based discovery.</w:t>
      </w:r>
    </w:p>
    <w:p>
      <w:pPr>
        <w:pStyle w:val="ListParagraph"/>
        <w:numPr>
          <w:ilvl w:val="0"/>
          <w:numId w:val="1"/>
        </w:numPr>
        <w:spacing w:after="100" w:line="280"/>
      </w:pPr>
      <w:r>
        <w:rPr>
          <w:rFonts w:ascii="Arial" w:cs="Arial" w:eastAsia="Arial" w:hAnsi="Arial"/>
          <w:b/>
          <w:bCs/>
          <w:color w:val="1A1A2E"/>
          <w:sz w:val="22"/>
          <w:szCs w:val="22"/>
        </w:rPr>
        <w:t xml:space="preserve">Layer 2 — Documents (141 Ch24Document nodes): </w:t>
      </w:r>
      <w:r>
        <w:rPr>
          <w:rFonts w:ascii="Arial" w:cs="Arial" w:eastAsia="Arial" w:hAnsi="Arial"/>
          <w:color w:val="1A1A2E"/>
          <w:sz w:val="22"/>
          <w:szCs w:val="22"/>
        </w:rPr>
        <w:t xml:space="preserve">Individual sections of Chapter 24 with full text content, titles, and section IDs. Indexed by Lucene fulltext for sub-second search.</w:t>
      </w:r>
    </w:p>
    <w:p>
      <w:pPr>
        <w:pStyle w:val="ListParagraph"/>
        <w:numPr>
          <w:ilvl w:val="0"/>
          <w:numId w:val="1"/>
        </w:numPr>
        <w:spacing w:after="100" w:line="280"/>
      </w:pPr>
      <w:r>
        <w:rPr>
          <w:rFonts w:ascii="Arial" w:cs="Arial" w:eastAsia="Arial" w:hAnsi="Arial"/>
          <w:b/>
          <w:bCs/>
          <w:color w:val="1A1A2E"/>
          <w:sz w:val="22"/>
          <w:szCs w:val="22"/>
        </w:rPr>
        <w:t xml:space="preserve">Layer 3 — Entities (455 Ch24Entity nodes): </w:t>
      </w:r>
      <w:r>
        <w:rPr>
          <w:rFonts w:ascii="Arial" w:cs="Arial" w:eastAsia="Arial" w:hAnsi="Arial"/>
          <w:color w:val="1A1A2E"/>
          <w:sz w:val="22"/>
          <w:szCs w:val="22"/>
        </w:rPr>
        <w:t xml:space="preserve">Extracted regulatory entities — thresholds, actors, standards, penalties, definitions, processes, places, and activities. Each entity is typed and linked to the sections that define or reference it.</w:t>
      </w:r>
    </w:p>
    <w:p>
      <w:pPr>
        <w:spacing w:after="160" w:line="300"/>
      </w:pPr>
      <w:r>
        <w:rPr>
          <w:rFonts w:ascii="Arial" w:cs="Arial" w:eastAsia="Arial" w:hAnsi="Arial"/>
          <w:color w:val="1A1A2E"/>
          <w:sz w:val="22"/>
          <w:szCs w:val="22"/>
        </w:rPr>
        <w:t xml:space="preserve">Three core relationship types connect these layers: RELATES_TO_CONCEPT (Documents to Concepts, with similarity scores), MENTIONS_ENTITY (Documents to Entities), and the fulltext index ch24_doc_fulltext enabling sub-second lexical search across all document content.</w:t>
      </w:r>
    </w:p>
    <w:p>
      <w:pPr>
        <w:spacing w:after="160" w:line="300"/>
      </w:pPr>
      <w:r>
        <w:rPr>
          <w:rFonts w:ascii="Arial" w:cs="Arial" w:eastAsia="Arial" w:hAnsi="Arial"/>
          <w:color w:val="1A1A2E"/>
          <w:sz w:val="22"/>
          <w:szCs w:val="22"/>
        </w:rPr>
        <w:t xml:space="preserve">The FEA schema is designed for multi-jurisdiction expansion. The concept layer (30 regulatory domain nodes) is jurisdiction-agnostic — adding a new jurisdiction means adding new document and entity nodes with namespaced labels connected to the shared concept layer, not rebuilding the graph. This architecture enables cross-jurisdiction comparison queries out of the box.</w:t>
      </w:r>
    </w:p>
    <w:p>
      <w:pPr>
        <w:pStyle w:val="Heading2"/>
        <w:spacing w:after="160" w:before="360"/>
      </w:pPr>
      <w:r>
        <w:rPr>
          <w:rFonts w:ascii="Arial" w:cs="Arial" w:eastAsia="Arial" w:hAnsi="Arial"/>
          <w:b/>
          <w:bCs/>
          <w:color w:val="0F2B46"/>
          <w:sz w:val="28"/>
          <w:szCs w:val="28"/>
        </w:rPr>
        <w:t xml:space="preserve">4.10 Escalation Workflow</w:t>
      </w:r>
    </w:p>
    <w:p>
      <w:pPr>
        <w:spacing w:after="160" w:line="300"/>
      </w:pPr>
      <w:r>
        <w:rPr>
          <w:rFonts w:ascii="Arial" w:cs="Arial" w:eastAsia="Arial" w:hAnsi="Arial"/>
          <w:color w:val="1A1A2E"/>
          <w:sz w:val="22"/>
          <w:szCs w:val="22"/>
        </w:rPr>
        <w:t xml:space="preserve">When RegOS encounters queries it cannot answer with high confidence, a multi-tier escalation system activates:</w:t>
      </w:r>
    </w:p>
    <w:p>
      <w:pPr>
        <w:pStyle w:val="ListParagraph"/>
        <w:numPr>
          <w:ilvl w:val="0"/>
          <w:numId w:val="1"/>
        </w:numPr>
        <w:spacing w:after="100" w:line="280"/>
      </w:pPr>
      <w:r>
        <w:rPr>
          <w:rFonts w:ascii="Arial" w:cs="Arial" w:eastAsia="Arial" w:hAnsi="Arial"/>
          <w:b/>
          <w:bCs/>
          <w:color w:val="1A1A2E"/>
          <w:sz w:val="22"/>
          <w:szCs w:val="22"/>
        </w:rPr>
        <w:t xml:space="preserve">Automatic Escalation: </w:t>
      </w:r>
      <w:r>
        <w:rPr>
          <w:rFonts w:ascii="Arial" w:cs="Arial" w:eastAsia="Arial" w:hAnsi="Arial"/>
          <w:color w:val="1A1A2E"/>
          <w:sz w:val="22"/>
          <w:szCs w:val="22"/>
        </w:rPr>
        <w:t xml:space="preserve">Queries with confidence below 0.65 are automatically flagged for expert review. The full query context, retrieved sections, and confidence breakdown are packaged and sent to an n8n automation webhook for case routing.</w:t>
      </w:r>
    </w:p>
    <w:p>
      <w:pPr>
        <w:pStyle w:val="ListParagraph"/>
        <w:numPr>
          <w:ilvl w:val="0"/>
          <w:numId w:val="1"/>
        </w:numPr>
        <w:spacing w:after="100" w:line="280"/>
      </w:pPr>
      <w:r>
        <w:rPr>
          <w:rFonts w:ascii="Arial" w:cs="Arial" w:eastAsia="Arial" w:hAnsi="Arial"/>
          <w:b/>
          <w:bCs/>
          <w:color w:val="1A1A2E"/>
          <w:sz w:val="22"/>
          <w:szCs w:val="22"/>
        </w:rPr>
        <w:t xml:space="preserve">Manual Escalation: </w:t>
      </w:r>
      <w:r>
        <w:rPr>
          <w:rFonts w:ascii="Arial" w:cs="Arial" w:eastAsia="Arial" w:hAnsi="Arial"/>
          <w:color w:val="1A1A2E"/>
          <w:sz w:val="22"/>
          <w:szCs w:val="22"/>
        </w:rPr>
        <w:t xml:space="preserve">A font-awesome icon in the response subtext panel (alongside thumbs up/TTS buttons) allows users to manually flag any response for human expert review. The escalation package includes the full chat context linked by chat_ID for traceability.</w:t>
      </w:r>
    </w:p>
    <w:p>
      <w:pPr>
        <w:spacing w:after="160" w:line="300"/>
      </w:pPr>
      <w:r>
        <w:rPr>
          <w:rFonts w:ascii="Arial" w:cs="Arial" w:eastAsia="Arial" w:hAnsi="Arial"/>
          <w:color w:val="1A1A2E"/>
          <w:sz w:val="22"/>
          <w:szCs w:val="22"/>
        </w:rPr>
        <w:t xml:space="preserve">Every escalation event — automatic or manual — is logged to the audit database with the webhook response, creating a complete case lifecycle trail.</w:t>
      </w:r>
    </w:p>
    <w:p>
      <w:pPr>
        <w:pStyle w:val="Heading2"/>
        <w:spacing w:after="160" w:before="360"/>
      </w:pPr>
      <w:r>
        <w:rPr>
          <w:rFonts w:ascii="Arial" w:cs="Arial" w:eastAsia="Arial" w:hAnsi="Arial"/>
          <w:b/>
          <w:bCs/>
          <w:color w:val="0F2B46"/>
          <w:sz w:val="28"/>
          <w:szCs w:val="28"/>
        </w:rPr>
        <w:t xml:space="preserve">4.11 GIS Wellfield Protection Zone Mapping</w:t>
      </w:r>
    </w:p>
    <w:p>
      <w:pPr>
        <w:spacing w:after="160" w:line="300"/>
      </w:pPr>
      <w:r>
        <w:rPr>
          <w:rFonts w:ascii="Arial" w:cs="Arial" w:eastAsia="Arial" w:hAnsi="Arial"/>
          <w:color w:val="1A1A2E"/>
          <w:sz w:val="22"/>
          <w:szCs w:val="22"/>
        </w:rPr>
        <w:t xml:space="preserve">RegOS includes geospatial compliance checking for location-dependent regulatory requirements. Given a street address, the system determines whether a facility falls inside a protected wellfield zone using Miami-Dade's official boundary data from the Open Data Portal.</w:t>
      </w:r>
    </w:p>
    <w:p>
      <w:pPr>
        <w:spacing w:after="160" w:line="300"/>
      </w:pPr>
      <w:r>
        <w:rPr>
          <w:rFonts w:ascii="Arial" w:cs="Arial" w:eastAsia="Arial" w:hAnsi="Arial"/>
          <w:color w:val="1A1A2E"/>
          <w:sz w:val="22"/>
          <w:szCs w:val="22"/>
        </w:rPr>
        <w:t xml:space="preserve">The implementation uses Cartesian coordinate geometry (point-in-polygon) rather than expensive ArcGIS API calls — making it self-hosted, fast, and globally replicable. Location hierarchies (state, county, district, city) ensure that lower-level coordinates must fall within higher-level boundaries, enabling hierarchical geospatial compliance validation.</w:t>
      </w:r>
    </w:p>
    <w:p>
      <w:pPr>
        <w:pStyle w:val="Heading2"/>
        <w:spacing w:after="160" w:before="360"/>
      </w:pPr>
      <w:r>
        <w:rPr>
          <w:rFonts w:ascii="Arial" w:cs="Arial" w:eastAsia="Arial" w:hAnsi="Arial"/>
          <w:b/>
          <w:bCs/>
          <w:color w:val="0F2B46"/>
          <w:sz w:val="28"/>
          <w:szCs w:val="28"/>
        </w:rPr>
        <w:t xml:space="preserve">4.12 API Exposure for External Platforms</w:t>
      </w:r>
    </w:p>
    <w:p>
      <w:pPr>
        <w:spacing w:after="160" w:line="300"/>
      </w:pPr>
      <w:r>
        <w:rPr>
          <w:rFonts w:ascii="Arial" w:cs="Arial" w:eastAsia="Arial" w:hAnsi="Arial"/>
          <w:color w:val="1A1A2E"/>
          <w:sz w:val="22"/>
          <w:szCs w:val="22"/>
        </w:rPr>
        <w:t xml:space="preserve">RegOS is accessible as a service via RESTful API endpoints, enabling external platforms to query the regulatory compliance engine programmatically. This allows third-party applications (such as the NID platform and future integrations) to send regulatory questions and receive structured, citation-backed compliance answers without using the chat interface.</w:t>
      </w:r>
    </w:p>
    <w:p>
      <w:pPr>
        <w:spacing w:after="160" w:line="300"/>
      </w:pPr>
      <w:r>
        <w:rPr>
          <w:rFonts w:ascii="Arial" w:cs="Arial" w:eastAsia="Arial" w:hAnsi="Arial"/>
          <w:color w:val="1A1A2E"/>
          <w:sz w:val="22"/>
          <w:szCs w:val="22"/>
        </w:rPr>
        <w:t xml:space="preserve">The API uses a fire-and-forget pattern where synchronous queries complete in approximately 3 seconds, with a backend sync path of approximately 20 seconds for complex multi-hop graph queries. The service is self-hosted and secured via API keys, extendable to any consuming application.</w:t>
      </w:r>
    </w:p>
    <w:p>
      <w:pPr>
        <w:pStyle w:val="Heading2"/>
        <w:spacing w:after="160" w:before="360"/>
      </w:pPr>
      <w:r>
        <w:rPr>
          <w:rFonts w:ascii="Arial" w:cs="Arial" w:eastAsia="Arial" w:hAnsi="Arial"/>
          <w:b/>
          <w:bCs/>
          <w:color w:val="0F2B46"/>
          <w:sz w:val="28"/>
          <w:szCs w:val="28"/>
        </w:rPr>
        <w:t xml:space="preserve">4.13 Onboarding Engagement Disclaimer</w:t>
      </w:r>
    </w:p>
    <w:p>
      <w:pPr>
        <w:spacing w:after="160" w:line="300"/>
      </w:pPr>
      <w:r>
        <w:rPr>
          <w:rFonts w:ascii="Arial" w:cs="Arial" w:eastAsia="Arial" w:hAnsi="Arial"/>
          <w:color w:val="1A1A2E"/>
          <w:sz w:val="22"/>
          <w:szCs w:val="22"/>
        </w:rPr>
        <w:t xml:space="preserve">A one-time engagement-level disclaimer is shown during onboarding and first use, using Open WebUI's custom bubble facility. This frames RegOS as an AI compliance assistant — not a licensed professional — establishing clear expectations before the first interaction. The disclaimer functions as a service agreement rather than per-response warning, with per-response disclaimers adapting dynamically based on confidence level.</w:t>
      </w:r>
    </w:p>
    <w:p>
      <w:pPr>
        <w:pStyle w:val="Heading2"/>
        <w:spacing w:after="160" w:before="360"/>
      </w:pPr>
      <w:r>
        <w:rPr>
          <w:rFonts w:ascii="Arial" w:cs="Arial" w:eastAsia="Arial" w:hAnsi="Arial"/>
          <w:b/>
          <w:bCs/>
          <w:color w:val="0F2B46"/>
          <w:sz w:val="28"/>
          <w:szCs w:val="28"/>
        </w:rPr>
        <w:t xml:space="preserve">4.14 Legal PDF Chunking Dashboard</w:t>
      </w:r>
    </w:p>
    <w:p>
      <w:pPr>
        <w:spacing w:after="160" w:line="300"/>
      </w:pPr>
      <w:r>
        <w:rPr>
          <w:rFonts w:ascii="Arial" w:cs="Arial" w:eastAsia="Arial" w:hAnsi="Arial"/>
          <w:color w:val="1A1A2E"/>
          <w:sz w:val="22"/>
          <w:szCs w:val="22"/>
        </w:rPr>
        <w:t xml:space="preserve">RegOS includes a full-stack application for processing regulatory PDF documents into knowledge graph-ready data:</w:t>
      </w:r>
    </w:p>
    <w:p>
      <w:pPr>
        <w:pStyle w:val="ListParagraph"/>
        <w:numPr>
          <w:ilvl w:val="0"/>
          <w:numId w:val="1"/>
        </w:numPr>
        <w:spacing w:after="100" w:line="280"/>
      </w:pPr>
      <w:r>
        <w:rPr>
          <w:rFonts w:ascii="Arial" w:cs="Arial" w:eastAsia="Arial" w:hAnsi="Arial"/>
          <w:color w:val="1A1A2E"/>
          <w:sz w:val="22"/>
          <w:szCs w:val="22"/>
        </w:rPr>
        <w:t xml:space="preserve">Docling v2 extraction with section-aware parsing that preserves document structure, headers, and table formatting</w:t>
      </w:r>
    </w:p>
    <w:p>
      <w:pPr>
        <w:pStyle w:val="ListParagraph"/>
        <w:numPr>
          <w:ilvl w:val="0"/>
          <w:numId w:val="1"/>
        </w:numPr>
        <w:spacing w:after="100" w:line="280"/>
      </w:pPr>
      <w:r>
        <w:rPr>
          <w:rFonts w:ascii="Arial" w:cs="Arial" w:eastAsia="Arial" w:hAnsi="Arial"/>
          <w:color w:val="1A1A2E"/>
          <w:sz w:val="22"/>
          <w:szCs w:val="22"/>
        </w:rPr>
        <w:t xml:space="preserve">Section-based chunking optimized for legal text — respects regulatory section boundaries rather than arbitrary character limits</w:t>
      </w:r>
    </w:p>
    <w:p>
      <w:pPr>
        <w:pStyle w:val="ListParagraph"/>
        <w:numPr>
          <w:ilvl w:val="0"/>
          <w:numId w:val="1"/>
        </w:numPr>
        <w:spacing w:after="100" w:line="280"/>
      </w:pPr>
      <w:r>
        <w:rPr>
          <w:rFonts w:ascii="Arial" w:cs="Arial" w:eastAsia="Arial" w:hAnsi="Arial"/>
          <w:color w:val="1A1A2E"/>
          <w:sz w:val="22"/>
          <w:szCs w:val="22"/>
        </w:rPr>
        <w:t xml:space="preserve">LLM-based enrichment that generates entity classifications, relationship mappings, and concept alignments from raw text</w:t>
      </w:r>
    </w:p>
    <w:p>
      <w:pPr>
        <w:pStyle w:val="ListParagraph"/>
        <w:numPr>
          <w:ilvl w:val="0"/>
          <w:numId w:val="1"/>
        </w:numPr>
        <w:spacing w:after="100" w:line="280"/>
      </w:pPr>
      <w:r>
        <w:rPr>
          <w:rFonts w:ascii="Arial" w:cs="Arial" w:eastAsia="Arial" w:hAnsi="Arial"/>
          <w:color w:val="1A1A2E"/>
          <w:sz w:val="22"/>
          <w:szCs w:val="22"/>
        </w:rPr>
        <w:t xml:space="preserve">Neo4j graph push with configurable namespaced labels for multi-jurisdiction support</w:t>
      </w:r>
    </w:p>
    <w:p>
      <w:pPr>
        <w:pStyle w:val="ListParagraph"/>
        <w:numPr>
          <w:ilvl w:val="0"/>
          <w:numId w:val="1"/>
        </w:numPr>
        <w:spacing w:after="100" w:line="280"/>
      </w:pPr>
      <w:r>
        <w:rPr>
          <w:rFonts w:ascii="Arial" w:cs="Arial" w:eastAsia="Arial" w:hAnsi="Arial"/>
          <w:color w:val="1A1A2E"/>
          <w:sz w:val="22"/>
          <w:szCs w:val="22"/>
        </w:rPr>
        <w:t xml:space="preserve">Custom export support with configurable export paths, browser download, and disk export for integration with external pipelines</w:t>
      </w:r>
    </w:p>
    <w:p>
      <w:pPr>
        <w:spacing w:after="160" w:line="300"/>
      </w:pPr>
      <w:r>
        <w:rPr>
          <w:rFonts w:ascii="Arial" w:cs="Arial" w:eastAsia="Arial" w:hAnsi="Arial"/>
          <w:color w:val="1A1A2E"/>
          <w:sz w:val="22"/>
          <w:szCs w:val="22"/>
        </w:rPr>
        <w:t xml:space="preserve">The dashboard (Next.js 14 frontend + FastAPI backend) is containerized with Docker Compose and serves as the onboarding tool for bringing new jurisdictions into RegOS. Estimated time from PDF to operational graph: 3-5 days.</w:t>
      </w:r>
    </w:p>
    <w:p>
      <w:r>
        <w:br w:type="page"/>
      </w:r>
    </w:p>
    <w:p>
      <w:pPr>
        <w:pStyle w:val="Heading1"/>
        <w:spacing w:after="200" w:before="500"/>
      </w:pPr>
      <w:r>
        <w:rPr>
          <w:rFonts w:ascii="Arial" w:cs="Arial" w:eastAsia="Arial" w:hAnsi="Arial"/>
          <w:b/>
          <w:bCs/>
          <w:color w:val="0F2B46"/>
          <w:sz w:val="36"/>
          <w:szCs w:val="36"/>
        </w:rPr>
        <w:t xml:space="preserve">5. Competitive Positioning</w:t>
      </w:r>
    </w:p>
    <w:p>
      <w:pPr>
        <w:spacing w:after="160" w:line="300"/>
      </w:pPr>
      <w:r>
        <w:rPr>
          <w:rFonts w:ascii="Arial" w:cs="Arial" w:eastAsia="Arial" w:hAnsi="Arial"/>
          <w:color w:val="1A1A2E"/>
          <w:sz w:val="22"/>
          <w:szCs w:val="22"/>
        </w:rPr>
        <w:t xml:space="preserve">RegOS operates in a space where general-purpose AI tools are being naively applied to regulatory compliance. The comparison below illustrates why purpose-built infrastructure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Capability</w:t>
            </w:r>
          </w:p>
        </w:tc>
        <w:tc>
          <w:tcPr>
            <w:tcW w:type="dxa" w:w="26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RegOS</w:t>
            </w:r>
          </w:p>
        </w:tc>
        <w:tc>
          <w:tcPr>
            <w:tcW w:type="dxa" w:w="26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General AI (ChatGPT/Claude/Gemini)</w:t>
            </w:r>
          </w:p>
        </w:tc>
        <w:tc>
          <w:tcPr>
            <w:tcW w:type="dxa" w:w="19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Traditional Search (PDF/Manual)</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Regulatory citations</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Every claim linked to a specific code section via graph retrieval</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Frequently fabricated; no grounding mechanism</w:t>
            </w:r>
          </w:p>
        </w:tc>
        <w:tc>
          <w:tcPr>
            <w:tcW w:type="dxa" w:w="1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Manual lookup; accuracy depends on the reader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Confidence transparency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5-signal score with explained bands (HIGH/MEDIUM/LOW) + adaptive learning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No confidence quantification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N/A — implicit human confidence</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Audit trail</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SHA-256 tamper-evident logging of every interaction</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No audit capability</w:t>
            </w:r>
          </w:p>
        </w:tc>
        <w:tc>
          <w:tcPr>
            <w:tcW w:type="dxa" w:w="1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No systematic logging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Threshold evaluation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96 automated checks against curated regulatory limits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Cannot evaluate compliance against specific limits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Manual comparison; error-prone for complex thresholds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Domain guardrails</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6-layer defense: scope, zero-retrieval, jurisdiction, injection, citation, failover</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No domain boundaries; will answer any question</w:t>
            </w:r>
          </w:p>
        </w:tc>
        <w:tc>
          <w:tcPr>
            <w:tcW w:type="dxa" w:w="1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Real-time telemetry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SCADA streaming with automated compliance determination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No sensor integration capability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Manual data entry and comparison</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Geospatial compliance</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Point-in-polygon wellfield zone mapping</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No geospatial capability</w:t>
            </w:r>
          </w:p>
        </w:tc>
        <w:tc>
          <w:tcPr>
            <w:tcW w:type="dxa" w:w="1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Manual map cross-reference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Multi-jurisdiction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Architected for expansion via shared concept layer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No jurisdiction awareness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Separate manual processes per jurisdiction</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Response structure</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Standardized 5-section consultant-grade format</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Unstructured prose</w:t>
            </w:r>
          </w:p>
        </w:tc>
        <w:tc>
          <w:tcPr>
            <w:tcW w:type="dxa" w:w="1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External API</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RESTful endpoints for third-party consumption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Limited API (general-purpose)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N/A</w:t>
            </w:r>
          </w:p>
        </w:tc>
      </w:tr>
    </w:tbl>
    <w:p>
      <w:r>
        <w:br w:type="page"/>
      </w:r>
    </w:p>
    <w:p>
      <w:pPr>
        <w:pStyle w:val="Heading1"/>
        <w:spacing w:after="200" w:before="500"/>
      </w:pPr>
      <w:r>
        <w:rPr>
          <w:rFonts w:ascii="Arial" w:cs="Arial" w:eastAsia="Arial" w:hAnsi="Arial"/>
          <w:b/>
          <w:bCs/>
          <w:color w:val="0F2B46"/>
          <w:sz w:val="36"/>
          <w:szCs w:val="36"/>
        </w:rPr>
        <w:t xml:space="preserve">6. Target Personas &amp; Use Cases</w:t>
      </w:r>
    </w:p>
    <w:p>
      <w:pPr>
        <w:pStyle w:val="Heading2"/>
        <w:spacing w:after="160" w:before="360"/>
      </w:pPr>
      <w:r>
        <w:rPr>
          <w:rFonts w:ascii="Arial" w:cs="Arial" w:eastAsia="Arial" w:hAnsi="Arial"/>
          <w:b/>
          <w:bCs/>
          <w:color w:val="0F2B46"/>
          <w:sz w:val="28"/>
          <w:szCs w:val="28"/>
        </w:rPr>
        <w:t xml:space="preserve">6.1 Citizen / Business Applicant</w:t>
      </w:r>
    </w:p>
    <w:p>
      <w:pPr>
        <w:spacing w:after="160" w:line="300"/>
      </w:pPr>
      <w:r>
        <w:rPr>
          <w:rFonts w:ascii="Arial" w:cs="Arial" w:eastAsia="Arial" w:hAnsi="Arial"/>
          <w:color w:val="1A1A2E"/>
          <w:sz w:val="22"/>
          <w:szCs w:val="22"/>
        </w:rPr>
        <w:t xml:space="preserve">A restaurant owner preparing a grease trap compliance application. They don't know Chapter 24 terminology but need to understand what permits they need and what discharge limits apply to their facility type.</w:t>
      </w:r>
    </w:p>
    <w:p>
      <w:pPr>
        <w:pStyle w:val="ListParagraph"/>
        <w:numPr>
          <w:ilvl w:val="0"/>
          <w:numId w:val="1"/>
        </w:numPr>
        <w:spacing w:after="100" w:line="280"/>
      </w:pPr>
      <w:r>
        <w:rPr>
          <w:rFonts w:ascii="Arial" w:cs="Arial" w:eastAsia="Arial" w:hAnsi="Arial"/>
          <w:color w:val="1A1A2E"/>
          <w:sz w:val="22"/>
          <w:szCs w:val="22"/>
        </w:rPr>
        <w:t xml:space="preserve">"Do I need a fats, oils, and grease permit for my restaurant?" — RegOS retrieves FOG_CONTROL concept, cites Sec. 24-42 with specific grease trap requirements, and provides a compliance checklist.</w:t>
      </w:r>
    </w:p>
    <w:p>
      <w:pPr>
        <w:pStyle w:val="ListParagraph"/>
        <w:numPr>
          <w:ilvl w:val="0"/>
          <w:numId w:val="1"/>
        </w:numPr>
        <w:spacing w:after="100" w:line="280"/>
      </w:pPr>
      <w:r>
        <w:rPr>
          <w:rFonts w:ascii="Arial" w:cs="Arial" w:eastAsia="Arial" w:hAnsi="Arial"/>
          <w:color w:val="1A1A2E"/>
          <w:sz w:val="22"/>
          <w:szCs w:val="22"/>
        </w:rPr>
        <w:t xml:space="preserve">"What are my discharge limits?" — RegOS retrieves applicable sections, evaluates stated values against the threshold table, and produces a Compliance Determination badge.</w:t>
      </w:r>
    </w:p>
    <w:p>
      <w:pPr>
        <w:pStyle w:val="Heading2"/>
        <w:spacing w:after="160" w:before="360"/>
      </w:pPr>
      <w:r>
        <w:rPr>
          <w:rFonts w:ascii="Arial" w:cs="Arial" w:eastAsia="Arial" w:hAnsi="Arial"/>
          <w:b/>
          <w:bCs/>
          <w:color w:val="0F2B46"/>
          <w:sz w:val="28"/>
          <w:szCs w:val="28"/>
        </w:rPr>
        <w:t xml:space="preserve">6.2 Environmental Consultant</w:t>
      </w:r>
    </w:p>
    <w:p>
      <w:pPr>
        <w:spacing w:after="160" w:line="300"/>
      </w:pPr>
      <w:r>
        <w:rPr>
          <w:rFonts w:ascii="Arial" w:cs="Arial" w:eastAsia="Arial" w:hAnsi="Arial"/>
          <w:color w:val="1A1A2E"/>
          <w:sz w:val="22"/>
          <w:szCs w:val="22"/>
        </w:rPr>
        <w:t xml:space="preserve">A consulting engineer preparing a wastewater treatment plant permit application. They need speed, accuracy, and complete regulatory traceability for their submission package.</w:t>
      </w:r>
    </w:p>
    <w:p>
      <w:pPr>
        <w:pStyle w:val="ListParagraph"/>
        <w:numPr>
          <w:ilvl w:val="0"/>
          <w:numId w:val="1"/>
        </w:numPr>
        <w:spacing w:after="100" w:line="280"/>
      </w:pPr>
      <w:r>
        <w:rPr>
          <w:rFonts w:ascii="Arial" w:cs="Arial" w:eastAsia="Arial" w:hAnsi="Arial"/>
          <w:color w:val="1A1A2E"/>
          <w:sz w:val="22"/>
          <w:szCs w:val="22"/>
        </w:rPr>
        <w:t xml:space="preserve">"What pretreatment requirements apply to industrial users discharging to the sanitary sewer system?" — RegOS retrieves Sec. 24-42.4, 24-42.1, 24-44.2 with full text, provides structured analysis with exact limits, and flags gaps in the response.</w:t>
      </w:r>
    </w:p>
    <w:p>
      <w:pPr>
        <w:pStyle w:val="ListParagraph"/>
        <w:numPr>
          <w:ilvl w:val="0"/>
          <w:numId w:val="1"/>
        </w:numPr>
        <w:spacing w:after="100" w:line="280"/>
      </w:pPr>
      <w:r>
        <w:rPr>
          <w:rFonts w:ascii="Arial" w:cs="Arial" w:eastAsia="Arial" w:hAnsi="Arial"/>
          <w:color w:val="1A1A2E"/>
          <w:sz w:val="22"/>
          <w:szCs w:val="22"/>
        </w:rPr>
        <w:t xml:space="preserve">"My client's BOD reading is 350 mg/L — is this compliant?" — Automated threshold evaluation returns BREACH status with applicable limit, margin, section citation, and SHA-256 evidence hash.</w:t>
      </w:r>
    </w:p>
    <w:p>
      <w:pPr>
        <w:pStyle w:val="Heading2"/>
        <w:spacing w:after="160" w:before="360"/>
      </w:pPr>
      <w:r>
        <w:rPr>
          <w:rFonts w:ascii="Arial" w:cs="Arial" w:eastAsia="Arial" w:hAnsi="Arial"/>
          <w:b/>
          <w:bCs/>
          <w:color w:val="0F2B46"/>
          <w:sz w:val="28"/>
          <w:szCs w:val="28"/>
        </w:rPr>
        <w:t xml:space="preserve">6.3 County Regulator / Reviewer</w:t>
      </w:r>
    </w:p>
    <w:p>
      <w:pPr>
        <w:spacing w:after="160" w:line="300"/>
      </w:pPr>
      <w:r>
        <w:rPr>
          <w:rFonts w:ascii="Arial" w:cs="Arial" w:eastAsia="Arial" w:hAnsi="Arial"/>
          <w:color w:val="1A1A2E"/>
          <w:sz w:val="22"/>
          <w:szCs w:val="22"/>
        </w:rPr>
        <w:t xml:space="preserve">A Miami-Dade County environmental inspector reviewing a permit application. They need to verify that every claim in the application is backed by the correct regulatory section.</w:t>
      </w:r>
    </w:p>
    <w:p>
      <w:pPr>
        <w:pStyle w:val="ListParagraph"/>
        <w:numPr>
          <w:ilvl w:val="0"/>
          <w:numId w:val="1"/>
        </w:numPr>
        <w:spacing w:after="100" w:line="280"/>
      </w:pPr>
      <w:r>
        <w:rPr>
          <w:rFonts w:ascii="Arial" w:cs="Arial" w:eastAsia="Arial" w:hAnsi="Arial"/>
          <w:color w:val="1A1A2E"/>
          <w:sz w:val="22"/>
          <w:szCs w:val="22"/>
        </w:rPr>
        <w:t xml:space="preserve">"Show me all queries about discharge limits from the last 30 days" — Audit database query returns timestamped records with user identity, confidence scores, and full response text.</w:t>
      </w:r>
    </w:p>
    <w:p>
      <w:pPr>
        <w:pStyle w:val="ListParagraph"/>
        <w:numPr>
          <w:ilvl w:val="0"/>
          <w:numId w:val="1"/>
        </w:numPr>
        <w:spacing w:after="100" w:line="280"/>
      </w:pPr>
      <w:r>
        <w:rPr>
          <w:rFonts w:ascii="Arial" w:cs="Arial" w:eastAsia="Arial" w:hAnsi="Arial"/>
          <w:color w:val="1A1A2E"/>
          <w:sz w:val="22"/>
          <w:szCs w:val="22"/>
        </w:rPr>
        <w:t xml:space="preserve">"Was Section 24-42.4 correctly cited in this analysis?" — RegOS retrieves the section and the audit trail for any prior queries that cited it, enabling regulatory verification.</w:t>
      </w:r>
    </w:p>
    <w:p>
      <w:r>
        <w:br w:type="page"/>
      </w:r>
    </w:p>
    <w:p>
      <w:pPr>
        <w:pStyle w:val="Heading1"/>
        <w:spacing w:after="200" w:before="500"/>
      </w:pPr>
      <w:r>
        <w:rPr>
          <w:rFonts w:ascii="Arial" w:cs="Arial" w:eastAsia="Arial" w:hAnsi="Arial"/>
          <w:b/>
          <w:bCs/>
          <w:color w:val="0F2B46"/>
          <w:sz w:val="36"/>
          <w:szCs w:val="36"/>
        </w:rPr>
        <w:t xml:space="preserve">7. Technical Architecture</w:t>
      </w:r>
    </w:p>
    <w:p>
      <w:pPr>
        <w:pStyle w:val="Heading2"/>
        <w:spacing w:after="160" w:before="360"/>
      </w:pPr>
      <w:r>
        <w:rPr>
          <w:rFonts w:ascii="Arial" w:cs="Arial" w:eastAsia="Arial" w:hAnsi="Arial"/>
          <w:b/>
          <w:bCs/>
          <w:color w:val="0F2B46"/>
          <w:sz w:val="28"/>
          <w:szCs w:val="28"/>
        </w:rPr>
        <w:t xml:space="preserve">7.1 Deployment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Component</w:t>
            </w:r>
          </w:p>
        </w:tc>
        <w:tc>
          <w:tcPr>
            <w:tcW w:type="dxa" w:w="28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Technology</w:t>
            </w:r>
          </w:p>
        </w:tc>
        <w:tc>
          <w:tcPr>
            <w:tcW w:type="dxa" w:w="43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Details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Platform</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Open WebUI v0.8.1</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15 custom source patches across 13 stock files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Knowledge Graph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Neo4j 5 Community + APOC</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Aura (cloud) or self-hosted. FEA v2 schema.</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Vector Store</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ChromaDB</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Built-in Knowledge Base for embedding-based retrieval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Core Filter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GraphRAG Filter v0.19.0</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Inlet/outlet filter: 4-step pipeline, confidence, guardrails, threshold eval</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Confidence Engine</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Thompson Sampling</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Adaptive weight optimization from user feedback with safety bounds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Audit Logger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Custom Filter v0.4.0</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SQLite with SHA-256 tamper evidence</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Escalation</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n8n Webhook</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Automatic (confidence &lt; 0.65) + manual (user-triggered icon)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SCADA API</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FastAPI</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WebSocket + SSE + REST. JWT auth, rate limiting, real-time threshold eval</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Telemetry Bridge</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APAS Bridge</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JWT-authenticated polling (30s), metric mapping, UOM conversion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Breach API</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FastAPI</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7 endpoints for compliance dashboard data</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GIS Engine</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Cartesian Geometry</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Point-in-polygon against Miami-Dade Open Data Portal boundaries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External API</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RESTful Exposure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API key-secured endpoints for third-party platform consumption</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Installer</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Shell + Python</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10-step automated deployment with 15 source patches + 3 Svelte files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PDF Pipeline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Next.js 14 + FastAPI</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Docling v2 extraction, chunking, LLM enrichment, Neo4j push</w:t>
            </w:r>
          </w:p>
        </w:tc>
      </w:tr>
    </w:tbl>
    <w:p>
      <w:pPr>
        <w:spacing w:after="160" w:line="300"/>
      </w:pPr>
      <w:r>
        <w:rPr>
          <w:rFonts w:ascii="Arial" w:cs="Arial" w:eastAsia="Arial" w:hAnsi="Arial"/>
          <w:color w:val="1A1A2E"/>
          <w:sz w:val="22"/>
          <w:szCs w:val="22"/>
        </w:rPr>
        <w:t xml:space="preserve"/>
      </w:r>
    </w:p>
    <w:p>
      <w:pPr>
        <w:pStyle w:val="Heading2"/>
        <w:spacing w:after="160" w:before="360"/>
      </w:pPr>
      <w:r>
        <w:rPr>
          <w:rFonts w:ascii="Arial" w:cs="Arial" w:eastAsia="Arial" w:hAnsi="Arial"/>
          <w:b/>
          <w:bCs/>
          <w:color w:val="0F2B46"/>
          <w:sz w:val="28"/>
          <w:szCs w:val="28"/>
        </w:rPr>
        <w:t xml:space="preserve">7.2 Security &amp; Compliance</w:t>
      </w:r>
    </w:p>
    <w:p>
      <w:pPr>
        <w:pStyle w:val="ListParagraph"/>
        <w:numPr>
          <w:ilvl w:val="0"/>
          <w:numId w:val="1"/>
        </w:numPr>
        <w:spacing w:after="100" w:line="280"/>
      </w:pPr>
      <w:r>
        <w:rPr>
          <w:rFonts w:ascii="Arial" w:cs="Arial" w:eastAsia="Arial" w:hAnsi="Arial"/>
          <w:color w:val="1A1A2E"/>
          <w:sz w:val="22"/>
          <w:szCs w:val="22"/>
        </w:rPr>
        <w:t xml:space="preserve">SHA-256 cryptographic tamper evidence on all audit records</w:t>
      </w:r>
    </w:p>
    <w:p>
      <w:pPr>
        <w:pStyle w:val="ListParagraph"/>
        <w:numPr>
          <w:ilvl w:val="0"/>
          <w:numId w:val="1"/>
        </w:numPr>
        <w:spacing w:after="100" w:line="280"/>
      </w:pPr>
      <w:r>
        <w:rPr>
          <w:rFonts w:ascii="Arial" w:cs="Arial" w:eastAsia="Arial" w:hAnsi="Arial"/>
          <w:color w:val="1A1A2E"/>
          <w:sz w:val="22"/>
          <w:szCs w:val="22"/>
        </w:rPr>
        <w:t xml:space="preserve">Role-based access control (admin/user) with guest access + email + rate limiting</w:t>
      </w:r>
    </w:p>
    <w:p>
      <w:pPr>
        <w:pStyle w:val="ListParagraph"/>
        <w:numPr>
          <w:ilvl w:val="0"/>
          <w:numId w:val="1"/>
        </w:numPr>
        <w:spacing w:after="100" w:line="280"/>
      </w:pPr>
      <w:r>
        <w:rPr>
          <w:rFonts w:ascii="Arial" w:cs="Arial" w:eastAsia="Arial" w:hAnsi="Arial"/>
          <w:color w:val="1A1A2E"/>
          <w:sz w:val="22"/>
          <w:szCs w:val="22"/>
        </w:rPr>
        <w:t xml:space="preserve">Prompt injection defense: system prompt boundary + Aho-Corasick + MiniLM embedding scope detection + canary tokens</w:t>
      </w:r>
    </w:p>
    <w:p>
      <w:pPr>
        <w:pStyle w:val="ListParagraph"/>
        <w:numPr>
          <w:ilvl w:val="0"/>
          <w:numId w:val="1"/>
        </w:numPr>
        <w:spacing w:after="100" w:line="280"/>
      </w:pPr>
      <w:r>
        <w:rPr>
          <w:rFonts w:ascii="Arial" w:cs="Arial" w:eastAsia="Arial" w:hAnsi="Arial"/>
          <w:color w:val="1A1A2E"/>
          <w:sz w:val="22"/>
          <w:szCs w:val="22"/>
        </w:rPr>
        <w:t xml:space="preserve">Neo4j failover guardrail: connection failure detected and surfaced before silent degradation</w:t>
      </w:r>
    </w:p>
    <w:p>
      <w:pPr>
        <w:pStyle w:val="ListParagraph"/>
        <w:numPr>
          <w:ilvl w:val="0"/>
          <w:numId w:val="1"/>
        </w:numPr>
        <w:spacing w:after="100" w:line="280"/>
      </w:pPr>
      <w:r>
        <w:rPr>
          <w:rFonts w:ascii="Arial" w:cs="Arial" w:eastAsia="Arial" w:hAnsi="Arial"/>
          <w:color w:val="1A1A2E"/>
          <w:sz w:val="22"/>
          <w:szCs w:val="22"/>
        </w:rPr>
        <w:t xml:space="preserve">28-scenario adversarial test suite covering 8 attack categories</w:t>
      </w:r>
    </w:p>
    <w:p>
      <w:pPr>
        <w:pStyle w:val="ListParagraph"/>
        <w:numPr>
          <w:ilvl w:val="0"/>
          <w:numId w:val="1"/>
        </w:numPr>
        <w:spacing w:after="100" w:line="280"/>
      </w:pPr>
      <w:r>
        <w:rPr>
          <w:rFonts w:ascii="Arial" w:cs="Arial" w:eastAsia="Arial" w:hAnsi="Arial"/>
          <w:color w:val="1A1A2E"/>
          <w:sz w:val="22"/>
          <w:szCs w:val="22"/>
        </w:rPr>
        <w:t xml:space="preserve">Conditional disclaimers that adapt to confidence level — no false certainty</w:t>
      </w:r>
    </w:p>
    <w:p>
      <w:pPr>
        <w:pStyle w:val="ListParagraph"/>
        <w:numPr>
          <w:ilvl w:val="0"/>
          <w:numId w:val="1"/>
        </w:numPr>
        <w:spacing w:after="100" w:line="280"/>
      </w:pPr>
      <w:r>
        <w:rPr>
          <w:rFonts w:ascii="Arial" w:cs="Arial" w:eastAsia="Arial" w:hAnsi="Arial"/>
          <w:color w:val="1A1A2E"/>
          <w:sz w:val="22"/>
          <w:szCs w:val="22"/>
        </w:rPr>
        <w:t xml:space="preserve">Jurisdiction guardrails prevent cross-jurisdiction contamination</w:t>
      </w:r>
    </w:p>
    <w:p>
      <w:pPr>
        <w:pStyle w:val="ListParagraph"/>
        <w:numPr>
          <w:ilvl w:val="0"/>
          <w:numId w:val="1"/>
        </w:numPr>
        <w:spacing w:after="100" w:line="280"/>
      </w:pPr>
      <w:r>
        <w:rPr>
          <w:rFonts w:ascii="Arial" w:cs="Arial" w:eastAsia="Arial" w:hAnsi="Arial"/>
          <w:color w:val="1A1A2E"/>
          <w:sz w:val="22"/>
          <w:szCs w:val="22"/>
        </w:rPr>
        <w:t xml:space="preserve">Onboarding engagement disclaimer establishes AI assistant framing before first use</w:t>
      </w:r>
    </w:p>
    <w:p>
      <w:r>
        <w:br w:type="page"/>
      </w:r>
    </w:p>
    <w:p>
      <w:pPr>
        <w:pStyle w:val="Heading1"/>
        <w:spacing w:after="200" w:before="500"/>
      </w:pPr>
      <w:r>
        <w:rPr>
          <w:rFonts w:ascii="Arial" w:cs="Arial" w:eastAsia="Arial" w:hAnsi="Arial"/>
          <w:b/>
          <w:bCs/>
          <w:color w:val="0F2B46"/>
          <w:sz w:val="36"/>
          <w:szCs w:val="36"/>
        </w:rPr>
        <w:t xml:space="preserve">8. Key Differentiators</w:t>
      </w:r>
    </w:p>
    <w:p>
      <w:pPr>
        <w:pStyle w:val="Heading2"/>
        <w:spacing w:after="160" w:before="360"/>
      </w:pPr>
      <w:r>
        <w:rPr>
          <w:rFonts w:ascii="Arial" w:cs="Arial" w:eastAsia="Arial" w:hAnsi="Arial"/>
          <w:b/>
          <w:bCs/>
          <w:color w:val="0F2B46"/>
          <w:sz w:val="28"/>
          <w:szCs w:val="28"/>
        </w:rPr>
        <w:t xml:space="preserve">8.1 Graph-Native, Not Bolted-On</w:t>
      </w:r>
    </w:p>
    <w:p>
      <w:pPr>
        <w:spacing w:after="160" w:line="300"/>
      </w:pPr>
      <w:r>
        <w:rPr>
          <w:rFonts w:ascii="Arial" w:cs="Arial" w:eastAsia="Arial" w:hAnsi="Arial"/>
          <w:color w:val="1A1A2E"/>
          <w:sz w:val="22"/>
          <w:szCs w:val="22"/>
        </w:rPr>
        <w:t xml:space="preserve">RegOS was designed from day one around a knowledge graph architecture. The graph isn't a feature — it IS the product. Every answer flows through graph traversal, concept expansion, and entity matching. This is fundamentally different from competitors who add a graph layer on top of vector search as an afterthought.</w:t>
      </w:r>
    </w:p>
    <w:p>
      <w:pPr>
        <w:pStyle w:val="Heading2"/>
        <w:spacing w:after="160" w:before="360"/>
      </w:pPr>
      <w:r>
        <w:rPr>
          <w:rFonts w:ascii="Arial" w:cs="Arial" w:eastAsia="Arial" w:hAnsi="Arial"/>
          <w:b/>
          <w:bCs/>
          <w:color w:val="0F2B46"/>
          <w:sz w:val="28"/>
          <w:szCs w:val="28"/>
        </w:rPr>
        <w:t xml:space="preserve">8.2 Confidence You Can Explain — And That Learns</w:t>
      </w:r>
    </w:p>
    <w:p>
      <w:pPr>
        <w:spacing w:after="160" w:line="300"/>
      </w:pPr>
      <w:r>
        <w:rPr>
          <w:rFonts w:ascii="Arial" w:cs="Arial" w:eastAsia="Arial" w:hAnsi="Arial"/>
          <w:color w:val="1A1A2E"/>
          <w:sz w:val="22"/>
          <w:szCs w:val="22"/>
        </w:rPr>
        <w:t xml:space="preserve">Most AI systems say "I'm 80% confident" with no explanation. RegOS breaks confidence into 5 independent signals, maps them to 3 actionable bands (HIGH/MODERATE/LOW), adapts its disclaimer language accordingly, and provides a full trace mode showing exactly which retrieval steps contributed to the score. The Thompson Sampling feedback loop means confidence accuracy improves with every user interaction — the system learns what a good answer looks like over time.</w:t>
      </w:r>
    </w:p>
    <w:p>
      <w:pPr>
        <w:pStyle w:val="Heading2"/>
        <w:spacing w:after="160" w:before="360"/>
      </w:pPr>
      <w:r>
        <w:rPr>
          <w:rFonts w:ascii="Arial" w:cs="Arial" w:eastAsia="Arial" w:hAnsi="Arial"/>
          <w:b/>
          <w:bCs/>
          <w:color w:val="0F2B46"/>
          <w:sz w:val="28"/>
          <w:szCs w:val="28"/>
        </w:rPr>
        <w:t xml:space="preserve">8.3 Consultant-Grade Output Format</w:t>
      </w:r>
    </w:p>
    <w:p>
      <w:pPr>
        <w:spacing w:after="160" w:line="300"/>
      </w:pPr>
      <w:r>
        <w:rPr>
          <w:rFonts w:ascii="Arial" w:cs="Arial" w:eastAsia="Arial" w:hAnsi="Arial"/>
          <w:color w:val="1A1A2E"/>
          <w:sz w:val="22"/>
          <w:szCs w:val="22"/>
        </w:rPr>
        <w:t xml:space="preserve">RegOS doesn't produce chatbot prose — it produces structured regulatory analyses modeled on the workflow of practicing environmental compliance consultants. The 5-section format (Summary, Regulatory Analysis, Applicable Sections, What You Need To Do, Gaps &amp; Limitations) was designed through practitioner interviews and delivers analysis that consultants can directly incorporate into client deliverables.</w:t>
      </w:r>
    </w:p>
    <w:p>
      <w:pPr>
        <w:pStyle w:val="Heading2"/>
        <w:spacing w:after="160" w:before="360"/>
      </w:pPr>
      <w:r>
        <w:rPr>
          <w:rFonts w:ascii="Arial" w:cs="Arial" w:eastAsia="Arial" w:hAnsi="Arial"/>
          <w:b/>
          <w:bCs/>
          <w:color w:val="0F2B46"/>
          <w:sz w:val="28"/>
          <w:szCs w:val="28"/>
        </w:rPr>
        <w:t xml:space="preserve">8.4 Tamper-Evident Audit Trail</w:t>
      </w:r>
    </w:p>
    <w:p>
      <w:pPr>
        <w:spacing w:after="160" w:line="300"/>
      </w:pPr>
      <w:r>
        <w:rPr>
          <w:rFonts w:ascii="Arial" w:cs="Arial" w:eastAsia="Arial" w:hAnsi="Arial"/>
          <w:color w:val="1A1A2E"/>
          <w:sz w:val="22"/>
          <w:szCs w:val="22"/>
        </w:rPr>
        <w:t xml:space="preserve">Every interaction is SHA-256 signed. Not just logged — cryptographically signed. This means any modification to an audit record (changing the query, the response, the confidence score, or the timestamp) is mathematically detectable. This provides the evidentiary standard required for regulatory compliance work.</w:t>
      </w:r>
    </w:p>
    <w:p>
      <w:pPr>
        <w:pStyle w:val="Heading2"/>
        <w:spacing w:after="160" w:before="360"/>
      </w:pPr>
      <w:r>
        <w:rPr>
          <w:rFonts w:ascii="Arial" w:cs="Arial" w:eastAsia="Arial" w:hAnsi="Arial"/>
          <w:b/>
          <w:bCs/>
          <w:color w:val="0F2B46"/>
          <w:sz w:val="28"/>
          <w:szCs w:val="28"/>
        </w:rPr>
        <w:t xml:space="preserve">8.5 Real-Time Compliance, Not Just Q&amp;A</w:t>
      </w:r>
    </w:p>
    <w:p>
      <w:pPr>
        <w:spacing w:after="160" w:line="300"/>
      </w:pPr>
      <w:r>
        <w:rPr>
          <w:rFonts w:ascii="Arial" w:cs="Arial" w:eastAsia="Arial" w:hAnsi="Arial"/>
          <w:color w:val="1A1A2E"/>
          <w:sz w:val="22"/>
          <w:szCs w:val="22"/>
        </w:rPr>
        <w:t xml:space="preserve">RegOS is the only regulatory copilot that integrates live sensor telemetry (SCADA) with knowledge graph retrieval to perform real-time compliance evaluation. When a BOD sensor reading crosses a threshold, RegOS doesn't just alert — it provides the exact regulatory context, section citation, and compliance determination with evidence hashing. Full effluent sensor coverage with universal UOM conversion closes the loop from sensor to regulation to action.</w:t>
      </w:r>
    </w:p>
    <w:p>
      <w:pPr>
        <w:pStyle w:val="Heading2"/>
        <w:spacing w:after="160" w:before="360"/>
      </w:pPr>
      <w:r>
        <w:rPr>
          <w:rFonts w:ascii="Arial" w:cs="Arial" w:eastAsia="Arial" w:hAnsi="Arial"/>
          <w:b/>
          <w:bCs/>
          <w:color w:val="0F2B46"/>
          <w:sz w:val="28"/>
          <w:szCs w:val="28"/>
        </w:rPr>
        <w:t xml:space="preserve">8.6 Multi-Jurisdiction by Design</w:t>
      </w:r>
    </w:p>
    <w:p>
      <w:pPr>
        <w:spacing w:after="160" w:line="300"/>
      </w:pPr>
      <w:r>
        <w:rPr>
          <w:rFonts w:ascii="Arial" w:cs="Arial" w:eastAsia="Arial" w:hAnsi="Arial"/>
          <w:color w:val="1A1A2E"/>
          <w:sz w:val="22"/>
          <w:szCs w:val="22"/>
        </w:rPr>
        <w:t xml:space="preserve">The FEA schema's concept layer (30 regulatory domain nodes) was designed as a jurisdiction-agnostic ontology. Adding a new jurisdiction means adding new document and entity nodes connected to the shared concept layer — not rebuilding the graph. The Legal PDF Chunking Dashboard automates the entire pipeline from PDF to operational graph in 3-5 days. This makes RegOS the foundation for a multi-jurisdiction regulatory intelligence platform.</w:t>
      </w:r>
    </w:p>
    <w:p>
      <w:pPr>
        <w:pStyle w:val="Heading2"/>
        <w:spacing w:after="160" w:before="360"/>
      </w:pPr>
      <w:r>
        <w:rPr>
          <w:rFonts w:ascii="Arial" w:cs="Arial" w:eastAsia="Arial" w:hAnsi="Arial"/>
          <w:b/>
          <w:bCs/>
          <w:color w:val="0F2B46"/>
          <w:sz w:val="28"/>
          <w:szCs w:val="28"/>
        </w:rPr>
        <w:t xml:space="preserve">8.7 Location-Aware Compliance</w:t>
      </w:r>
    </w:p>
    <w:p>
      <w:pPr>
        <w:spacing w:after="160" w:line="300"/>
      </w:pPr>
      <w:r>
        <w:rPr>
          <w:rFonts w:ascii="Arial" w:cs="Arial" w:eastAsia="Arial" w:hAnsi="Arial"/>
          <w:color w:val="1A1A2E"/>
          <w:sz w:val="22"/>
          <w:szCs w:val="22"/>
        </w:rPr>
        <w:t xml:space="preserve">RegOS is the only regulatory copilot that incorporates geospatial compliance checking. Point-in-polygon wellfield protection zone mapping determines which environmental rules apply based on facility location — turning location-dependent regulatory queries into graph traversal problems rather than manual map cross-reference.</w:t>
      </w:r>
    </w:p>
    <w:p>
      <w:r>
        <w:br w:type="page"/>
      </w:r>
    </w:p>
    <w:p>
      <w:pPr>
        <w:pStyle w:val="Heading1"/>
        <w:spacing w:after="200" w:before="500"/>
      </w:pPr>
      <w:r>
        <w:rPr>
          <w:rFonts w:ascii="Arial" w:cs="Arial" w:eastAsia="Arial" w:hAnsi="Arial"/>
          <w:b/>
          <w:bCs/>
          <w:color w:val="0F2B46"/>
          <w:sz w:val="36"/>
          <w:szCs w:val="36"/>
        </w:rPr>
        <w:t xml:space="preserve">9. Implementation &amp; Time-to-Value</w:t>
      </w:r>
    </w:p>
    <w:p>
      <w:pPr>
        <w:pStyle w:val="Heading2"/>
        <w:spacing w:after="160" w:before="360"/>
      </w:pPr>
      <w:r>
        <w:rPr>
          <w:rFonts w:ascii="Arial" w:cs="Arial" w:eastAsia="Arial" w:hAnsi="Arial"/>
          <w:b/>
          <w:bCs/>
          <w:color w:val="0F2B46"/>
          <w:sz w:val="28"/>
          <w:szCs w:val="28"/>
        </w:rPr>
        <w:t xml:space="preserve">9.1 Deployment Model</w:t>
      </w:r>
    </w:p>
    <w:p>
      <w:pPr>
        <w:spacing w:after="160" w:line="300"/>
      </w:pPr>
      <w:r>
        <w:rPr>
          <w:rFonts w:ascii="Arial" w:cs="Arial" w:eastAsia="Arial" w:hAnsi="Arial"/>
          <w:color w:val="1A1A2E"/>
          <w:sz w:val="22"/>
          <w:szCs w:val="22"/>
        </w:rPr>
        <w:t xml:space="preserve">RegOS is deployed as a Docker-based application with a 10-step automated installer. The installer handles all configuration, source patching, model registration, and knowledge graph connection. Deployment options include:</w:t>
      </w:r>
    </w:p>
    <w:p>
      <w:pPr>
        <w:pStyle w:val="ListParagraph"/>
        <w:numPr>
          <w:ilvl w:val="0"/>
          <w:numId w:val="1"/>
        </w:numPr>
        <w:spacing w:after="100" w:line="280"/>
      </w:pPr>
      <w:r>
        <w:rPr>
          <w:rFonts w:ascii="Arial" w:cs="Arial" w:eastAsia="Arial" w:hAnsi="Arial"/>
          <w:b/>
          <w:bCs/>
          <w:color w:val="1A1A2E"/>
          <w:sz w:val="22"/>
          <w:szCs w:val="22"/>
        </w:rPr>
        <w:t xml:space="preserve">Cloud-hosted: </w:t>
      </w:r>
      <w:r>
        <w:rPr>
          <w:rFonts w:ascii="Arial" w:cs="Arial" w:eastAsia="Arial" w:hAnsi="Arial"/>
          <w:color w:val="1A1A2E"/>
          <w:sz w:val="22"/>
          <w:szCs w:val="22"/>
        </w:rPr>
        <w:t xml:space="preserve">Docker deployment on any cloud provider (AWS, GCP, Azure, RunPod) with Neo4j Aura for the knowledge graph.</w:t>
      </w:r>
    </w:p>
    <w:p>
      <w:pPr>
        <w:pStyle w:val="ListParagraph"/>
        <w:numPr>
          <w:ilvl w:val="0"/>
          <w:numId w:val="1"/>
        </w:numPr>
        <w:spacing w:after="100" w:line="280"/>
      </w:pPr>
      <w:r>
        <w:rPr>
          <w:rFonts w:ascii="Arial" w:cs="Arial" w:eastAsia="Arial" w:hAnsi="Arial"/>
          <w:b/>
          <w:bCs/>
          <w:color w:val="1A1A2E"/>
          <w:sz w:val="22"/>
          <w:szCs w:val="22"/>
        </w:rPr>
        <w:t xml:space="preserve">Self-hosted: </w:t>
      </w:r>
      <w:r>
        <w:rPr>
          <w:rFonts w:ascii="Arial" w:cs="Arial" w:eastAsia="Arial" w:hAnsi="Arial"/>
          <w:color w:val="1A1A2E"/>
          <w:sz w:val="22"/>
          <w:szCs w:val="22"/>
        </w:rPr>
        <w:t xml:space="preserve">On-premises Docker deployment with Neo4j Community Edition for organizations requiring data sovereignty.</w:t>
      </w:r>
    </w:p>
    <w:p>
      <w:pPr>
        <w:pStyle w:val="ListParagraph"/>
        <w:numPr>
          <w:ilvl w:val="0"/>
          <w:numId w:val="1"/>
        </w:numPr>
        <w:spacing w:after="100" w:line="280"/>
      </w:pPr>
      <w:r>
        <w:rPr>
          <w:rFonts w:ascii="Arial" w:cs="Arial" w:eastAsia="Arial" w:hAnsi="Arial"/>
          <w:b/>
          <w:bCs/>
          <w:color w:val="1A1A2E"/>
          <w:sz w:val="22"/>
          <w:szCs w:val="22"/>
        </w:rPr>
        <w:t xml:space="preserve">Hybrid: </w:t>
      </w:r>
      <w:r>
        <w:rPr>
          <w:rFonts w:ascii="Arial" w:cs="Arial" w:eastAsia="Arial" w:hAnsi="Arial"/>
          <w:color w:val="1A1A2E"/>
          <w:sz w:val="22"/>
          <w:szCs w:val="22"/>
        </w:rPr>
        <w:t xml:space="preserve">Self-hosted application layer with cloud-hosted knowledge graph for organizations that want control over the chat interface but prefer managed database infrastructure.</w:t>
      </w:r>
    </w:p>
    <w:p>
      <w:pPr>
        <w:pStyle w:val="Heading2"/>
        <w:spacing w:after="160" w:before="360"/>
      </w:pPr>
      <w:r>
        <w:rPr>
          <w:rFonts w:ascii="Arial" w:cs="Arial" w:eastAsia="Arial" w:hAnsi="Arial"/>
          <w:b/>
          <w:bCs/>
          <w:color w:val="0F2B46"/>
          <w:sz w:val="28"/>
          <w:szCs w:val="28"/>
        </w:rPr>
        <w:t xml:space="preserve">9.2 New Jurisdiction Onboarding</w:t>
      </w:r>
    </w:p>
    <w:p>
      <w:pPr>
        <w:spacing w:after="160" w:line="300"/>
      </w:pPr>
      <w:r>
        <w:rPr>
          <w:rFonts w:ascii="Arial" w:cs="Arial" w:eastAsia="Arial" w:hAnsi="Arial"/>
          <w:color w:val="1A1A2E"/>
          <w:sz w:val="22"/>
          <w:szCs w:val="22"/>
        </w:rPr>
        <w:t xml:space="preserve">Adding a new regulatory jurisdiction to RegOS follows a structured process using the Legal PDF Chunking Dashboard:</w:t>
      </w:r>
    </w:p>
    <w:p>
      <w:pPr>
        <w:pStyle w:val="ListParagraph"/>
        <w:numPr>
          <w:ilvl w:val="0"/>
          <w:numId w:val="1"/>
        </w:numPr>
        <w:spacing w:after="100" w:line="280"/>
      </w:pPr>
      <w:r>
        <w:rPr>
          <w:rFonts w:ascii="Arial" w:cs="Arial" w:eastAsia="Arial" w:hAnsi="Arial"/>
          <w:color w:val="1A1A2E"/>
          <w:sz w:val="22"/>
          <w:szCs w:val="22"/>
        </w:rPr>
        <w:t xml:space="preserve">Upload the jurisdiction's regulatory code PDF to the Chunking Dashboard</w:t>
      </w:r>
    </w:p>
    <w:p>
      <w:pPr>
        <w:pStyle w:val="ListParagraph"/>
        <w:numPr>
          <w:ilvl w:val="0"/>
          <w:numId w:val="1"/>
        </w:numPr>
        <w:spacing w:after="100" w:line="280"/>
      </w:pPr>
      <w:r>
        <w:rPr>
          <w:rFonts w:ascii="Arial" w:cs="Arial" w:eastAsia="Arial" w:hAnsi="Arial"/>
          <w:color w:val="1A1A2E"/>
          <w:sz w:val="22"/>
          <w:szCs w:val="22"/>
        </w:rPr>
        <w:t xml:space="preserve">Docling v2 extraction processes the document with section-aware parsing</w:t>
      </w:r>
    </w:p>
    <w:p>
      <w:pPr>
        <w:pStyle w:val="ListParagraph"/>
        <w:numPr>
          <w:ilvl w:val="0"/>
          <w:numId w:val="1"/>
        </w:numPr>
        <w:spacing w:after="100" w:line="280"/>
      </w:pPr>
      <w:r>
        <w:rPr>
          <w:rFonts w:ascii="Arial" w:cs="Arial" w:eastAsia="Arial" w:hAnsi="Arial"/>
          <w:color w:val="1A1A2E"/>
          <w:sz w:val="22"/>
          <w:szCs w:val="22"/>
        </w:rPr>
        <w:t xml:space="preserve">LLM-based enrichment generates entity classifications, relationship mappings, and concept alignments</w:t>
      </w:r>
    </w:p>
    <w:p>
      <w:pPr>
        <w:pStyle w:val="ListParagraph"/>
        <w:numPr>
          <w:ilvl w:val="0"/>
          <w:numId w:val="1"/>
        </w:numPr>
        <w:spacing w:after="100" w:line="280"/>
      </w:pPr>
      <w:r>
        <w:rPr>
          <w:rFonts w:ascii="Arial" w:cs="Arial" w:eastAsia="Arial" w:hAnsi="Arial"/>
          <w:color w:val="1A1A2E"/>
          <w:sz w:val="22"/>
          <w:szCs w:val="22"/>
        </w:rPr>
        <w:t xml:space="preserve">Processed chunks are pushed to Neo4j with jurisdiction-specific namespaced labels</w:t>
      </w:r>
    </w:p>
    <w:p>
      <w:pPr>
        <w:pStyle w:val="ListParagraph"/>
        <w:numPr>
          <w:ilvl w:val="0"/>
          <w:numId w:val="1"/>
        </w:numPr>
        <w:spacing w:after="100" w:line="280"/>
      </w:pPr>
      <w:r>
        <w:rPr>
          <w:rFonts w:ascii="Arial" w:cs="Arial" w:eastAsia="Arial" w:hAnsi="Arial"/>
          <w:color w:val="1A1A2E"/>
          <w:sz w:val="22"/>
          <w:szCs w:val="22"/>
        </w:rPr>
        <w:t xml:space="preserve">Entity alignment connects the new jurisdiction to the shared concept layer</w:t>
      </w:r>
    </w:p>
    <w:p>
      <w:pPr>
        <w:pStyle w:val="ListParagraph"/>
        <w:numPr>
          <w:ilvl w:val="0"/>
          <w:numId w:val="1"/>
        </w:numPr>
        <w:spacing w:after="100" w:line="280"/>
      </w:pPr>
      <w:r>
        <w:rPr>
          <w:rFonts w:ascii="Arial" w:cs="Arial" w:eastAsia="Arial" w:hAnsi="Arial"/>
          <w:color w:val="1A1A2E"/>
          <w:sz w:val="22"/>
          <w:szCs w:val="22"/>
        </w:rPr>
        <w:t xml:space="preserve">GraphRAG filter is updated with jurisdiction routing logic</w:t>
      </w:r>
    </w:p>
    <w:p>
      <w:pPr>
        <w:spacing w:after="160" w:line="300"/>
      </w:pPr>
      <w:r>
        <w:rPr>
          <w:rFonts w:ascii="Arial" w:cs="Arial" w:eastAsia="Arial" w:hAnsi="Arial"/>
          <w:color w:val="1A1A2E"/>
          <w:sz w:val="22"/>
          <w:szCs w:val="22"/>
        </w:rPr>
        <w:t xml:space="preserve">Estimated time for a new jurisdiction: 3-5 days from PDF to operational graph.</w:t>
      </w:r>
    </w:p>
    <w:p>
      <w:r>
        <w:br w:type="page"/>
      </w:r>
    </w:p>
    <w:p>
      <w:pPr>
        <w:pStyle w:val="Heading1"/>
        <w:spacing w:after="200" w:before="500"/>
      </w:pPr>
      <w:r>
        <w:rPr>
          <w:rFonts w:ascii="Arial" w:cs="Arial" w:eastAsia="Arial" w:hAnsi="Arial"/>
          <w:b/>
          <w:bCs/>
          <w:color w:val="0F2B46"/>
          <w:sz w:val="36"/>
          <w:szCs w:val="36"/>
        </w:rPr>
        <w:t xml:space="preserve">10.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Metric</w:t>
            </w:r>
          </w:p>
        </w:tc>
        <w:tc>
          <w:tcPr>
            <w:tcW w:type="dxa" w:w="24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Current Value</w:t>
            </w:r>
          </w:p>
        </w:tc>
        <w:tc>
          <w:tcPr>
            <w:tcW w:type="dxa" w:w="24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Target</w:t>
            </w:r>
          </w:p>
        </w:tc>
        <w:tc>
          <w:tcPr>
            <w:tcW w:type="dxa" w:w="21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Measurement</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Knowledge Graph Coverage</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141 sections / 455 entities / 96 thresholds</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Full Chapter 24 + Opa-locka</w:t>
            </w:r>
          </w:p>
        </w:tc>
        <w:tc>
          <w:tcPr>
            <w:tcW w:type="dxa" w:w="2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Node count in Neo4j</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Query Response Time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&lt;1 second (4-step pipeline)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&lt;2 seconds with enriched graph</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Average retrieval + LLM latency</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Confidence Calibration</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5-signal composite</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ECE &lt; 0.10 after feedback convergence</w:t>
            </w:r>
          </w:p>
        </w:tc>
        <w:tc>
          <w:tcPr>
            <w:tcW w:type="dxa" w:w="2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Expected Calibration Error metric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Guardrail Accuracy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28 test scenarios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0 false negatives on adversarial tests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Adversarial test suite pass rate</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Audit Completeness</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100% of interactions logged</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100% maintained</w:t>
            </w:r>
          </w:p>
        </w:tc>
        <w:tc>
          <w:tcPr>
            <w:tcW w:type="dxa" w:w="2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Audit record count vs. chat message count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Jurisdiction Coverage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 (Miami-Dade Chapter 24)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3+ jurisdictions by Q3 2026</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Number of active jurisdiction graphs</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Sensor Integration</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14 effluent sensor types configured</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All sensors evaluable</w:t>
            </w:r>
          </w:p>
        </w:tc>
        <w:tc>
          <w:tcPr>
            <w:tcW w:type="dxa" w:w="2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Active metric mappings in config</w:t>
            </w:r>
          </w:p>
        </w:tc>
      </w:tr>
    </w:tbl>
    <w:p>
      <w:r>
        <w:br w:type="page"/>
      </w:r>
    </w:p>
    <w:p>
      <w:pPr>
        <w:pStyle w:val="Heading1"/>
        <w:spacing w:after="200" w:before="500"/>
      </w:pPr>
      <w:r>
        <w:rPr>
          <w:rFonts w:ascii="Arial" w:cs="Arial" w:eastAsia="Arial" w:hAnsi="Arial"/>
          <w:b/>
          <w:bCs/>
          <w:color w:val="0F2B46"/>
          <w:sz w:val="36"/>
          <w:szCs w:val="36"/>
        </w:rPr>
        <w:t xml:space="preserve">11. Appendix</w:t>
      </w:r>
    </w:p>
    <w:p>
      <w:pPr>
        <w:pStyle w:val="Heading2"/>
        <w:spacing w:after="160" w:before="360"/>
      </w:pPr>
      <w:r>
        <w:rPr>
          <w:rFonts w:ascii="Arial" w:cs="Arial" w:eastAsia="Arial" w:hAnsi="Arial"/>
          <w:b/>
          <w:bCs/>
          <w:color w:val="0F2B46"/>
          <w:sz w:val="28"/>
          <w:szCs w:val="28"/>
        </w:rPr>
        <w:t xml:space="preserve">11.1 Complete Feature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800"/>
        <w:gridCol w:w="2760"/>
      </w:tblGrid>
      <w:tr>
        <w:trPr>
          <w:tblHeader/>
        </w:trPr>
        <w:tc>
          <w:tcPr>
            <w:tcW w:type="dxa" w:w="48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Feature</w:t>
            </w:r>
          </w:p>
        </w:tc>
        <w:tc>
          <w:tcPr>
            <w:tcW w:type="dxa" w:w="180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Category</w:t>
            </w:r>
          </w:p>
        </w:tc>
        <w:tc>
          <w:tcPr>
            <w:tcW w:type="dxa" w:w="276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Status</w:t>
            </w:r>
          </w:p>
        </w:tc>
      </w:tr>
      <w:tr>
        <w:tc>
          <w:tcPr>
            <w:tcW w:type="dxa" w:w="4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GraphRAG Knowledge Graph (FEA v2 — 693 nodes, 2,351 relationships)</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Core</w:t>
            </w:r>
          </w:p>
        </w:tc>
        <w:tc>
          <w:tcPr>
            <w:tcW w:type="dxa" w:w="2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4-Step Retrieval Pipeline (fulltext + entity + concept expansion + direct)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Core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5-Signal Confidence Scoring with Thompson Sampling Feedback Loop</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Core</w:t>
            </w:r>
          </w:p>
        </w:tc>
        <w:tc>
          <w:tcPr>
            <w:tcW w:type="dxa" w:w="2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Confidence Explainability (natural-language score explanations)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Core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Enterprise Response Formatting (5-section consultant-grade structure)</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Core</w:t>
            </w:r>
          </w:p>
        </w:tc>
        <w:tc>
          <w:tcPr>
            <w:tcW w:type="dxa" w:w="2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Three-Persona Adaptive Interface (Citizen, Consultant, Regulator)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Core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SHA-256 Cryptographic Audit Trail</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Audit</w:t>
            </w:r>
          </w:p>
        </w:tc>
        <w:tc>
          <w:tcPr>
            <w:tcW w:type="dxa" w:w="2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96-Threshold Automated Compliance Evaluation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Compliance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SCADA Streaming API (WebSocket + SSE + REST)</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Telemetry</w:t>
            </w:r>
          </w:p>
        </w:tc>
        <w:tc>
          <w:tcPr>
            <w:tcW w:type="dxa" w:w="2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APAS Telemetry Bridge (JWT auth, 30s polling, metric mapping)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Telemetry</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Full Effluent Sensor Activation (14 types + UOM Conversion)</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Telemetry</w:t>
            </w:r>
          </w:p>
        </w:tc>
        <w:tc>
          <w:tcPr>
            <w:tcW w:type="dxa" w:w="2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Phase 2 Adversarial Guardrails (Aho-Corasick + MiniLM)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Security</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Prompt Injection Defense (pattern matching + input sanitization + canary tokens)</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Security</w:t>
            </w:r>
          </w:p>
        </w:tc>
        <w:tc>
          <w:tcPr>
            <w:tcW w:type="dxa" w:w="2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Neo4j Failover Guardrail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Security</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Jurisdiction Guardrails</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Security</w:t>
            </w:r>
          </w:p>
        </w:tc>
        <w:tc>
          <w:tcPr>
            <w:tcW w:type="dxa" w:w="2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Escalation Workflow (automatic + manual trigger)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Workflow</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Sources Panel Integration (GraphRAG + KB unified view)</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UX</w:t>
            </w:r>
          </w:p>
        </w:tc>
        <w:tc>
          <w:tcPr>
            <w:tcW w:type="dxa" w:w="2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Conditional Disclaimer System (HIGH/MEDIUM/LOW)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UX</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Onboarding Engagement Disclaimer (custom bubble)</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UX</w:t>
            </w:r>
          </w:p>
        </w:tc>
        <w:tc>
          <w:tcPr>
            <w:tcW w:type="dxa" w:w="2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GIS Wellfield Protection Zone Mapping (point-in-polygon)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GIS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RESTful API Exposure for External Platforms</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Integration</w:t>
            </w:r>
          </w:p>
        </w:tc>
        <w:tc>
          <w:tcPr>
            <w:tcW w:type="dxa" w:w="2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Breach API (7 endpoints for compliance dashboard)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Integration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Legal PDF Chunking Dashboard (Docling v2 + LLM enrichment)</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Pipeline</w:t>
            </w:r>
          </w:p>
        </w:tc>
        <w:tc>
          <w:tcPr>
            <w:tcW w:type="dxa" w:w="2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Multi-Jurisdiction Architecture (shared concept layer + namespaced labels)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Architecture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r>
        <w:tc>
          <w:tcPr>
            <w:tcW w:type="dxa" w:w="4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10-Step Automated Installer (15 source patches + 3 Svelte files)</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Deployment</w:t>
            </w:r>
          </w:p>
        </w:tc>
        <w:tc>
          <w:tcPr>
            <w:tcW w:type="dxa" w:w="2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Deployed</w:t>
            </w:r>
          </w:p>
        </w:tc>
      </w:tr>
    </w:tbl>
    <w:p>
      <w:pPr>
        <w:spacing w:after="160" w:line="300"/>
      </w:pPr>
      <w:r>
        <w:rPr>
          <w:rFonts w:ascii="Arial" w:cs="Arial" w:eastAsia="Arial" w:hAnsi="Arial"/>
          <w:color w:val="1A1A2E"/>
          <w:sz w:val="22"/>
          <w:szCs w:val="22"/>
        </w:rPr>
        <w:t xml:space="preserve"/>
      </w:r>
    </w:p>
    <w:p>
      <w:pPr>
        <w:pStyle w:val="Heading2"/>
        <w:spacing w:after="160" w:before="360"/>
      </w:pPr>
      <w:r>
        <w:rPr>
          <w:rFonts w:ascii="Arial" w:cs="Arial" w:eastAsia="Arial" w:hAnsi="Arial"/>
          <w:b/>
          <w:bCs/>
          <w:color w:val="0F2B46"/>
          <w:sz w:val="28"/>
          <w:szCs w:val="28"/>
        </w:rPr>
        <w:t xml:space="preserve">11.2 Regulatory Threshold Coverage</w:t>
      </w:r>
    </w:p>
    <w:p>
      <w:pPr>
        <w:spacing w:after="160" w:line="300"/>
      </w:pPr>
      <w:r>
        <w:rPr>
          <w:rFonts w:ascii="Arial" w:cs="Arial" w:eastAsia="Arial" w:hAnsi="Arial"/>
          <w:color w:val="1A1A2E"/>
          <w:sz w:val="22"/>
          <w:szCs w:val="22"/>
        </w:rPr>
        <w:t xml:space="preserve">RegOS evaluates compliance against 96 curated thresholds from Chapter 24, covering: concentration limits (BOD, TSS, pH, temperature, heavy metals), distance requirements (wellfield protection zones, setbacks), timeframe requirements (reporting deadlines, permit renewals), percentage limits (removal efficiency standards), and penalty schedules (fines per violation per day).</w:t>
      </w:r>
    </w:p>
    <w:p>
      <w:pPr>
        <w:pStyle w:val="Heading2"/>
        <w:spacing w:after="160" w:before="360"/>
      </w:pPr>
      <w:r>
        <w:rPr>
          <w:rFonts w:ascii="Arial" w:cs="Arial" w:eastAsia="Arial" w:hAnsi="Arial"/>
          <w:b/>
          <w:bCs/>
          <w:color w:val="0F2B46"/>
          <w:sz w:val="28"/>
          <w:szCs w:val="28"/>
        </w:rPr>
        <w:t xml:space="preserve">11.3 Knowledge Graph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Metric</w:t>
            </w:r>
          </w:p>
        </w:tc>
        <w:tc>
          <w:tcPr>
            <w:tcW w:type="dxa" w:w="4680"/>
            <w:tcBorders>
              <w:top w:val="single" w:color="D1D5DB" w:sz="1"/>
              <w:left w:val="single" w:color="D1D5DB" w:sz="1"/>
              <w:bottom w:val="single" w:color="D1D5DB" w:sz="1"/>
              <w:right w:val="single" w:color="D1D5DB" w:sz="1"/>
            </w:tcBorders>
            <w:shd w:fill="0F2B46"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Value</w:t>
            </w:r>
          </w:p>
        </w:tc>
      </w:tr>
      <w:tr>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Total Nodes</w:t>
            </w:r>
          </w:p>
        </w:tc>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693</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Total Relationships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2,351</w:t>
            </w:r>
          </w:p>
        </w:tc>
      </w:tr>
      <w:tr>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Concept Nodes (Ch24Class)</w:t>
            </w:r>
          </w:p>
        </w:tc>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30</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Document Nodes (Ch24Document)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141</w:t>
            </w:r>
          </w:p>
        </w:tc>
      </w:tr>
      <w:tr>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Entity Nodes (Ch24Entity)</w:t>
            </w:r>
          </w:p>
        </w:tc>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455</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Fulltext Index</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ch24_doc_fulltext (title + content)</w:t>
            </w:r>
          </w:p>
        </w:tc>
      </w:tr>
      <w:tr>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Average Query Latency</w:t>
            </w:r>
          </w:p>
        </w:tc>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&lt;1 second (4-step pipeline)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Graph Database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1A1A2E"/>
                <w:sz w:val="20"/>
                <w:szCs w:val="20"/>
              </w:rPr>
              <w:t xml:space="preserve">Neo4j 5 Community with APOC plugin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RegOS Product Requirements Document  |  APAS Group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0F2B46"/>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F2B4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66C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2026-03-23T07:52:53.799Z</dcterms:created>
  <dcterms:modified xsi:type="dcterms:W3CDTF">2026-03-23T07:52:53.799Z</dcterms:modified>
</cp:coreProperties>
</file>

<file path=docProps/custom.xml><?xml version="1.0" encoding="utf-8"?>
<Properties xmlns="http://schemas.openxmlformats.org/officeDocument/2006/custom-properties" xmlns:vt="http://schemas.openxmlformats.org/officeDocument/2006/docPropsVTypes"/>
</file>