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Arial" w:cs="Arial" w:eastAsia="Arial" w:hAnsi="Arial"/>
          <w:sz w:val="22"/>
          <w:szCs w:val="22"/>
        </w:rPr>
        <w:t xml:space="preserve"/>
      </w:r>
    </w:p>
    <w:p>
      <w:pPr>
        <w:spacing w:after="60" w:before="60"/>
        <w:jc w:val="center"/>
      </w:pPr>
      <w:r>
        <w:rPr>
          <w:rFonts w:ascii="Arial" w:cs="Arial" w:eastAsia="Arial" w:hAnsi="Arial"/>
          <w:b/>
          <w:bCs/>
          <w:color w:val="1B3A5C"/>
          <w:sz w:val="48"/>
          <w:szCs w:val="48"/>
        </w:rPr>
        <w:t xml:space="preserve">RegOS PRD v3</w:t>
      </w:r>
    </w:p>
    <w:p>
      <w:pPr>
        <w:spacing w:after="60" w:before="120"/>
        <w:jc w:val="center"/>
      </w:pPr>
      <w:r>
        <w:rPr>
          <w:rFonts w:ascii="Arial" w:cs="Arial" w:eastAsia="Arial" w:hAnsi="Arial"/>
          <w:color w:val="2E5D8A"/>
          <w:sz w:val="32"/>
          <w:szCs w:val="32"/>
        </w:rPr>
        <w:t xml:space="preserve">Gap Closure Addendum</w:t>
      </w:r>
    </w:p>
    <w:p>
      <w:pPr>
        <w:spacing w:after="60" w:before="60"/>
        <w:jc w:val="center"/>
      </w:pPr>
      <w:r>
        <w:rPr>
          <w:rFonts w:ascii="Arial" w:cs="Arial" w:eastAsia="Arial" w:hAnsi="Arial"/>
          <w:color w:val="666666"/>
          <w:sz w:val="24"/>
          <w:szCs w:val="24"/>
        </w:rPr>
        <w:t xml:space="preserve">Addressing Gaps 1, 2, 3, 6, 9, 11, 18, 23 &amp; 24</w:t>
      </w:r>
    </w:p>
    <w:p>
      <w:pPr>
        <w:spacing w:after="0" w:before="400"/>
      </w:pPr>
      <w:r>
        <w:rPr>
          <w:rFonts w:ascii="Arial" w:cs="Arial" w:eastAsia="Arial" w:hAnsi="Arial"/>
          <w:sz w:val="22"/>
          <w:szCs w:val="22"/>
        </w:rPr>
        <w:t xml:space="preserve"/>
      </w:r>
    </w:p>
    <w:p>
      <w:pPr>
        <w:spacing w:after="60" w:before="60"/>
        <w:jc w:val="center"/>
      </w:pPr>
      <w:r>
        <w:rPr>
          <w:rFonts w:ascii="Arial" w:cs="Arial" w:eastAsia="Arial" w:hAnsi="Arial"/>
          <w:color w:val="666666"/>
          <w:sz w:val="22"/>
          <w:szCs w:val="22"/>
        </w:rPr>
        <w:t xml:space="preserve">March 23, 2026</w:t>
      </w:r>
    </w:p>
    <w:p>
      <w:pPr>
        <w:spacing w:after="60" w:before="60"/>
        <w:jc w:val="center"/>
      </w:pPr>
      <w:r>
        <w:rPr>
          <w:rFonts w:ascii="Arial" w:cs="Arial" w:eastAsia="Arial" w:hAnsi="Arial"/>
          <w:color w:val="666666"/>
          <w:sz w:val="22"/>
          <w:szCs w:val="22"/>
        </w:rPr>
        <w:t xml:space="preserve">Prepared by: Anmol Pokhriyal | APAS Group</w:t>
      </w:r>
    </w:p>
    <w:p>
      <w:pPr>
        <w:spacing w:after="0" w:before="200"/>
        <w:jc w:val="center"/>
      </w:pPr>
      <w:r>
        <w:rPr>
          <w:rFonts w:ascii="Arial" w:cs="Arial" w:eastAsia="Arial" w:hAnsi="Arial"/>
          <w:b/>
          <w:bCs/>
          <w:color w:val="CC0000"/>
          <w:sz w:val="20"/>
          <w:szCs w:val="20"/>
        </w:rPr>
        <w:t xml:space="preserve">CONFIDENTIAL</w:t>
      </w:r>
    </w:p>
    <w:p>
      <w:r>
        <w:br w:type="page"/>
      </w:r>
    </w:p>
    <w:p>
      <w:pPr>
        <w:pStyle w:val="Heading1"/>
        <w:pBdr>
          <w:bottom w:val="single" w:color="1B3A5C" w:sz="4" w:space="6"/>
        </w:pBdr>
        <w:spacing w:after="160" w:before="360"/>
      </w:pPr>
      <w:r>
        <w:rPr>
          <w:rFonts w:ascii="Arial" w:cs="Arial" w:eastAsia="Arial" w:hAnsi="Arial"/>
          <w:b/>
          <w:bCs/>
          <w:color w:val="1B3A5C"/>
          <w:sz w:val="28"/>
          <w:szCs w:val="28"/>
        </w:rPr>
        <w:t xml:space="preserve">A. Requirements Specification</w:t>
      </w:r>
    </w:p>
    <w:p>
      <w:pPr>
        <w:spacing w:after="60" w:before="60"/>
      </w:pPr>
      <w:r>
        <w:rPr>
          <w:rFonts w:ascii="Arial" w:cs="Arial" w:eastAsia="Arial" w:hAnsi="Arial"/>
          <w:sz w:val="22"/>
          <w:szCs w:val="22"/>
        </w:rPr>
        <w:t xml:space="preserve">This section addresses Gaps 1, 2, and 3 from the gap analysis: user stories, acceptance criteria, and functional requirements. Requirements are organized by the three primary personas and mapped to deployed features.</w:t>
      </w:r>
    </w:p>
    <w:p>
      <w:pPr>
        <w:pStyle w:val="Heading2"/>
        <w:spacing w:after="120" w:before="280"/>
      </w:pPr>
      <w:r>
        <w:rPr>
          <w:rFonts w:ascii="Arial" w:cs="Arial" w:eastAsia="Arial" w:hAnsi="Arial"/>
          <w:b/>
          <w:bCs/>
          <w:color w:val="2E5D8A"/>
          <w:sz w:val="24"/>
          <w:szCs w:val="24"/>
        </w:rPr>
        <w:t xml:space="preserve">A.1 User Stories &amp; Jobs-to-Be-Done</w:t>
      </w:r>
    </w:p>
    <w:p>
      <w:pPr>
        <w:spacing w:after="60" w:before="60"/>
      </w:pPr>
      <w:r>
        <w:rPr>
          <w:rFonts w:ascii="Arial" w:cs="Arial" w:eastAsia="Arial" w:hAnsi="Arial"/>
          <w:i/>
          <w:iCs/>
          <w:sz w:val="22"/>
          <w:szCs w:val="22"/>
        </w:rPr>
        <w:t xml:space="preserve">Closes Gap 1: No user stories or jobs-to-be-done</w:t>
      </w:r>
    </w:p>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Persona: Citizen / Resident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60"/>
        <w:gridCol w:w="3800"/>
      </w:tblGrid>
      <w:tr>
        <w:tc>
          <w:tcPr>
            <w:tcW w:type="dxa" w:w="9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ID</w:t>
            </w:r>
          </w:p>
        </w:tc>
        <w:tc>
          <w:tcPr>
            <w:tcW w:type="dxa" w:w="46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USER STORY</w:t>
            </w:r>
          </w:p>
        </w:tc>
        <w:tc>
          <w:tcPr>
            <w:tcW w:type="dxa" w:w="38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FEATURES EXERCISED</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US-C01</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Miami-Dade resident, I want to ask plain-language questions about environmental regulations so that I can understand what rules apply to my property without hiring a consultant.</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GraphRAG Pipeline, HyDE Query Generation, Persona-Adaptive Response</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US-C02</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resident near a wellfield protection zone, I want to know which activities are restricted on my property so that I can avoid accidental violations.</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GIS Wellfield Mapping, Knowledge Graph Traversal, Concept Expansion</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US-C03</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citizen reporting a potential environmental violation, I want to verify whether specific pollutant levels exceed legal limits so that I can substantiate my complaint to DERM.</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96-Threshold Automated Compliance Evaluation, Evidence Hash Verification</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US-C04</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resident, I want to see the exact regulatory sections cited in every answer so that I can trust the information and reference it in official communications.</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Sources Panel with Section-Level Citations, Confidence Badges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US-C05</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non-technical user, I want the system to clearly tell me when it is not confident in its answer so that I do not rely on incomplete information.</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5-Signal Confidence Scoring, Conditional Disclaimers, Escalation Framework</w:t>
            </w:r>
          </w:p>
        </w:tc>
      </w:tr>
    </w:tbl>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Persona: Environmental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60"/>
        <w:gridCol w:w="3800"/>
      </w:tblGrid>
      <w:tr>
        <w:tc>
          <w:tcPr>
            <w:tcW w:type="dxa" w:w="9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ID</w:t>
            </w:r>
          </w:p>
        </w:tc>
        <w:tc>
          <w:tcPr>
            <w:tcW w:type="dxa" w:w="46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USER STORY</w:t>
            </w:r>
          </w:p>
        </w:tc>
        <w:tc>
          <w:tcPr>
            <w:tcW w:type="dxa" w:w="38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FEATURES EXERCISED</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US-N01</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an environmental consultant preparing a permit application, I want to query multiple regulatory sections simultaneously so that I can identify all applicable requirements for a mixed-use development project.</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Multi-Section Retrieval, 4-Step Pipeline, Cross-Reference Resolution</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US-N02</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consultant conducting a compliance audit, I want to submit measured pollutant values and receive automated determinations (compliant/breach/borderline) so that I can generate audit reports efficiently.</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Threshold Evaluation Engine, Breach API, Evidence Hash Chain</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US-N03</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consultant advising multiple clients, I want a tamper-evident audit trail of all my queries and the system’s responses so that I can demonstrate due diligence to regulators.</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SHA-256 Audit Trail, Cryptographic Hash Chain, Audit Logger</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US-N04</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consultant monitoring ongoing compliance, I want to connect SCADA sensor feeds and receive real-time compliance determinations so that I can detect threshold breaches before they become violations.</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SCADA Streaming API (WebSocket/SSE/REST), Real-Time Threshold Evaluation</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US-N05</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consultant, I want the system to escalate queries it cannot confidently answer to a human compliance officer so that I am never unknowingly relying on a low-confidence response.</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n8n Escalation Webhook, Confidence Score &lt; 0.65 Trigger, Case Packet Generation</w:t>
            </w:r>
          </w:p>
        </w:tc>
      </w:tr>
    </w:tbl>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Persona: DERM Regulator / Compliance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60"/>
        <w:gridCol w:w="3800"/>
      </w:tblGrid>
      <w:tr>
        <w:tc>
          <w:tcPr>
            <w:tcW w:type="dxa" w:w="9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ID</w:t>
            </w:r>
          </w:p>
        </w:tc>
        <w:tc>
          <w:tcPr>
            <w:tcW w:type="dxa" w:w="46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USER STORY</w:t>
            </w:r>
          </w:p>
        </w:tc>
        <w:tc>
          <w:tcPr>
            <w:tcW w:type="dxa" w:w="38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FEATURES EXERCISED</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US-R01</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DERM compliance officer, I want to review all queries flagged by the escalation system so that I can provide authoritative answers where the AI was uncertain.</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Escalation Queue, Case Packet with Context Sections + Confidence Signals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US-R02</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regulator, I want to verify that any compliance determination generated by the system includes a tamper-evident evidence chain so that determinations can be admitted as supporting documentation.</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SHA-256 Evidence Hashes, Breach API /verify Endpoint</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US-R03</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regulator updating Chapter 24, I want the knowledge graph to reflect the current regulatory text so that outdated provisions are not cited.</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Graph Reload Pipeline, Document Versioning via sectionId</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US-R04</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regulator evaluating the system for departmental use, I want to see adversarial test results proving the system refuses to answer outside its jurisdictional scope.</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6-Layer Guardrail Architecture, 28 Adversarial Test Scenarios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US-R05</w:t>
            </w:r>
          </w:p>
        </w:tc>
        <w:tc>
          <w:tcPr>
            <w:tcW w:type="dxa" w:w="4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As a regulator, I want the system to explicitly identify when a query crosses jurisdictional boundaries so that users are not given Miami-Dade answers for state or federal questions.</w:t>
            </w:r>
          </w:p>
        </w:tc>
        <w:tc>
          <w:tcPr>
            <w:tcW w:type="dxa" w:w="38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Jurisdiction Guardrail, Out-of-Scope Detection, Guardrail Logging</w:t>
            </w:r>
          </w:p>
        </w:tc>
      </w:tr>
    </w:tbl>
    <w:p>
      <w:r>
        <w:br w:type="page"/>
      </w:r>
    </w:p>
    <w:p>
      <w:pPr>
        <w:pStyle w:val="Heading2"/>
        <w:spacing w:after="120" w:before="280"/>
      </w:pPr>
      <w:r>
        <w:rPr>
          <w:rFonts w:ascii="Arial" w:cs="Arial" w:eastAsia="Arial" w:hAnsi="Arial"/>
          <w:b/>
          <w:bCs/>
          <w:color w:val="2E5D8A"/>
          <w:sz w:val="24"/>
          <w:szCs w:val="24"/>
        </w:rPr>
        <w:t xml:space="preserve">A.2 Acceptance Criteria</w:t>
      </w:r>
    </w:p>
    <w:p>
      <w:pPr>
        <w:spacing w:after="60" w:before="60"/>
      </w:pPr>
      <w:r>
        <w:rPr>
          <w:rFonts w:ascii="Arial" w:cs="Arial" w:eastAsia="Arial" w:hAnsi="Arial"/>
          <w:i/>
          <w:iCs/>
          <w:sz w:val="22"/>
          <w:szCs w:val="22"/>
        </w:rPr>
        <w:t xml:space="preserve">Closes Gap 2: No acceptance criteria for any feature</w:t>
      </w:r>
    </w:p>
    <w:p>
      <w:pPr>
        <w:spacing w:after="4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Acceptance criteria are defined for the 8 highest-criticality features. Each criterion is measurable and maps to a test methodology.</w:t>
      </w:r>
    </w:p>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GraphRAG 4-Step Retrieval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CRITERION</w:t>
            </w:r>
          </w:p>
        </w:tc>
        <w:tc>
          <w:tcPr>
            <w:tcW w:type="dxa" w:w="47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ACCEPTANCE CRITERIA</w:t>
            </w:r>
          </w:p>
        </w:tc>
        <w:tc>
          <w:tcPr>
            <w:tcW w:type="dxa" w:w="24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TEST METHOD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AC-01</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Returns ≥1 relevant section for 90% of in-scope queries against the 28-scenario adversarial test suite</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Adversarial suite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AC-02</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Concept expansion (Step 2c) discovers ≥1 section not found by fulltext alone for multi-concept queries</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GraphRAG vs RAG benchmark</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AC-03</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Context assembly completes in &lt;2 seconds for 95th percentile queries</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Load test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AC-04</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Zero Cypher injection vulnerabilities: all user input parameterized via $terms</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Security scan</w:t>
            </w:r>
          </w:p>
        </w:tc>
      </w:tr>
    </w:tbl>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5-Signal 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CRITERION</w:t>
            </w:r>
          </w:p>
        </w:tc>
        <w:tc>
          <w:tcPr>
            <w:tcW w:type="dxa" w:w="47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ACCEPTANCE CRITERIA</w:t>
            </w:r>
          </w:p>
        </w:tc>
        <w:tc>
          <w:tcPr>
            <w:tcW w:type="dxa" w:w="24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TEST METHOD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AC-05</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Confidence score correlates with answer quality: HIGH band (≥0.70) answers are rated accurate by human reviewers ≥85% of the time</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Human eval</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AC-06</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Escalation triggers (score &lt; 0.65) fire for ≥80% of queries where human reviewers agree escalation was appropriate</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Calibration test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AC-07</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All 6 signals are non-zero for any query that matches ≥1 document (no dead signals)</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Unit test</w:t>
            </w:r>
          </w:p>
        </w:tc>
      </w:tr>
    </w:tbl>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96-Threshold Compliance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CRITERION</w:t>
            </w:r>
          </w:p>
        </w:tc>
        <w:tc>
          <w:tcPr>
            <w:tcW w:type="dxa" w:w="47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ACCEPTANCE CRITERIA</w:t>
            </w:r>
          </w:p>
        </w:tc>
        <w:tc>
          <w:tcPr>
            <w:tcW w:type="dxa" w:w="24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TEST METHOD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AC-08</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Returns correct COMPLIANT/BREACH/BORDERLINE status for 100% of the 96 thresholds in regulatory_thresholds.json when tested with known values</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Threshold regression suite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AC-09</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BORDERLINE status triggers for values within 10% of any threshold limit</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Boundary test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AC-10</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Every determination produces a valid SHA-256 evidence hash that can be independently verified via /api/breaches/verify/{hash}</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Hash verification test</w:t>
            </w:r>
          </w:p>
        </w:tc>
      </w:tr>
    </w:tbl>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SHA-256 Tamper-Evident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CRITERION</w:t>
            </w:r>
          </w:p>
        </w:tc>
        <w:tc>
          <w:tcPr>
            <w:tcW w:type="dxa" w:w="47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ACCEPTANCE CRITERIA</w:t>
            </w:r>
          </w:p>
        </w:tc>
        <w:tc>
          <w:tcPr>
            <w:tcW w:type="dxa" w:w="24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TEST METHOD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AC-11</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Every query/response pair is logged with a record_hash that remains stable on re-read</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Integrity test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AC-12</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Audit database indices support query by timestamp, user_id, and chat_id with &lt;100ms response for 100K records</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Performance test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AC-13</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No PII appears in any audit field beyond user_id, user_email, user_name (fields explicitly logged)</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PII scan</w:t>
            </w:r>
          </w:p>
        </w:tc>
      </w:tr>
    </w:tbl>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SCADA Streaming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CRITERION</w:t>
            </w:r>
          </w:p>
        </w:tc>
        <w:tc>
          <w:tcPr>
            <w:tcW w:type="dxa" w:w="47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ACCEPTANCE CRITERIA</w:t>
            </w:r>
          </w:p>
        </w:tc>
        <w:tc>
          <w:tcPr>
            <w:tcW w:type="dxa" w:w="24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TEST METHOD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AC-14</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WebSocket connection sustains 100 readings/second without message loss</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Load test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AC-15</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Each reading with a matching threshold produces a ScadaDetermination within 500ms of receipt</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Latency test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AC-16</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Rate limiter rejects readings above MAX_READINGS_PER_SECOND with appropriate error message</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Rate limit test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AC-17</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SSE and REST batch endpoints produce identical determinations for identical readings</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Parity test</w:t>
            </w:r>
          </w:p>
        </w:tc>
      </w:tr>
    </w:tbl>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Escalation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CRITERION</w:t>
            </w:r>
          </w:p>
        </w:tc>
        <w:tc>
          <w:tcPr>
            <w:tcW w:type="dxa" w:w="47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ACCEPTANCE CRITERIA</w:t>
            </w:r>
          </w:p>
        </w:tc>
        <w:tc>
          <w:tcPr>
            <w:tcW w:type="dxa" w:w="24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TEST METHOD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AC-18</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Queries with confidence &lt; 0.65 generate a case packet containing: query text, matched sections, confidence signals, and suggested follow-up</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Integration test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AC-19</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Escalation webhook fires to n8n within 2 seconds of outlet filter completion</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E2E test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AC-20</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Escalation status is logged in audit_records.escalation_triggered with correct target</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Audit verification</w:t>
            </w:r>
          </w:p>
        </w:tc>
      </w:tr>
    </w:tbl>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6-Layer Guardrail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CRITERION</w:t>
            </w:r>
          </w:p>
        </w:tc>
        <w:tc>
          <w:tcPr>
            <w:tcW w:type="dxa" w:w="47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ACCEPTANCE CRITERIA</w:t>
            </w:r>
          </w:p>
        </w:tc>
        <w:tc>
          <w:tcPr>
            <w:tcW w:type="dxa" w:w="24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TEST METHOD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AC-21</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Out-of-scope queries (non-Ch24 topics) are detected and refused with a polite redirect</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Adversarial suite (Category 1)</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AC-22</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Prompt injection attempts are logged with guardrail_type='injection_detected' and do not modify system behavior</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Adversarial suite (Category 5)</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AC-23</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Jurisdiction mixing queries (state/federal framed as county) produce explicit jurisdiction disclaimers</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Adversarial suite (Category 3)</w:t>
            </w:r>
          </w:p>
        </w:tc>
      </w:tr>
    </w:tbl>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Sources Panel &amp; Citation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CRITERION</w:t>
            </w:r>
          </w:p>
        </w:tc>
        <w:tc>
          <w:tcPr>
            <w:tcW w:type="dxa" w:w="47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ACCEPTANCE CRITERIA</w:t>
            </w:r>
          </w:p>
        </w:tc>
        <w:tc>
          <w:tcPr>
            <w:tcW w:type="dxa" w:w="24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TEST METHOD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AC-24</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Every cited section [G1]...[Gn] in the response body has a corresponding entry in the Sources Panel</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Citation parity test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AC-25</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No hallucinated section numbers: every cited sectionId exists in the Neo4j graph</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Graph lookup validation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AC-26</w:t>
            </w:r>
          </w:p>
        </w:tc>
        <w:tc>
          <w:tcPr>
            <w:tcW w:type="dxa" w:w="4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Sources Panel displays section title, sectionId, and relevance indicator for each cited source</w:t>
            </w:r>
          </w:p>
        </w:tc>
        <w:tc>
          <w:tcPr>
            <w:tcW w:type="dxa" w:w="2400"/>
            <w:tcBorders>
              <w:top w:val="single" w:color="CCCCCC" w:sz="1"/>
              <w:left w:val="single" w:color="CCCCCC" w:sz="1"/>
              <w:bottom w:val="single" w:color="CCCCCC" w:sz="1"/>
              <w:right w:val="single" w:color="CCCCCC" w:sz="1"/>
            </w:tcBorders>
            <w:shd w:fill="F0F4F8" w:val="clear"/>
            <w:tcMar>
              <w:top w:type="dxa" w:w="50"/>
              <w:left w:type="dxa" w:w="80"/>
              <w:bottom w:type="dxa" w:w="50"/>
              <w:right w:type="dxa" w:w="80"/>
            </w:tcMar>
          </w:tcPr>
          <w:p>
            <w:pPr>
              <w:spacing w:after="60" w:before="60"/>
            </w:pPr>
            <w:r>
              <w:rPr>
                <w:rFonts w:ascii="Arial" w:cs="Arial" w:eastAsia="Arial" w:hAnsi="Arial"/>
                <w:sz w:val="18"/>
                <w:szCs w:val="18"/>
              </w:rPr>
              <w:t xml:space="preserve">UI verification</w:t>
            </w:r>
          </w:p>
        </w:tc>
      </w:tr>
    </w:tbl>
    <w:p>
      <w:pPr>
        <w:spacing w:after="40" w:before="40"/>
      </w:pPr>
      <w:r>
        <w:rPr>
          <w:rFonts w:ascii="Arial" w:cs="Arial" w:eastAsia="Arial" w:hAnsi="Arial"/>
          <w:sz w:val="22"/>
          <w:szCs w:val="22"/>
        </w:rPr>
        <w:t xml:space="preserve"/>
      </w:r>
    </w:p>
    <w:p>
      <w:r>
        <w:br w:type="page"/>
      </w:r>
    </w:p>
    <w:p>
      <w:pPr>
        <w:pStyle w:val="Heading2"/>
        <w:spacing w:after="120" w:before="280"/>
      </w:pPr>
      <w:r>
        <w:rPr>
          <w:rFonts w:ascii="Arial" w:cs="Arial" w:eastAsia="Arial" w:hAnsi="Arial"/>
          <w:b/>
          <w:bCs/>
          <w:color w:val="2E5D8A"/>
          <w:sz w:val="24"/>
          <w:szCs w:val="24"/>
        </w:rPr>
        <w:t xml:space="preserve">A.3 Functional Requirements Specification</w:t>
      </w:r>
    </w:p>
    <w:p>
      <w:pPr>
        <w:spacing w:after="60" w:before="60"/>
      </w:pPr>
      <w:r>
        <w:rPr>
          <w:rFonts w:ascii="Arial" w:cs="Arial" w:eastAsia="Arial" w:hAnsi="Arial"/>
          <w:i/>
          <w:iCs/>
          <w:sz w:val="22"/>
          <w:szCs w:val="22"/>
        </w:rPr>
        <w:t xml:space="preserve">Closes Gap 3: No functional requirements specification</w:t>
      </w:r>
    </w:p>
    <w:p>
      <w:pPr>
        <w:spacing w:after="4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Functional requirements are specified for the three highest-complexity subsystems: the GraphRAG retrieval pipeline, the threshold evaluation engine, and the SCADA streaming API.</w:t>
      </w:r>
    </w:p>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FR-1: GraphRAG Retrieval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ID</w:t>
            </w:r>
          </w:p>
        </w:tc>
        <w:tc>
          <w:tcPr>
            <w:tcW w:type="dxa" w:w="81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REQUIREMENT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FR-1.1</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The system SHALL execute a 4-step retrieval sequence for every in-scope query: (1) fulltext document search, (2a) entity name matching, (2b) entity→document traversal via MENTIONS_ENTITY, (2c) concept expansion via RELATES_TO_CONCEPT, (3) direct fulltext fallback, (4) context assembly with sectionId-based deduplication.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FR-1.2</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The fulltext search (Step 1) SHALL query the ch24_doc_fulltext Neo4j index on Ch24Document.title and Ch24Document.text, returning the top N documents (default N=8) ordered by relevance score.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FR-1.3</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Entity matching (Step 2a) SHALL extract query terms and match against Ch24Entity.value using parameterized Cypher queries ($terms list). All user input SHALL be passed as parameters, never interpolated via f-string, to prevent Cypher injection.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FR-1.4</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Concept expansion (Step 2c) SHALL traverse RELATES_TO_CONCEPT edges from matched entities to Ch24Class nodes, then discover sibling Ch24Document nodes connected to the same concepts with similarity ≥ 0.3.</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FR-1.5</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Context assembly (Step 4) SHALL deduplicate sections by sectionId, rank by combined relevance score, and return the top M sections (default M=5) with citation labels [G1] through [Gn].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FR-1.6</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If the Neo4j connection fails, the system SHALL log a guardrail event (guardrail_type='neo4j_connection_failure'), return a user-friendly error message, and NOT attempt to answer from cache or memory.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FR-1.7</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All retrieved sections SHALL be injected into the LLM system prompt with the format: [G1] Sec. {sectionId} — {title}\n{content}</w:t>
            </w:r>
          </w:p>
        </w:tc>
      </w:tr>
    </w:tbl>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FR-2: Threshold Evaluation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ID</w:t>
            </w:r>
          </w:p>
        </w:tc>
        <w:tc>
          <w:tcPr>
            <w:tcW w:type="dxa" w:w="81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REQUIREMENT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FR-2.1</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The system SHALL load all thresholds from regulatory_thresholds.json at startup. Each threshold SHALL have: parameter (string), value (float), unit (string), direction (max|min|exact|within), section_ref (string), and context (string).</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FR-2.2</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When a user query contains a numeric value and a recognized parameter name, the system SHALL automatically invoke threshold evaluation without requiring explicit user action.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FR-2.3</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Determination logic SHALL follow: for 'max' direction, COMPLIANT if user_value ≤ threshold_value; for 'min' direction, COMPLIANT if user_value ≥ threshold_value; for 'exact', COMPLIANT if |user_value - threshold_value| &lt; 0.001.</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FR-2.4</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BORDERLINE status SHALL be assigned when the user value is within 10% of the threshold limit (above for max, below for min). Both COMPLIANT and BORDERLINE determinations SHALL include margin and pct_of_limit values.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FR-2.5</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Every determination SHALL produce a SHA-256 evidence hash computed from a canonical JSON of: parameter, user_value, threshold_value, threshold_direction, threshold_unit, status, timestamp, section_ref. The hash SHALL be stored in the threshold_evaluations SQLite table.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FR-2.6</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The Breach API endpoint GET /api/breaches/verify/{evidence_hash} SHALL recompute the hash from the stored record and return {valid: true/false, record, message}.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FR-2.7</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When no matching threshold is found for a given parameter, the system SHALL return status='NO_THRESHOLD_FOUND' and SHALL NOT generate an evidence hash.</w:t>
            </w:r>
          </w:p>
        </w:tc>
      </w:tr>
    </w:tbl>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FR-3: SCADA Streaming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ID</w:t>
            </w:r>
          </w:p>
        </w:tc>
        <w:tc>
          <w:tcPr>
            <w:tcW w:type="dxa" w:w="81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REQUIREMENT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FR-3.1</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The system SHALL support three ingestion modes: WebSocket (ws/scada), Server-Sent Events (/stream/scada), and REST batch (POST /api/scada/ingest). All three modes SHALL produce identical ScadaDetermination outputs for identical ScadaReading inputs.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FR-3.2</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Each ScadaReading SHALL contain: sensor_id (required), parameter (required), value (required, float), unit (optional), timestamp (optional, defaults to server time), location (optional), metadata (optional dict).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FR-3.3</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Rate limiting SHALL enforce MAX_READINGS_PER_SECOND (default 100, configurable via SCADA_MAX_RPS env var) using a token-bucket algorithm. Readings exceeding the limit SHALL be rejected with an appropriate error message including the current rate and limit.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FR-3.4</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The queue SHALL have a maximum size of MAX_QUEUE_SIZE (default 10,000, configurable via SCADA_MAX_QUEUE). When the queue is full, new readings SHALL be rejected with a 'queue_full' error.</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FR-3.5</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WebSocket authentication SHALL be required via SCADA_API_KEY environment variable, passed as a query parameter (?api_key=KEY) or as the first message ({type: 'auth', api_key: 'KEY'}).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FR-3.6</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For each reading where the parameter matches a known regulatory threshold, the system SHALL produce a ScadaDetermination containing: status, threshold_value, threshold_direction, section_ref, margin, pct_of_limit, evidence_hash, and evaluated_at timestamp.</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FR-3.7</w:t>
            </w:r>
          </w:p>
        </w:tc>
        <w:tc>
          <w:tcPr>
            <w:tcW w:type="dxa" w:w="8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GET /api/scada/status SHALL return current connection count, throughput metrics (readings/second), queue depth, and uptime.</w:t>
            </w:r>
          </w:p>
        </w:tc>
      </w:tr>
    </w:tbl>
    <w:p>
      <w:r>
        <w:br w:type="page"/>
      </w:r>
    </w:p>
    <w:p>
      <w:pPr>
        <w:pStyle w:val="Heading1"/>
        <w:pBdr>
          <w:bottom w:val="single" w:color="1B3A5C" w:sz="4" w:space="6"/>
        </w:pBdr>
        <w:spacing w:after="160" w:before="360"/>
      </w:pPr>
      <w:r>
        <w:rPr>
          <w:rFonts w:ascii="Arial" w:cs="Arial" w:eastAsia="Arial" w:hAnsi="Arial"/>
          <w:b/>
          <w:bCs/>
          <w:color w:val="1B3A5C"/>
          <w:sz w:val="28"/>
          <w:szCs w:val="28"/>
        </w:rPr>
        <w:t xml:space="preserve">B. Risk Register &amp; Mitigation Plan</w:t>
      </w:r>
    </w:p>
    <w:p>
      <w:pPr>
        <w:spacing w:after="60" w:before="60"/>
      </w:pPr>
      <w:r>
        <w:rPr>
          <w:rFonts w:ascii="Arial" w:cs="Arial" w:eastAsia="Arial" w:hAnsi="Arial"/>
          <w:i/>
          <w:iCs/>
          <w:sz w:val="22"/>
          <w:szCs w:val="22"/>
        </w:rPr>
        <w:t xml:space="preserve">Closes Gap 6: No risk register or mitigation plan</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1000"/>
        <w:gridCol w:w="1000"/>
        <w:gridCol w:w="3660"/>
      </w:tblGrid>
      <w:tr>
        <w:tc>
          <w:tcPr>
            <w:tcW w:type="dxa" w:w="5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w:t>
            </w:r>
          </w:p>
        </w:tc>
        <w:tc>
          <w:tcPr>
            <w:tcW w:type="dxa" w:w="2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RISK</w:t>
            </w:r>
          </w:p>
        </w:tc>
        <w:tc>
          <w:tcPr>
            <w:tcW w:type="dxa" w:w="10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LIKELIHOOD</w:t>
            </w:r>
          </w:p>
        </w:tc>
        <w:tc>
          <w:tcPr>
            <w:tcW w:type="dxa" w:w="10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IMPACT</w:t>
            </w:r>
          </w:p>
        </w:tc>
        <w:tc>
          <w:tcPr>
            <w:tcW w:type="dxa" w:w="10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SEVERITY</w:t>
            </w:r>
          </w:p>
        </w:tc>
        <w:tc>
          <w:tcPr>
            <w:tcW w:type="dxa" w:w="36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MITIGATION</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R01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LLM provider behavioral drift: Underlying model updates change response tone, accuracy, or formatting without notice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color w:val="D4760A"/>
                <w:sz w:val="18"/>
                <w:szCs w:val="18"/>
              </w:rPr>
              <w:t xml:space="preserve">HIGH</w:t>
            </w:r>
          </w:p>
        </w:tc>
        <w:tc>
          <w:tcPr>
            <w:tcW w:type="dxa" w:w="3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System prompt anchors identity/formatting. Confidence scoring detects quality degradation (score distribution shift). Adversarial test suite runs against new model versions before promotion. Model version locked in deployment config.</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R02</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Regulatory text staleness: Chapter 24 amendments are not reflected in the knowledge graph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color w:val="CC0000"/>
                <w:sz w:val="18"/>
                <w:szCs w:val="18"/>
              </w:rPr>
              <w:t xml:space="preserve">CRITICAL</w:t>
            </w:r>
          </w:p>
        </w:tc>
        <w:tc>
          <w:tcPr>
            <w:tcW w:type="dxa" w:w="3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Graph reload pipeline exists for full re-ingestion. Document versioning via sectionId enables diff detection. Planned: webhook integration with Municode for amendment notifications. Current mitigation: quarterly manual review cycle.</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R03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Neo4j Aura availability: Cloud-hosted graph database experiences downtime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color w:val="996600"/>
                <w:sz w:val="18"/>
                <w:szCs w:val="18"/>
              </w:rPr>
              <w:t xml:space="preserve">MEDIUM</w:t>
            </w:r>
          </w:p>
        </w:tc>
        <w:tc>
          <w:tcPr>
            <w:tcW w:type="dxa" w:w="3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Guardrail (guardrail_type='neo4j_connection_failure') catches connection failures gracefully. System returns explicit error rather than hallucinating. Planned: local Neo4j fallback with periodic sync. RPO: graph JSON export (chaptor_24_graph.json, 226 MB) enables full rebuild in &lt;30 minutes.</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R04</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Single-jurisdiction concentration: All revenue depends on Miami-Dade Ch24 deployment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color w:val="CC0000"/>
                <w:sz w:val="18"/>
                <w:szCs w:val="18"/>
              </w:rPr>
              <w:t xml:space="preserve">CRITICAL</w:t>
            </w:r>
          </w:p>
        </w:tc>
        <w:tc>
          <w:tcPr>
            <w:tcW w:type="dxa" w:w="3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Multi-jurisdiction architecture designed from Day 1 (FEA schema supports namespace isolation). Opa-Locka chunking strategy complete. Target: 3+ jurisdictions by Q3 2026. Chunking pipeline generalizes to any municipal code.</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R05</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Open-source dependency risk: Open WebUI or Neo4j Community Edition discontinues features or changes licensing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color w:val="336633"/>
                <w:sz w:val="18"/>
                <w:szCs w:val="18"/>
              </w:rPr>
              <w:t xml:space="preserve">LOW</w:t>
            </w:r>
          </w:p>
        </w:tc>
        <w:tc>
          <w:tcPr>
            <w:tcW w:type="dxa" w:w="3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RegOS custom work lives in the runtime layer (Functions/Filters), not stock file modifications. 15 source patches are isolated and documented in apply-patches.py (1,209 lines). Migration to alternative frontend or graph database is feasible because the GraphRAG filter, audit logger, and APIs are self-contained Python modules.</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R06</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Confidence scoring cold-start: New jurisdiction deployments have uncalibrated confidence weights</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color w:val="D4760A"/>
                <w:sz w:val="18"/>
                <w:szCs w:val="18"/>
              </w:rPr>
              <w:t xml:space="preserve">HIGH</w:t>
            </w:r>
          </w:p>
        </w:tc>
        <w:tc>
          <w:tcPr>
            <w:tcW w:type="dxa" w:w="3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Weights were empirically tuned via 600-configuration sweep across 12 test cases (escalation accuracy 60% → 80%). Calibration methodology is documented and repeatable. New jurisdictions inherit base weights and are fine-tuned with jurisdiction-specific test cases within first sprint.</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R07</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Cypher injection via user input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color w:val="996600"/>
                <w:sz w:val="18"/>
                <w:szCs w:val="18"/>
              </w:rPr>
              <w:t xml:space="preserve">MEDIUM</w:t>
            </w:r>
          </w:p>
        </w:tc>
        <w:tc>
          <w:tcPr>
            <w:tcW w:type="dxa" w:w="3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Fixed in v0.17.1: all user input passed as $terms parameters, never interpolated via f-string. Try/except on all 5 Neo4j query methods. Regression test included in adversarial suite.</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R08</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Audit trail storage growth: SQLite audit database grows unbounded over time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color w:val="336633"/>
                <w:sz w:val="18"/>
                <w:szCs w:val="18"/>
              </w:rPr>
              <w:t xml:space="preserve">LOW</w:t>
            </w:r>
          </w:p>
        </w:tc>
        <w:tc>
          <w:tcPr>
            <w:tcW w:type="dxa" w:w="3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Current audit record size: ~2 KB per interaction. At 1,000 queries/day = ~730 MB/year. SQLite handles databases up to 281 TB. Mitigation: annual archival to compressed backup + retention policy (see Section F).</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R09</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SCADA rate overload: Sensor feeds exceed processing capacity</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color w:val="996600"/>
                <w:sz w:val="18"/>
                <w:szCs w:val="18"/>
              </w:rPr>
              <w:t xml:space="preserve">MEDIUM</w:t>
            </w:r>
          </w:p>
        </w:tc>
        <w:tc>
          <w:tcPr>
            <w:tcW w:type="dxa" w:w="3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Token-bucket rate limiter enforces 100 readings/sec (configurable). Queue cap at 10,000 readings. Readings exceeding limits are rejected with explicit error. Monitoring via /api/scada/status endpoint. Horizontal scaling via multiple SCADA bridge instances behind load balancer.</w:t>
            </w:r>
          </w:p>
        </w:tc>
      </w:tr>
      <w:tr>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R10</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Prompt injection via adversarial queries: Users attempt to override system instructions or extract system prompt</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color w:val="D4760A"/>
                <w:sz w:val="18"/>
                <w:szCs w:val="18"/>
              </w:rPr>
              <w:t xml:space="preserve">HIGH</w:t>
            </w:r>
          </w:p>
        </w:tc>
        <w:tc>
          <w:tcPr>
            <w:tcW w:type="dxa" w:w="36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6-layer guardrail architecture with dedicated injection detection. 28 adversarial test scenarios including 5 prompt injection tests. Counter-instruction detection in audit logger inlet. Guardrail events logged with type and reason for post-incident review.</w:t>
            </w:r>
          </w:p>
        </w:tc>
      </w:tr>
    </w:tbl>
    <w:p>
      <w:r>
        <w:br w:type="page"/>
      </w:r>
    </w:p>
    <w:p>
      <w:pPr>
        <w:pStyle w:val="Heading1"/>
        <w:pBdr>
          <w:bottom w:val="single" w:color="1B3A5C" w:sz="4" w:space="6"/>
        </w:pBdr>
        <w:spacing w:after="160" w:before="360"/>
      </w:pPr>
      <w:r>
        <w:rPr>
          <w:rFonts w:ascii="Arial" w:cs="Arial" w:eastAsia="Arial" w:hAnsi="Arial"/>
          <w:b/>
          <w:bCs/>
          <w:color w:val="1B3A5C"/>
          <w:sz w:val="28"/>
          <w:szCs w:val="28"/>
        </w:rPr>
        <w:t xml:space="preserve">C. Dependency Map</w:t>
      </w:r>
    </w:p>
    <w:p>
      <w:pPr>
        <w:spacing w:after="60" w:before="60"/>
      </w:pPr>
      <w:r>
        <w:rPr>
          <w:rFonts w:ascii="Arial" w:cs="Arial" w:eastAsia="Arial" w:hAnsi="Arial"/>
          <w:i/>
          <w:iCs/>
          <w:sz w:val="22"/>
          <w:szCs w:val="22"/>
        </w:rPr>
        <w:t xml:space="preserve">Closes Gap 9: No dependency map (internal/external)</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400"/>
        <w:gridCol w:w="1800"/>
        <w:gridCol w:w="3260"/>
      </w:tblGrid>
      <w:tr>
        <w:tc>
          <w:tcPr>
            <w:tcW w:type="dxa" w:w="18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COMPONENT</w:t>
            </w:r>
          </w:p>
        </w:tc>
        <w:tc>
          <w:tcPr>
            <w:tcW w:type="dxa" w:w="11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VERSION</w:t>
            </w:r>
          </w:p>
        </w:tc>
        <w:tc>
          <w:tcPr>
            <w:tcW w:type="dxa" w:w="14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LICENSE</w:t>
            </w:r>
          </w:p>
        </w:tc>
        <w:tc>
          <w:tcPr>
            <w:tcW w:type="dxa" w:w="18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SUPPORT MODEL</w:t>
            </w:r>
          </w:p>
        </w:tc>
        <w:tc>
          <w:tcPr>
            <w:tcW w:type="dxa" w:w="32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RISK / NOTES</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Open WebUI</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0.8.1</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MIT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Community (GitHub)</w:t>
            </w:r>
          </w:p>
        </w:tc>
        <w:tc>
          <w:tcPr>
            <w:tcW w:type="dxa" w:w="32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Active development. Stock file patches (15) require maintenance on upgrade. Custom layer (Functions/Filters) is upgrade-safe.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Neo4j (Driver)</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Latest</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Apache 2.0</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Neo4j Inc. (Aura Cloud)</w:t>
            </w:r>
          </w:p>
        </w:tc>
        <w:tc>
          <w:tcPr>
            <w:tcW w:type="dxa" w:w="32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Hosted on Neo4j Aura. Driver auto-updates. Graph data exportable as JSON (226 MB).</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Python</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3.11.14</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PSF</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Python.org LTS</w:t>
            </w:r>
          </w:p>
        </w:tc>
        <w:tc>
          <w:tcPr>
            <w:tcW w:type="dxa" w:w="32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Slim Bookworm base. 3.11 in active support until Oct 2027.</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Node.js</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22 LTS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MIT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Node.js Foundation</w:t>
            </w:r>
          </w:p>
        </w:tc>
        <w:tc>
          <w:tcPr>
            <w:tcW w:type="dxa" w:w="32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Alpine 3.20 base. LTS until Apr 2027.</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FastAPI</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0.128.5</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MIT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Community</w:t>
            </w:r>
          </w:p>
        </w:tc>
        <w:tc>
          <w:tcPr>
            <w:tcW w:type="dxa" w:w="32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Pinned. High-velocity releases; lock version on upgrade.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SQLAlchemy</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2.0.46</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MIT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Mike Bayer / Community</w:t>
            </w:r>
          </w:p>
        </w:tc>
        <w:tc>
          <w:tcPr>
            <w:tcW w:type="dxa" w:w="32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Core ORM for Open WebUI backend. Stable.</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ChromaDB</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1.4.1</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Apache 2.0</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Chroma Inc.</w:t>
            </w:r>
          </w:p>
        </w:tc>
        <w:tc>
          <w:tcPr>
            <w:tcW w:type="dxa" w:w="32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Used by Open WebUI for RAG. RegOS uses Neo4j instead for primary retrieval.</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Langchain</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1.2.9</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MIT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LangChain Inc.</w:t>
            </w:r>
          </w:p>
        </w:tc>
        <w:tc>
          <w:tcPr>
            <w:tcW w:type="dxa" w:w="32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Used by Open WebUI internals. RegOS custom code does not depend on it directly.</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n8n</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Latest</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Fair-code (Sustainable Use)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n8n GmbH</w:t>
            </w:r>
          </w:p>
        </w:tc>
        <w:tc>
          <w:tcPr>
            <w:tcW w:type="dxa" w:w="32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Escalation webhook target. Self-hosted Docker. Fair-code license requires review for commercial distribution.</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Docling / Unstructured</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0.18.31</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Apache 2.0</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IBM / Unstructured.io</w:t>
            </w:r>
          </w:p>
        </w:tc>
        <w:tc>
          <w:tcPr>
            <w:tcW w:type="dxa" w:w="32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PDF extraction for chunking pipeline. Used in APAS Legal PDF Dashboard.</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Docker</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Multi-stage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Apache 2.0</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Docker Inc.</w:t>
            </w:r>
          </w:p>
        </w:tc>
        <w:tc>
          <w:tcPr>
            <w:tcW w:type="dxa" w:w="32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Build: node:22-alpine + python:3.11-slim-bookworm. Compose for orchestration.</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sentence-transformers</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5.2.2</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Apache 2.0</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UKP Lab</w:t>
            </w:r>
          </w:p>
        </w:tc>
        <w:tc>
          <w:tcPr>
            <w:tcW w:type="dxa" w:w="32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Embedding model: all-MiniLM-L6-v2. Local inference, no API dependency.</w:t>
            </w:r>
          </w:p>
        </w:tc>
      </w:tr>
    </w:tbl>
    <w:p>
      <w:r>
        <w:br w:type="page"/>
      </w:r>
    </w:p>
    <w:p>
      <w:pPr>
        <w:pStyle w:val="Heading1"/>
        <w:pBdr>
          <w:bottom w:val="single" w:color="1B3A5C" w:sz="4" w:space="6"/>
        </w:pBdr>
        <w:spacing w:after="160" w:before="360"/>
      </w:pPr>
      <w:r>
        <w:rPr>
          <w:rFonts w:ascii="Arial" w:cs="Arial" w:eastAsia="Arial" w:hAnsi="Arial"/>
          <w:b/>
          <w:bCs/>
          <w:color w:val="1B3A5C"/>
          <w:sz w:val="28"/>
          <w:szCs w:val="28"/>
        </w:rPr>
        <w:t xml:space="preserve">D. Data Model &amp; Schema Specification</w:t>
      </w:r>
    </w:p>
    <w:p>
      <w:pPr>
        <w:spacing w:after="60" w:before="60"/>
      </w:pPr>
      <w:r>
        <w:rPr>
          <w:rFonts w:ascii="Arial" w:cs="Arial" w:eastAsia="Arial" w:hAnsi="Arial"/>
          <w:i/>
          <w:iCs/>
          <w:sz w:val="22"/>
          <w:szCs w:val="22"/>
        </w:rPr>
        <w:t xml:space="preserve">Closes Gap 11: No data model or schema specification</w:t>
      </w:r>
    </w:p>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D8A"/>
          <w:sz w:val="24"/>
          <w:szCs w:val="24"/>
        </w:rPr>
        <w:t xml:space="preserve">D.1 Neo4j Knowledge Graph — FEA v2 Schema</w:t>
      </w:r>
    </w:p>
    <w:p>
      <w:pPr>
        <w:spacing w:after="60" w:before="60"/>
      </w:pPr>
      <w:r>
        <w:rPr>
          <w:rFonts w:ascii="Arial" w:cs="Arial" w:eastAsia="Arial" w:hAnsi="Arial"/>
          <w:sz w:val="22"/>
          <w:szCs w:val="22"/>
        </w:rPr>
        <w:t xml:space="preserve">The Fixed Entity Architecture (FEA) v2 schema organizes the knowledge graph into a 3-layer ontology-document-entity structure. Total graph: 693 nodes, 2,351 relationships. Hosted on Neo4j Aura.</w:t>
      </w:r>
    </w:p>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Node Types &amp;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6860"/>
      </w:tblGrid>
      <w:tr>
        <w:tc>
          <w:tcPr>
            <w:tcW w:type="dxa" w:w="16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NODE LABEL</w:t>
            </w:r>
          </w:p>
        </w:tc>
        <w:tc>
          <w:tcPr>
            <w:tcW w:type="dxa" w:w="9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COUNT</w:t>
            </w:r>
          </w:p>
        </w:tc>
        <w:tc>
          <w:tcPr>
            <w:tcW w:type="dxa" w:w="68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PROPERTIES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Ch24Class</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30</w:t>
            </w:r>
          </w:p>
        </w:tc>
        <w:tc>
          <w:tcPr>
            <w:tcW w:type="dxa" w:w="68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id (string, unique), name (string), description (string), embedding (float[], 128-dim TF-IDF+SVD). Manually curated ontology concepts representing top-level regulatory domains.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Ch24Document</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144</w:t>
            </w:r>
          </w:p>
        </w:tc>
        <w:tc>
          <w:tcPr>
            <w:tcW w:type="dxa" w:w="68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sectionId (string, unique, e.g. '24-42.4'), title (string), text (string, full regulatory text), embedding (float[], 128-dim). Indexed: ch24_doc_fulltext on title+text.</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Ch24Entity</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~500</w:t>
            </w:r>
          </w:p>
        </w:tc>
        <w:tc>
          <w:tcPr>
            <w:tcW w:type="dxa" w:w="68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value (string), type (string: threshold|penalty|role|standard|obligation), definition (string, optional). Extracted via regex from regulatory text. Not LLM-generated.</w:t>
            </w:r>
          </w:p>
        </w:tc>
      </w:tr>
    </w:tbl>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RELATIONSHIP</w:t>
            </w:r>
          </w:p>
        </w:tc>
        <w:tc>
          <w:tcPr>
            <w:tcW w:type="dxa" w:w="16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SOURCE</w:t>
            </w:r>
          </w:p>
        </w:tc>
        <w:tc>
          <w:tcPr>
            <w:tcW w:type="dxa" w:w="16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TARGET</w:t>
            </w:r>
          </w:p>
        </w:tc>
        <w:tc>
          <w:tcPr>
            <w:tcW w:type="dxa" w:w="37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SEMANTICS &amp; CARDINALITY</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RELATES_TO_CONCEPT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Ch24Entity</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Ch24Class</w:t>
            </w:r>
          </w:p>
        </w:tc>
        <w:tc>
          <w:tcPr>
            <w:tcW w:type="dxa" w:w="3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Entity is semantically related to an ontology concept. Many-to-many. Primary signal for concept expansion in retrieval (weight 0.25). Similarity threshold: ≥ 0.3.</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MENTIONS_ENTITY</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Ch24Document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Ch24Entity</w:t>
            </w:r>
          </w:p>
        </w:tc>
        <w:tc>
          <w:tcPr>
            <w:tcW w:type="dxa" w:w="3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Document section mentions a regulatory entity. Many-to-many. Used in Step 2b for entity→document traversal.</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RELATES_TO</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Ch24Class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Ch24Class</w:t>
            </w:r>
          </w:p>
        </w:tc>
        <w:tc>
          <w:tcPr>
            <w:tcW w:type="dxa" w:w="3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Semantic relationship between ontology concepts. Symmetric. Used for concept-to-concept traversal during expansion.</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REFERENCES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Ch24Document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Ch24Document</w:t>
            </w:r>
          </w:p>
        </w:tc>
        <w:tc>
          <w:tcPr>
            <w:tcW w:type="dxa" w:w="3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Cross-section references extracted via regex. Directed. E.g., Sec. 24-4(2) references Sec. 24-42.</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PART_OF</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Ch24Document</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Ch24Document</w:t>
            </w:r>
          </w:p>
        </w:tc>
        <w:tc>
          <w:tcPr>
            <w:tcW w:type="dxa" w:w="37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Subsection hierarchy. Directed (child → parent). E.g., 24-42.6 PART_OF 24-42.</w:t>
            </w:r>
          </w:p>
        </w:tc>
      </w:tr>
    </w:tbl>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Indexes</w:t>
      </w:r>
    </w:p>
    <w:p>
      <w:pPr>
        <w:pStyle w:val="ListParagraph"/>
        <w:numPr>
          <w:ilvl w:val="0"/>
          <w:numId w:val="2"/>
        </w:numPr>
        <w:spacing w:after="30" w:before="30"/>
      </w:pPr>
      <w:r>
        <w:rPr>
          <w:rFonts w:ascii="Arial" w:cs="Arial" w:eastAsia="Arial" w:hAnsi="Arial"/>
          <w:sz w:val="22"/>
          <w:szCs w:val="22"/>
        </w:rPr>
        <w:t xml:space="preserve">ch24_doc_fulltext — Neo4j fulltext index on Ch24Document.title + Ch24Document.text. Used by Step 1 (document search) and Step 3 (direct fallback).</w:t>
      </w:r>
    </w:p>
    <w:p>
      <w:pPr>
        <w:pStyle w:val="ListParagraph"/>
        <w:numPr>
          <w:ilvl w:val="0"/>
          <w:numId w:val="2"/>
        </w:numPr>
        <w:spacing w:after="30" w:before="30"/>
      </w:pPr>
      <w:r>
        <w:rPr>
          <w:rFonts w:ascii="Arial" w:cs="Arial" w:eastAsia="Arial" w:hAnsi="Arial"/>
          <w:sz w:val="22"/>
          <w:szCs w:val="22"/>
        </w:rPr>
        <w:t xml:space="preserve">ch24_doc_vector — Vector index on Ch24Document.embedding (128-dim, cosine similarity). TF-IDF + SVD embeddings, not neural. Deterministic, no external API dependency.</w:t>
      </w:r>
    </w:p>
    <w:p>
      <w:pPr>
        <w:pStyle w:val="ListParagraph"/>
        <w:numPr>
          <w:ilvl w:val="0"/>
          <w:numId w:val="2"/>
        </w:numPr>
        <w:spacing w:after="30" w:before="30"/>
      </w:pPr>
      <w:r>
        <w:rPr>
          <w:rFonts w:ascii="Arial" w:cs="Arial" w:eastAsia="Arial" w:hAnsi="Arial"/>
          <w:sz w:val="22"/>
          <w:szCs w:val="22"/>
        </w:rPr>
        <w:t xml:space="preserve">entity_search — Fulltext index on Ch24Entity.value. Used by Step 2a for entity name matching.</w:t>
      </w:r>
    </w:p>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D8A"/>
          <w:sz w:val="24"/>
          <w:szCs w:val="24"/>
        </w:rPr>
        <w:t xml:space="preserve">D.2 SQLite Databases</w:t>
      </w:r>
    </w:p>
    <w:p>
      <w:pPr>
        <w:spacing w:after="60" w:before="60"/>
      </w:pPr>
      <w:r>
        <w:rPr>
          <w:rFonts w:ascii="Arial" w:cs="Arial" w:eastAsia="Arial" w:hAnsi="Arial"/>
          <w:sz w:val="22"/>
          <w:szCs w:val="22"/>
        </w:rPr>
        <w:t xml:space="preserve">Two SQLite databases store operational data locally on the deployment host.</w:t>
      </w:r>
    </w:p>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audit.db — Audit Trail</w:t>
      </w:r>
    </w:p>
    <w:p>
      <w:pPr>
        <w:spacing w:after="60" w:before="60"/>
      </w:pPr>
      <w:r>
        <w:rPr>
          <w:rFonts w:ascii="Arial" w:cs="Arial" w:eastAsia="Arial" w:hAnsi="Arial"/>
          <w:sz w:val="22"/>
          <w:szCs w:val="22"/>
        </w:rPr>
        <w:t xml:space="preserve">Table: audit_records. 25 columns capturing every query/response interaction. Key columns: id (PK), timestamp, epoch, user_id, user_email, chat_id, query_text, response_text, confidence_score, confidence_signals (JSON), escalation_triggered (bool), guardrail_triggered (bool), guardrail_type, record_hash (SHA-256). Indexes: epoch, user_id, chat_id.</w:t>
      </w:r>
    </w:p>
    <w:p>
      <w:pPr>
        <w:spacing w:after="40" w:before="4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regos_breaches.db — Threshold Evaluations</w:t>
      </w:r>
    </w:p>
    <w:p>
      <w:pPr>
        <w:spacing w:after="60" w:before="60"/>
      </w:pPr>
      <w:r>
        <w:rPr>
          <w:rFonts w:ascii="Arial" w:cs="Arial" w:eastAsia="Arial" w:hAnsi="Arial"/>
          <w:sz w:val="22"/>
          <w:szCs w:val="22"/>
        </w:rPr>
        <w:t xml:space="preserve">Table: threshold_evaluations. 16 columns capturing every compliance determination. Key columns: id (PK, autoincrement), timestamp, parameter, user_value, threshold_value, threshold_direction, status (COMPLIANT|BREACH|BORDERLINE|NO_THRESHOLD_FOUND), margin, pct_of_limit, evidence_hash (SHA-256). Indexes: status, timestamp, parameter.</w:t>
      </w:r>
    </w:p>
    <w:p>
      <w:r>
        <w:br w:type="page"/>
      </w:r>
    </w:p>
    <w:p>
      <w:pPr>
        <w:pStyle w:val="Heading1"/>
        <w:pBdr>
          <w:bottom w:val="single" w:color="1B3A5C" w:sz="4" w:space="6"/>
        </w:pBdr>
        <w:spacing w:after="160" w:before="360"/>
      </w:pPr>
      <w:r>
        <w:rPr>
          <w:rFonts w:ascii="Arial" w:cs="Arial" w:eastAsia="Arial" w:hAnsi="Arial"/>
          <w:b/>
          <w:bCs/>
          <w:color w:val="1B3A5C"/>
          <w:sz w:val="28"/>
          <w:szCs w:val="28"/>
        </w:rPr>
        <w:t xml:space="preserve">E. Support Model &amp; SLA Framework</w:t>
      </w:r>
    </w:p>
    <w:p>
      <w:pPr>
        <w:spacing w:after="60" w:before="60"/>
      </w:pPr>
      <w:r>
        <w:rPr>
          <w:rFonts w:ascii="Arial" w:cs="Arial" w:eastAsia="Arial" w:hAnsi="Arial"/>
          <w:i/>
          <w:iCs/>
          <w:sz w:val="22"/>
          <w:szCs w:val="22"/>
        </w:rPr>
        <w:t xml:space="preserve">Closes Gap 18: No support model or SLA for customer support</w:t>
      </w:r>
    </w:p>
    <w:p>
      <w:pPr>
        <w:spacing w:after="4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support model is designed to align with the current APAS team structure and the planned multi-jurisdiction expansion. It operates on a tiered model where AI-first resolution handles the majority of queries, with human escalation for complex cases.</w:t>
      </w:r>
    </w:p>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D8A"/>
          <w:sz w:val="24"/>
          <w:szCs w:val="24"/>
        </w:rPr>
        <w:t xml:space="preserve">E.1 Support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TIER</w:t>
            </w:r>
          </w:p>
        </w:tc>
        <w:tc>
          <w:tcPr>
            <w:tcW w:type="dxa" w:w="24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SCOPE</w:t>
            </w:r>
          </w:p>
        </w:tc>
        <w:tc>
          <w:tcPr>
            <w:tcW w:type="dxa" w:w="28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RESPONSE TARGET</w:t>
            </w:r>
          </w:p>
        </w:tc>
        <w:tc>
          <w:tcPr>
            <w:tcW w:type="dxa" w:w="25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CHANNEL</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Tier 0: Self-Service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RegOS AI handles regulatory queries directly. Confidence scoring + conditional disclaimers guide user trust.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Immediate (&lt;2 sec query response)</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Chat interface, Sources Panel, Confidence Badges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Tier 1: AI-Escalated</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Queries below confidence threshold (0.65) auto-escalate via n8n webhook with case packet.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Case packet generated within 2 seconds. Human review SLA: 4 business hours.</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n8n escalation queue, email notification to assigned compliance officer</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Tier 2: Product Support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System issues, bugs, deployment problems, API integration support.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Acknowledgment: 1 business day. Resolution target: 3 business days (P1), 5 business days (P2).</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Email (support@apas.ai), GitHub Issues for technical bugs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Tier 3: Custom Engagement</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New jurisdiction onboarding, custom graph builds, integration consulting, training.</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Scoping call within 3 business days. SOW within 10 business days.</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Dedicated account manager, scheduled calls</w:t>
            </w:r>
          </w:p>
        </w:tc>
      </w:tr>
    </w:tbl>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D8A"/>
          <w:sz w:val="24"/>
          <w:szCs w:val="24"/>
        </w:rPr>
        <w:t xml:space="preserve">E.2 Link to Current Operational Plan</w:t>
      </w:r>
    </w:p>
    <w:p>
      <w:pPr>
        <w:spacing w:after="60" w:before="60"/>
      </w:pPr>
      <w:r>
        <w:rPr>
          <w:rFonts w:ascii="Arial" w:cs="Arial" w:eastAsia="Arial" w:hAnsi="Arial"/>
          <w:sz w:val="22"/>
          <w:szCs w:val="22"/>
        </w:rPr>
        <w:t xml:space="preserve">The support model maps to the existing team structure:</w:t>
      </w:r>
    </w:p>
    <w:p>
      <w:pPr>
        <w:pStyle w:val="ListParagraph"/>
        <w:numPr>
          <w:ilvl w:val="0"/>
          <w:numId w:val="2"/>
        </w:numPr>
        <w:spacing w:after="30" w:before="30"/>
      </w:pPr>
      <w:r>
        <w:rPr>
          <w:rFonts w:ascii="Arial" w:cs="Arial" w:eastAsia="Arial" w:hAnsi="Arial"/>
          <w:b/>
          <w:bCs/>
          <w:sz w:val="22"/>
          <w:szCs w:val="22"/>
        </w:rPr>
        <w:t xml:space="preserve">Anmol Pokhriyal</w:t>
      </w:r>
      <w:r>
        <w:rPr>
          <w:rFonts w:ascii="Arial" w:cs="Arial" w:eastAsia="Arial" w:hAnsi="Arial"/>
          <w:sz w:val="22"/>
          <w:szCs w:val="22"/>
        </w:rPr>
        <w:t xml:space="preserve"> — Tier 2/3 technical escalation owner. Neo4j graph maintenance, GraphRAG pipeline issues, SCADA integration support.</w:t>
      </w:r>
    </w:p>
    <w:p>
      <w:pPr>
        <w:pStyle w:val="ListParagraph"/>
        <w:numPr>
          <w:ilvl w:val="0"/>
          <w:numId w:val="2"/>
        </w:numPr>
        <w:spacing w:after="30" w:before="30"/>
      </w:pPr>
      <w:r>
        <w:rPr>
          <w:rFonts w:ascii="Arial" w:cs="Arial" w:eastAsia="Arial" w:hAnsi="Arial"/>
          <w:b/>
          <w:bCs/>
          <w:sz w:val="22"/>
          <w:szCs w:val="22"/>
        </w:rPr>
        <w:t xml:space="preserve">Dhruman Rathod</w:t>
      </w:r>
      <w:r>
        <w:rPr>
          <w:rFonts w:ascii="Arial" w:cs="Arial" w:eastAsia="Arial" w:hAnsi="Arial"/>
          <w:sz w:val="22"/>
          <w:szCs w:val="22"/>
        </w:rPr>
        <w:t xml:space="preserve"> — Tier 2 frontend/UX issues, Open WebUI patch maintenance, deployment pipeline.</w:t>
      </w:r>
    </w:p>
    <w:p>
      <w:pPr>
        <w:pStyle w:val="ListParagraph"/>
        <w:numPr>
          <w:ilvl w:val="0"/>
          <w:numId w:val="2"/>
        </w:numPr>
        <w:spacing w:after="30" w:before="30"/>
      </w:pPr>
      <w:r>
        <w:rPr>
          <w:rFonts w:ascii="Arial" w:cs="Arial" w:eastAsia="Arial" w:hAnsi="Arial"/>
          <w:b/>
          <w:bCs/>
          <w:sz w:val="22"/>
          <w:szCs w:val="22"/>
        </w:rPr>
        <w:t xml:space="preserve">Soham Mukherjee</w:t>
      </w:r>
      <w:r>
        <w:rPr>
          <w:rFonts w:ascii="Arial" w:cs="Arial" w:eastAsia="Arial" w:hAnsi="Arial"/>
          <w:sz w:val="22"/>
          <w:szCs w:val="22"/>
        </w:rPr>
        <w:t xml:space="preserve"> — Tier 1 compliance review queue. Reviews AI-escalated queries, validates confidence scoring calibration.</w:t>
      </w:r>
    </w:p>
    <w:p>
      <w:pPr>
        <w:pStyle w:val="ListParagraph"/>
        <w:numPr>
          <w:ilvl w:val="0"/>
          <w:numId w:val="2"/>
        </w:numPr>
        <w:spacing w:after="30" w:before="30"/>
      </w:pPr>
      <w:r>
        <w:rPr>
          <w:rFonts w:ascii="Arial" w:cs="Arial" w:eastAsia="Arial" w:hAnsi="Arial"/>
          <w:b/>
          <w:bCs/>
          <w:sz w:val="22"/>
          <w:szCs w:val="22"/>
        </w:rPr>
        <w:t xml:space="preserve">Shreya</w:t>
      </w:r>
      <w:r>
        <w:rPr>
          <w:rFonts w:ascii="Arial" w:cs="Arial" w:eastAsia="Arial" w:hAnsi="Arial"/>
          <w:sz w:val="22"/>
          <w:szCs w:val="22"/>
        </w:rPr>
        <w:t xml:space="preserve"> — Tier 3 onboarding coordination, jurisdiction expansion scoping, client-facing documentation.</w:t>
      </w:r>
    </w:p>
    <w:p>
      <w:pPr>
        <w:spacing w:after="60" w:before="60"/>
      </w:pPr>
      <w:r>
        <w:rPr>
          <w:rFonts w:ascii="Arial" w:cs="Arial" w:eastAsia="Arial" w:hAnsi="Arial"/>
          <w:sz w:val="22"/>
          <w:szCs w:val="22"/>
        </w:rPr>
        <w:t xml:space="preserve">As the team scales, Tier 1 capacity increases linearly with compliance officer headcount. Tier 0 scales with infrastructure (no human cost per query).</w:t>
      </w:r>
    </w:p>
    <w:p>
      <w:r>
        <w:br w:type="page"/>
      </w:r>
    </w:p>
    <w:p>
      <w:pPr>
        <w:pStyle w:val="Heading1"/>
        <w:pBdr>
          <w:bottom w:val="single" w:color="1B3A5C" w:sz="4" w:space="6"/>
        </w:pBdr>
        <w:spacing w:after="160" w:before="360"/>
      </w:pPr>
      <w:r>
        <w:rPr>
          <w:rFonts w:ascii="Arial" w:cs="Arial" w:eastAsia="Arial" w:hAnsi="Arial"/>
          <w:b/>
          <w:bCs/>
          <w:color w:val="1B3A5C"/>
          <w:sz w:val="28"/>
          <w:szCs w:val="28"/>
        </w:rPr>
        <w:t xml:space="preserve">F. Data Retention &amp; Archival Policy</w:t>
      </w:r>
    </w:p>
    <w:p>
      <w:pPr>
        <w:spacing w:after="60" w:before="60"/>
      </w:pPr>
      <w:r>
        <w:rPr>
          <w:rFonts w:ascii="Arial" w:cs="Arial" w:eastAsia="Arial" w:hAnsi="Arial"/>
          <w:i/>
          <w:iCs/>
          <w:sz w:val="22"/>
          <w:szCs w:val="22"/>
        </w:rPr>
        <w:t xml:space="preserve">Closes Gap 23: No data retention or archival policy</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DATA CATEGORY</w:t>
            </w:r>
          </w:p>
        </w:tc>
        <w:tc>
          <w:tcPr>
            <w:tcW w:type="dxa" w:w="18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RETENTION</w:t>
            </w:r>
          </w:p>
        </w:tc>
        <w:tc>
          <w:tcPr>
            <w:tcW w:type="dxa" w:w="2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ARCHIVAL METHOD</w:t>
            </w:r>
          </w:p>
        </w:tc>
        <w:tc>
          <w:tcPr>
            <w:tcW w:type="dxa" w:w="31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Audit trail (audit.db)</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7 years active, then archive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Annual compressed SQLite backup to encrypted cold storage. Original database continues to grow.</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Government compliance records retention (per Florida public records law). SHA-256 hashes enable integrity verification of archived records.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Threshold evaluations (regos_breaches.db)</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7 years active, then archive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Same as audit trail. Evidence hashes preserved for post-archival verification via /api/breaches/verify.</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Compliance determinations may be referenced in enforcement actions. 7-year retention aligns with federal statute of limitations for environmental violations.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Knowledge graph (Neo4j)</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Permanent (current version). Prior versions archived on rebuild.</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Graph export: chaptor_24_graph.json (226 MB). Stored in version-controlled repository with timestamp.</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Regulatory text is permanent public record. Graph versioning enables point-in-time reconstruction for auditing which rules applied at what date.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User conversation history</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Per Open WebUI default settings (user-controlled deletion)</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Users may delete their own chat history. Audit records persist independently of chat deletion.</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Users retain control of their conversation data. Audit trail is a separate, independent record not affected by user deletion.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SCADA sensor readings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90 days in active database, then aggregate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After 90 days: raw readings archived, daily/hourly aggregates retained permanently. Breach/borderline events retained permanently.</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Raw sensor data volume grows rapidly (100 readings/sec = 8.6M/day). Aggregation preserves analytical value while managing storage. Individual breach events are always retained.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System logs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30 days active, then rotate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Docker log rotation. Application logs (uvicorn, FastAPI) archived monthly.</w:t>
            </w:r>
          </w:p>
        </w:tc>
        <w:tc>
          <w:tcPr>
            <w:tcW w:type="dxa" w:w="31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Operational diagnostics. Not compliance-relevant. Standard DevOps practice.</w:t>
            </w:r>
          </w:p>
        </w:tc>
      </w:tr>
    </w:tbl>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D8A"/>
          <w:sz w:val="24"/>
          <w:szCs w:val="24"/>
        </w:rPr>
        <w:t xml:space="preserve">F.1 Storage Growth Projections</w:t>
      </w:r>
    </w:p>
    <w:p>
      <w:pPr>
        <w:spacing w:after="60" w:before="60"/>
      </w:pPr>
      <w:r>
        <w:rPr>
          <w:rFonts w:ascii="Arial" w:cs="Arial" w:eastAsia="Arial" w:hAnsi="Arial"/>
          <w:sz w:val="22"/>
          <w:szCs w:val="22"/>
        </w:rPr>
        <w:t xml:space="preserve">Based on current record sizes and projected usage:</w:t>
      </w:r>
    </w:p>
    <w:p>
      <w:pPr>
        <w:pStyle w:val="ListParagraph"/>
        <w:numPr>
          <w:ilvl w:val="0"/>
          <w:numId w:val="2"/>
        </w:numPr>
        <w:spacing w:after="30" w:before="30"/>
      </w:pPr>
      <w:r>
        <w:rPr>
          <w:rFonts w:ascii="Arial" w:cs="Arial" w:eastAsia="Arial" w:hAnsi="Arial"/>
          <w:b/>
          <w:bCs/>
          <w:sz w:val="22"/>
          <w:szCs w:val="22"/>
        </w:rPr>
        <w:t xml:space="preserve">Audit trail: </w:t>
      </w:r>
      <w:r>
        <w:rPr>
          <w:rFonts w:ascii="Arial" w:cs="Arial" w:eastAsia="Arial" w:hAnsi="Arial"/>
          <w:sz w:val="22"/>
          <w:szCs w:val="22"/>
        </w:rPr>
        <w:t xml:space="preserve">~2 KB per interaction. At 1,000 queries/day = ~730 MB/year. At 10,000 queries/day (multi-jurisdiction) = ~7.3 GB/year. SQLite handles up to 281 TB.</w:t>
      </w:r>
    </w:p>
    <w:p>
      <w:pPr>
        <w:pStyle w:val="ListParagraph"/>
        <w:numPr>
          <w:ilvl w:val="0"/>
          <w:numId w:val="2"/>
        </w:numPr>
        <w:spacing w:after="30" w:before="30"/>
      </w:pPr>
      <w:r>
        <w:rPr>
          <w:rFonts w:ascii="Arial" w:cs="Arial" w:eastAsia="Arial" w:hAnsi="Arial"/>
          <w:b/>
          <w:bCs/>
          <w:sz w:val="22"/>
          <w:szCs w:val="22"/>
        </w:rPr>
        <w:t xml:space="preserve">Threshold evaluations: </w:t>
      </w:r>
      <w:r>
        <w:rPr>
          <w:rFonts w:ascii="Arial" w:cs="Arial" w:eastAsia="Arial" w:hAnsi="Arial"/>
          <w:sz w:val="22"/>
          <w:szCs w:val="22"/>
        </w:rPr>
        <w:t xml:space="preserve">~1.5 KB per determination. At 500 evaluations/day = ~274 MB/year.</w:t>
      </w:r>
    </w:p>
    <w:p>
      <w:pPr>
        <w:pStyle w:val="ListParagraph"/>
        <w:numPr>
          <w:ilvl w:val="0"/>
          <w:numId w:val="2"/>
        </w:numPr>
        <w:spacing w:after="30" w:before="30"/>
      </w:pPr>
      <w:r>
        <w:rPr>
          <w:rFonts w:ascii="Arial" w:cs="Arial" w:eastAsia="Arial" w:hAnsi="Arial"/>
          <w:b/>
          <w:bCs/>
          <w:sz w:val="22"/>
          <w:szCs w:val="22"/>
        </w:rPr>
        <w:t xml:space="preserve">SCADA readings (pre-aggregation): </w:t>
      </w:r>
      <w:r>
        <w:rPr>
          <w:rFonts w:ascii="Arial" w:cs="Arial" w:eastAsia="Arial" w:hAnsi="Arial"/>
          <w:sz w:val="22"/>
          <w:szCs w:val="22"/>
        </w:rPr>
        <w:t xml:space="preserve">~0.5 KB per reading. At 100 readings/sec = ~4.3 GB/day = ~1.57 TB/year. This is the primary driver for the 90-day active retention policy.</w:t>
      </w:r>
    </w:p>
    <w:p>
      <w:pPr>
        <w:pStyle w:val="ListParagraph"/>
        <w:numPr>
          <w:ilvl w:val="0"/>
          <w:numId w:val="2"/>
        </w:numPr>
        <w:spacing w:after="30" w:before="30"/>
      </w:pPr>
      <w:r>
        <w:rPr>
          <w:rFonts w:ascii="Arial" w:cs="Arial" w:eastAsia="Arial" w:hAnsi="Arial"/>
          <w:b/>
          <w:bCs/>
          <w:sz w:val="22"/>
          <w:szCs w:val="22"/>
        </w:rPr>
        <w:t xml:space="preserve">Knowledge graph: </w:t>
      </w:r>
      <w:r>
        <w:rPr>
          <w:rFonts w:ascii="Arial" w:cs="Arial" w:eastAsia="Arial" w:hAnsi="Arial"/>
          <w:sz w:val="22"/>
          <w:szCs w:val="22"/>
        </w:rPr>
        <w:t xml:space="preserve">226 MB per jurisdiction. At 10 jurisdictions = ~2.3 GB. Negligible growth rate (only changes on regulatory text amendments).</w:t>
      </w:r>
    </w:p>
    <w:p>
      <w:r>
        <w:br w:type="page"/>
      </w:r>
    </w:p>
    <w:p>
      <w:pPr>
        <w:pStyle w:val="Heading1"/>
        <w:pBdr>
          <w:bottom w:val="single" w:color="1B3A5C" w:sz="4" w:space="6"/>
        </w:pBdr>
        <w:spacing w:after="160" w:before="360"/>
      </w:pPr>
      <w:r>
        <w:rPr>
          <w:rFonts w:ascii="Arial" w:cs="Arial" w:eastAsia="Arial" w:hAnsi="Arial"/>
          <w:b/>
          <w:bCs/>
          <w:color w:val="1B3A5C"/>
          <w:sz w:val="28"/>
          <w:szCs w:val="28"/>
        </w:rPr>
        <w:t xml:space="preserve">G. Privacy Impact Assessment &amp; Data Governance</w:t>
      </w:r>
    </w:p>
    <w:p>
      <w:pPr>
        <w:spacing w:after="60" w:before="60"/>
      </w:pPr>
      <w:r>
        <w:rPr>
          <w:rFonts w:ascii="Arial" w:cs="Arial" w:eastAsia="Arial" w:hAnsi="Arial"/>
          <w:i/>
          <w:iCs/>
          <w:sz w:val="22"/>
          <w:szCs w:val="22"/>
        </w:rPr>
        <w:t xml:space="preserve">Closes Gap 24: No privacy impact assessment or data governance framework</w:t>
      </w:r>
    </w:p>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D8A"/>
          <w:sz w:val="24"/>
          <w:szCs w:val="24"/>
        </w:rPr>
        <w:t xml:space="preserve">G.1 Data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DATA ELEMENT</w:t>
            </w:r>
          </w:p>
        </w:tc>
        <w:tc>
          <w:tcPr>
            <w:tcW w:type="dxa" w:w="26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SOURCE</w:t>
            </w:r>
          </w:p>
        </w:tc>
        <w:tc>
          <w:tcPr>
            <w:tcW w:type="dxa" w:w="220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PURPOSE</w:t>
            </w:r>
          </w:p>
        </w:tc>
        <w:tc>
          <w:tcPr>
            <w:tcW w:type="dxa" w:w="2560"/>
            <w:tcBorders>
              <w:top w:val="single" w:color="8FAEC0" w:sz="1"/>
              <w:left w:val="single" w:color="8FAEC0" w:sz="1"/>
              <w:bottom w:val="single" w:color="8FAEC0" w:sz="1"/>
              <w:right w:val="single" w:color="8FAEC0" w:sz="1"/>
            </w:tcBorders>
            <w:shd w:fill="1B3A5C" w:val="clear"/>
            <w:tcMar>
              <w:top w:type="dxa" w:w="50"/>
              <w:left w:type="dxa" w:w="80"/>
              <w:bottom w:type="dxa" w:w="50"/>
              <w:right w:type="dxa" w:w="80"/>
            </w:tcMar>
          </w:tcPr>
          <w:p>
            <w:pPr>
              <w:spacing w:after="60" w:before="60"/>
              <w:jc w:val="left"/>
            </w:pPr>
            <w:r>
              <w:rPr>
                <w:rFonts w:ascii="Arial" w:cs="Arial" w:eastAsia="Arial" w:hAnsi="Arial"/>
                <w:b/>
                <w:bCs/>
                <w:color w:val="FFFFFF"/>
                <w:sz w:val="18"/>
                <w:szCs w:val="18"/>
              </w:rPr>
              <w:t xml:space="preserve">CLASSIFICATION</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User ID</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Open WebUI authentication</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Audit trail attribution, session management</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PII — Identifier. Stored in audit.db.</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User email</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Open WebUI authentication</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Audit trail attribution, escalation notification</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PII — Contact. Stored in audit.db.</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User name</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Open WebUI profile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Display purposes, audit record attribution</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PII — Identifier. Stored in audit.db.</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Query text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User-submitted chat messages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Retrieval, response generation, audit record</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May contain PII if user includes it in query. Stored in audit.db.</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Response text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LLM-generated response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Audit record, escalation case packet</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Non-PII (regulatory content). Stored in audit.db.</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Confidence signals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System-computed (6 signals)</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Scoring, escalation triggering, calibration</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Non-PII (system metrics). Stored as JSON in audit.db.</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SCADA sensor readings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External SCADA systems via API</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Real-time compliance evaluation</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Non-PII (environmental measurements). Stored in regos_breaches.db.</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IP address</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Not collected</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N/A</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RegOS does not log IP addresses. Open WebUI may log in its own access logs.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b/>
                <w:bCs/>
                <w:sz w:val="18"/>
                <w:szCs w:val="18"/>
              </w:rPr>
              <w:t xml:space="preserve">Browser/device info</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Not collected</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N/A</w:t>
            </w:r>
          </w:p>
        </w:tc>
        <w:tc>
          <w:tcPr>
            <w:tcW w:type="dxa" w:w="25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60" w:before="60"/>
            </w:pPr>
            <w:r>
              <w:rPr>
                <w:rFonts w:ascii="Arial" w:cs="Arial" w:eastAsia="Arial" w:hAnsi="Arial"/>
                <w:sz w:val="18"/>
                <w:szCs w:val="18"/>
              </w:rPr>
              <w:t xml:space="preserve">No fingerprinting or device tracking.</w:t>
            </w:r>
          </w:p>
        </w:tc>
      </w:tr>
    </w:tbl>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D8A"/>
          <w:sz w:val="24"/>
          <w:szCs w:val="24"/>
        </w:rPr>
        <w:t xml:space="preserve">G.2 Privacy-by-Design Principles</w:t>
      </w:r>
    </w:p>
    <w:p>
      <w:pPr>
        <w:pStyle w:val="ListParagraph"/>
        <w:numPr>
          <w:ilvl w:val="0"/>
          <w:numId w:val="2"/>
        </w:numPr>
        <w:spacing w:after="30" w:before="30"/>
      </w:pPr>
      <w:r>
        <w:rPr>
          <w:rFonts w:ascii="Arial" w:cs="Arial" w:eastAsia="Arial" w:hAnsi="Arial"/>
          <w:b/>
          <w:bCs/>
          <w:sz w:val="22"/>
          <w:szCs w:val="22"/>
        </w:rPr>
        <w:t xml:space="preserve">Data minimization: </w:t>
      </w:r>
      <w:r>
        <w:rPr>
          <w:rFonts w:ascii="Arial" w:cs="Arial" w:eastAsia="Arial" w:hAnsi="Arial"/>
          <w:sz w:val="22"/>
          <w:szCs w:val="22"/>
        </w:rPr>
        <w:t xml:space="preserve">RegOS collects only the data necessary for audit trail integrity. No behavioral tracking, no analytics cookies, no third-party pixels. Telemetry is explicitly disabled (SCARF_NO_ANALYTICS=true, DO_NOT_TRACK=true, ANONYMIZED_TELEMETRY=false).</w:t>
      </w:r>
    </w:p>
    <w:p>
      <w:pPr>
        <w:pStyle w:val="ListParagraph"/>
        <w:numPr>
          <w:ilvl w:val="0"/>
          <w:numId w:val="2"/>
        </w:numPr>
        <w:spacing w:after="30" w:before="30"/>
      </w:pPr>
      <w:r>
        <w:rPr>
          <w:rFonts w:ascii="Arial" w:cs="Arial" w:eastAsia="Arial" w:hAnsi="Arial"/>
          <w:b/>
          <w:bCs/>
          <w:sz w:val="22"/>
          <w:szCs w:val="22"/>
        </w:rPr>
        <w:t xml:space="preserve">Purpose limitation: </w:t>
      </w:r>
      <w:r>
        <w:rPr>
          <w:rFonts w:ascii="Arial" w:cs="Arial" w:eastAsia="Arial" w:hAnsi="Arial"/>
          <w:sz w:val="22"/>
          <w:szCs w:val="22"/>
        </w:rPr>
        <w:t xml:space="preserve">PII (user_id, email, name) is collected solely for audit trail attribution and escalation routing. It is never used for marketing, profiling, or shared with third parties.</w:t>
      </w:r>
    </w:p>
    <w:p>
      <w:pPr>
        <w:pStyle w:val="ListParagraph"/>
        <w:numPr>
          <w:ilvl w:val="0"/>
          <w:numId w:val="2"/>
        </w:numPr>
        <w:spacing w:after="30" w:before="30"/>
      </w:pPr>
      <w:r>
        <w:rPr>
          <w:rFonts w:ascii="Arial" w:cs="Arial" w:eastAsia="Arial" w:hAnsi="Arial"/>
          <w:b/>
          <w:bCs/>
          <w:sz w:val="22"/>
          <w:szCs w:val="22"/>
        </w:rPr>
        <w:t xml:space="preserve">Storage limitation: </w:t>
      </w:r>
      <w:r>
        <w:rPr>
          <w:rFonts w:ascii="Arial" w:cs="Arial" w:eastAsia="Arial" w:hAnsi="Arial"/>
          <w:sz w:val="22"/>
          <w:szCs w:val="22"/>
        </w:rPr>
        <w:t xml:space="preserve">See Section F (Data Retention). Active data is retained for 7 years (compliance requirement), then archived. Users can delete their chat history (audit records persist as legally required).</w:t>
      </w:r>
    </w:p>
    <w:p>
      <w:pPr>
        <w:pStyle w:val="ListParagraph"/>
        <w:numPr>
          <w:ilvl w:val="0"/>
          <w:numId w:val="2"/>
        </w:numPr>
        <w:spacing w:after="30" w:before="30"/>
      </w:pPr>
      <w:r>
        <w:rPr>
          <w:rFonts w:ascii="Arial" w:cs="Arial" w:eastAsia="Arial" w:hAnsi="Arial"/>
          <w:b/>
          <w:bCs/>
          <w:sz w:val="22"/>
          <w:szCs w:val="22"/>
        </w:rPr>
        <w:t xml:space="preserve">Integrity &amp; confidentiality: </w:t>
      </w:r>
      <w:r>
        <w:rPr>
          <w:rFonts w:ascii="Arial" w:cs="Arial" w:eastAsia="Arial" w:hAnsi="Arial"/>
          <w:sz w:val="22"/>
          <w:szCs w:val="22"/>
        </w:rPr>
        <w:t xml:space="preserve">SHA-256 hashing ensures audit records have not been tampered with. SQLite databases are stored on the deployment host’s local filesystem, not transmitted externally. Neo4j Aura connection uses encrypted transport (neo4j+s://).</w:t>
      </w:r>
    </w:p>
    <w:p>
      <w:pPr>
        <w:pStyle w:val="ListParagraph"/>
        <w:numPr>
          <w:ilvl w:val="0"/>
          <w:numId w:val="2"/>
        </w:numPr>
        <w:spacing w:after="30" w:before="30"/>
      </w:pPr>
      <w:r>
        <w:rPr>
          <w:rFonts w:ascii="Arial" w:cs="Arial" w:eastAsia="Arial" w:hAnsi="Arial"/>
          <w:b/>
          <w:bCs/>
          <w:sz w:val="22"/>
          <w:szCs w:val="22"/>
        </w:rPr>
        <w:t xml:space="preserve">User rights: </w:t>
      </w:r>
      <w:r>
        <w:rPr>
          <w:rFonts w:ascii="Arial" w:cs="Arial" w:eastAsia="Arial" w:hAnsi="Arial"/>
          <w:sz w:val="22"/>
          <w:szCs w:val="22"/>
        </w:rPr>
        <w:t xml:space="preserve">Users can access their own audit records via the chat interface. Right to deletion applies to chat history but not to audit trail records (which are retained for compliance). Users are informed of this in the onboarding disclaimer.</w:t>
      </w:r>
    </w:p>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D8A"/>
          <w:sz w:val="24"/>
          <w:szCs w:val="24"/>
        </w:rPr>
        <w:t xml:space="preserve">G.3 LLM Data Governance</w:t>
      </w:r>
    </w:p>
    <w:p>
      <w:pPr>
        <w:spacing w:after="60" w:before="60"/>
      </w:pPr>
      <w:r>
        <w:rPr>
          <w:rFonts w:ascii="Arial" w:cs="Arial" w:eastAsia="Arial" w:hAnsi="Arial"/>
          <w:sz w:val="22"/>
          <w:szCs w:val="22"/>
        </w:rPr>
        <w:t xml:space="preserve">User queries are sent to the configured LLM provider for response generation. The following controls apply:</w:t>
      </w:r>
    </w:p>
    <w:p>
      <w:pPr>
        <w:pStyle w:val="ListParagraph"/>
        <w:numPr>
          <w:ilvl w:val="0"/>
          <w:numId w:val="2"/>
        </w:numPr>
        <w:spacing w:after="30" w:before="30"/>
      </w:pPr>
      <w:r>
        <w:rPr>
          <w:rFonts w:ascii="Arial" w:cs="Arial" w:eastAsia="Arial" w:hAnsi="Arial"/>
          <w:sz w:val="22"/>
          <w:szCs w:val="22"/>
        </w:rPr>
        <w:t xml:space="preserve">Queries are sent with the minimum context necessary (retrieved sections + query). Full conversation history is not sent.</w:t>
      </w:r>
    </w:p>
    <w:p>
      <w:pPr>
        <w:pStyle w:val="ListParagraph"/>
        <w:numPr>
          <w:ilvl w:val="0"/>
          <w:numId w:val="2"/>
        </w:numPr>
        <w:spacing w:after="30" w:before="30"/>
      </w:pPr>
      <w:r>
        <w:rPr>
          <w:rFonts w:ascii="Arial" w:cs="Arial" w:eastAsia="Arial" w:hAnsi="Arial"/>
          <w:sz w:val="22"/>
          <w:szCs w:val="22"/>
        </w:rPr>
        <w:t xml:space="preserve">No user PII is included in the LLM context beyond what the user explicitly types in their query.</w:t>
      </w:r>
    </w:p>
    <w:p>
      <w:pPr>
        <w:pStyle w:val="ListParagraph"/>
        <w:numPr>
          <w:ilvl w:val="0"/>
          <w:numId w:val="2"/>
        </w:numPr>
        <w:spacing w:after="30" w:before="30"/>
      </w:pPr>
      <w:r>
        <w:rPr>
          <w:rFonts w:ascii="Arial" w:cs="Arial" w:eastAsia="Arial" w:hAnsi="Arial"/>
          <w:sz w:val="22"/>
          <w:szCs w:val="22"/>
        </w:rPr>
        <w:t xml:space="preserve">LLM provider selection is configurable at deployment. For government deployments, Azure OpenAI Service (with data processing addendum) or locally-hosted Ollama models can be used to keep data on-premises.</w:t>
      </w:r>
    </w:p>
    <w:p>
      <w:pPr>
        <w:pStyle w:val="ListParagraph"/>
        <w:numPr>
          <w:ilvl w:val="0"/>
          <w:numId w:val="2"/>
        </w:numPr>
        <w:spacing w:after="30" w:before="30"/>
      </w:pPr>
      <w:r>
        <w:rPr>
          <w:rFonts w:ascii="Arial" w:cs="Arial" w:eastAsia="Arial" w:hAnsi="Arial"/>
          <w:sz w:val="22"/>
          <w:szCs w:val="22"/>
        </w:rPr>
        <w:t xml:space="preserve">The system prompt instructs the LLM to never disclose user information, system configuration, or audit data in responses.</w:t>
      </w:r>
    </w:p>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D8A"/>
          <w:sz w:val="24"/>
          <w:szCs w:val="24"/>
        </w:rPr>
        <w:t xml:space="preserve">G.4 Regulatory Applicability</w:t>
      </w:r>
    </w:p>
    <w:p>
      <w:pPr>
        <w:spacing w:after="60" w:before="60"/>
      </w:pPr>
      <w:r>
        <w:rPr>
          <w:rFonts w:ascii="Arial" w:cs="Arial" w:eastAsia="Arial" w:hAnsi="Arial"/>
          <w:sz w:val="22"/>
          <w:szCs w:val="22"/>
        </w:rPr>
        <w:t xml:space="preserve">RegOS operates in a B2G (business-to-government) context. Applicable privacy frameworks:</w:t>
      </w:r>
    </w:p>
    <w:p>
      <w:pPr>
        <w:pStyle w:val="ListParagraph"/>
        <w:numPr>
          <w:ilvl w:val="0"/>
          <w:numId w:val="2"/>
        </w:numPr>
        <w:spacing w:after="30" w:before="30"/>
      </w:pPr>
      <w:r>
        <w:rPr>
          <w:rFonts w:ascii="Arial" w:cs="Arial" w:eastAsia="Arial" w:hAnsi="Arial"/>
          <w:b/>
          <w:bCs/>
          <w:sz w:val="22"/>
          <w:szCs w:val="22"/>
        </w:rPr>
        <w:t xml:space="preserve">Florida Public Records Law (Ch. 119): </w:t>
      </w:r>
      <w:r>
        <w:rPr>
          <w:rFonts w:ascii="Arial" w:cs="Arial" w:eastAsia="Arial" w:hAnsi="Arial"/>
          <w:sz w:val="22"/>
          <w:szCs w:val="22"/>
        </w:rPr>
        <w:t xml:space="preserve">Queries to a government-deployed instance may be public records. Audit trail design supports this requirement.</w:t>
      </w:r>
    </w:p>
    <w:p>
      <w:pPr>
        <w:pStyle w:val="ListParagraph"/>
        <w:numPr>
          <w:ilvl w:val="0"/>
          <w:numId w:val="2"/>
        </w:numPr>
        <w:spacing w:after="30" w:before="30"/>
      </w:pPr>
      <w:r>
        <w:rPr>
          <w:rFonts w:ascii="Arial" w:cs="Arial" w:eastAsia="Arial" w:hAnsi="Arial"/>
          <w:b/>
          <w:bCs/>
          <w:sz w:val="22"/>
          <w:szCs w:val="22"/>
        </w:rPr>
        <w:t xml:space="preserve">CCPA/CPRA: </w:t>
      </w:r>
      <w:r>
        <w:rPr>
          <w:rFonts w:ascii="Arial" w:cs="Arial" w:eastAsia="Arial" w:hAnsi="Arial"/>
          <w:sz w:val="22"/>
          <w:szCs w:val="22"/>
        </w:rPr>
        <w:t xml:space="preserve">Applicable if California residents use the system. Right to know and right to delete are supported (with audit trail carve-out for compliance records).</w:t>
      </w:r>
    </w:p>
    <w:p>
      <w:pPr>
        <w:pStyle w:val="ListParagraph"/>
        <w:numPr>
          <w:ilvl w:val="0"/>
          <w:numId w:val="2"/>
        </w:numPr>
        <w:spacing w:after="30" w:before="30"/>
      </w:pPr>
      <w:r>
        <w:rPr>
          <w:rFonts w:ascii="Arial" w:cs="Arial" w:eastAsia="Arial" w:hAnsi="Arial"/>
          <w:b/>
          <w:bCs/>
          <w:sz w:val="22"/>
          <w:szCs w:val="22"/>
        </w:rPr>
        <w:t xml:space="preserve">GDPR: </w:t>
      </w:r>
      <w:r>
        <w:rPr>
          <w:rFonts w:ascii="Arial" w:cs="Arial" w:eastAsia="Arial" w:hAnsi="Arial"/>
          <w:sz w:val="22"/>
          <w:szCs w:val="22"/>
        </w:rPr>
        <w:t xml:space="preserve">Not currently applicable (system serves US municipal jurisdictions). If expanded to EU jurisdictions, data processing agreement and DPO appointment would be required.</w:t>
      </w:r>
    </w:p>
    <w:p>
      <w:pPr>
        <w:pStyle w:val="ListParagraph"/>
        <w:numPr>
          <w:ilvl w:val="0"/>
          <w:numId w:val="2"/>
        </w:numPr>
        <w:spacing w:after="30" w:before="30"/>
      </w:pPr>
      <w:r>
        <w:rPr>
          <w:rFonts w:ascii="Arial" w:cs="Arial" w:eastAsia="Arial" w:hAnsi="Arial"/>
          <w:b/>
          <w:bCs/>
          <w:sz w:val="22"/>
          <w:szCs w:val="22"/>
        </w:rPr>
        <w:t xml:space="preserve">CJIS / FedRAMP: </w:t>
      </w:r>
      <w:r>
        <w:rPr>
          <w:rFonts w:ascii="Arial" w:cs="Arial" w:eastAsia="Arial" w:hAnsi="Arial"/>
          <w:sz w:val="22"/>
          <w:szCs w:val="22"/>
        </w:rPr>
        <w:t xml:space="preserve">Not currently required. If deployed for law enforcement or federal agencies, additional security controls would need to be implemented. See PRD v2 Section 9 (Security &amp; Compliance).</w:t>
      </w:r>
    </w:p>
    <w:p>
      <w:pPr>
        <w:spacing w:after="40" w:before="40"/>
      </w:pPr>
      <w:r>
        <w:rPr>
          <w:rFonts w:ascii="Arial" w:cs="Arial" w:eastAsia="Arial" w:hAnsi="Arial"/>
          <w:sz w:val="22"/>
          <w:szCs w:val="22"/>
        </w:rPr>
        <w:t xml:space="preserve"/>
      </w:r>
    </w:p>
    <w:p>
      <w:pPr>
        <w:spacing w:after="0" w:before="200"/>
        <w:jc w:val="center"/>
      </w:pPr>
      <w:r>
        <w:rPr>
          <w:rFonts w:ascii="Arial" w:cs="Arial" w:eastAsia="Arial" w:hAnsi="Arial"/>
          <w:i/>
          <w:iCs/>
          <w:color w:val="999999"/>
          <w:sz w:val="20"/>
          <w:szCs w:val="20"/>
        </w:rPr>
        <w:t xml:space="preserve">End of PRD v3 Gap Closure Addendum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60"/>
      <w:jc w:val="center"/>
    </w:pPr>
    <w:r>
      <w:rPr>
        <w:rFonts w:ascii="Arial" w:cs="Arial" w:eastAsia="Arial" w:hAnsi="Arial"/>
        <w:color w:val="999999"/>
        <w:sz w:val="16"/>
        <w:szCs w:val="16"/>
      </w:rPr>
      <w:t xml:space="preserve">CONFIDENTIAL — APAS Group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60"/>
      <w:jc w:val="right"/>
    </w:pPr>
    <w:r>
      <w:rPr>
        <w:rFonts w:ascii="Arial" w:cs="Arial" w:eastAsia="Arial" w:hAnsi="Arial"/>
        <w:b/>
        <w:bCs/>
        <w:color w:val="1B3A5C"/>
        <w:sz w:val="16"/>
        <w:szCs w:val="16"/>
      </w:rPr>
      <w:t xml:space="preserve">RegOS PRD v3</w:t>
    </w:r>
    <w:r>
      <w:rPr>
        <w:rFonts w:ascii="Arial" w:cs="Arial" w:eastAsia="Arial" w:hAnsi="Arial"/>
        <w:i/>
        <w:iCs/>
        <w:color w:val="888888"/>
        <w:sz w:val="16"/>
        <w:szCs w:val="16"/>
      </w:rPr>
      <w:t xml:space="preserve"> — Gap Closure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D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2026-03-23T13:07:30.513Z</dcterms:created>
  <dcterms:modified xsi:type="dcterms:W3CDTF">2026-03-23T13:07:30.513Z</dcterms:modified>
</cp:coreProperties>
</file>

<file path=docProps/custom.xml><?xml version="1.0" encoding="utf-8"?>
<Properties xmlns="http://schemas.openxmlformats.org/officeDocument/2006/custom-properties" xmlns:vt="http://schemas.openxmlformats.org/officeDocument/2006/docPropsVTypes"/>
</file>