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4"/>
          <w:szCs w:val="44"/>
        </w:rPr>
        <w:t xml:space="preserve">RegOS Color-Coded Confidence Banners</w:t>
      </w:r>
    </w:p>
    <w:p>
      <w:pPr>
        <w:spacing w:after="100"/>
        <w:jc w:val="center"/>
      </w:pPr>
      <w:r>
        <w:rPr>
          <w:rFonts w:ascii="Arial" w:cs="Arial" w:eastAsia="Arial" w:hAnsi="Arial"/>
          <w:color w:val="555555"/>
          <w:sz w:val="28"/>
          <w:szCs w:val="28"/>
        </w:rPr>
        <w:t xml:space="preserve">Technical Implementation Documentation</w:t>
      </w:r>
    </w:p>
    <w:p>
      <w:pPr>
        <w:spacing w:after="400"/>
        <w:jc w:val="center"/>
      </w:pPr>
      <w:r>
        <w:rPr>
          <w:rFonts w:ascii="Arial" w:cs="Arial" w:eastAsia="Arial" w:hAnsi="Arial"/>
          <w:color w:val="888888"/>
          <w:sz w:val="22"/>
          <w:szCs w:val="22"/>
        </w:rPr>
        <w:t xml:space="preserve">Version 1.5.0 — March 9, 2026 — APAS AI</w:t>
      </w:r>
    </w:p>
    <w:p>
      <w:pPr>
        <w:pStyle w:val="Heading1"/>
      </w:pPr>
      <w:r>
        <w:t xml:space="preserve">1. Executive Summary</w:t>
      </w:r>
    </w:p>
    <w:p>
      <w:pPr>
        <w:spacing w:after="200"/>
      </w:pPr>
      <w:r>
        <w:t xml:space="preserve">This document covers the implementation of color-coded confidence banners in the RegOS GraphRAG filter (v0.19.0). Every RegOS response now ends with a visually distinct confidence indicator that communicates retrieval quality at a glance, replacing the previous plain-text italic disclaimer.</w:t>
      </w:r>
    </w:p>
    <w:p>
      <w:pPr>
        <w:spacing w:after="200"/>
      </w:pPr>
      <w:r>
        <w:t xml:space="preserve">The banner uses colored circle emoji and bold markdown labels inside a blockquote, ensuring universal rendering across all Open WebUI versions and themes.</w:t>
      </w:r>
    </w:p>
    <w:p>
      <w:pPr>
        <w:pStyle w:val="Heading1"/>
      </w:pPr>
      <w:r>
        <w:t xml:space="preserve">2. Confidence Bands</w:t>
      </w:r>
    </w:p>
    <w:p>
      <w:pPr>
        <w:spacing w:after="200"/>
      </w:pPr>
      <w:r>
        <w:t xml:space="preserve">The confidence scoring system classifies each response into one of three bands based on the composite retrieval score and the number of cited sections retrieved from the Neo4j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Message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 CONFIDENCE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 max sections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Well-supported by N cited sections. Review for your specific facility context.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MODERATE CONFIDENCE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45–69% or partial</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Partially supported. Cross-check critical requirements against the full regulation 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LOW CONFIDENCE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&lt;45% or ≤1 section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context retrieved. Verify against full Chapter 24 text.</w:t>
            </w:r>
          </w:p>
        </w:tc>
      </w:tr>
    </w:tbl>
    <w:p>
      <w:pPr>
        <w:pStyle w:val="Heading1"/>
      </w:pPr>
      <w:r>
        <w:t xml:space="preserve">3. Implementation Approach</w:t>
      </w:r>
    </w:p>
    <w:p>
      <w:pPr>
        <w:pStyle w:val="Heading2"/>
      </w:pPr>
      <w:r>
        <w:t xml:space="preserve">3.1 Why Markdown (Not HTML)</w:t>
      </w:r>
    </w:p>
    <w:p>
      <w:pPr>
        <w:spacing w:after="200"/>
      </w:pPr>
      <w:r>
        <w:t xml:space="preserve">The initial implementation used inline HTML with </w:t>
      </w:r>
      <w:r>
        <w:rPr>
          <w:b/>
          <w:bCs/>
        </w:rPr>
        <w:t xml:space="preserve">&lt;div&gt;</w:t>
      </w:r>
      <w:r>
        <w:t xml:space="preserve"> and </w:t>
      </w:r>
      <w:r>
        <w:rPr>
          <w:b/>
          <w:bCs/>
        </w:rPr>
        <w:t xml:space="preserve">&lt;span style="..."&gt;</w:t>
      </w:r>
      <w:r>
        <w:t xml:space="preserve"> tags for colored borders and text. However, Open WebUI's markdown sanitizer (DOMPurify) strips inline styles and block-level HTML tags, causing the banner to render as raw HTML text. The final implementation uses pure markdown (blockquote + emoji + bold) which renders correctly across all Open WebUI versions.</w:t>
      </w:r>
    </w:p>
    <w:p>
      <w:pPr>
        <w:pStyle w:val="Heading2"/>
      </w:pPr>
      <w:r>
        <w:t xml:space="preserve">3.2 Banner Format</w:t>
      </w:r>
    </w:p>
    <w:p>
      <w:pPr>
        <w:spacing w:after="100"/>
      </w:pPr>
      <w:r>
        <w:t xml:space="preserve">Each response ends with a horizontal rule followed by a markdown blockquote:</w:t>
      </w:r>
    </w:p>
    <w:p>
      <w:pPr>
        <w:spacing w:after="100"/>
        <w:ind w:left="720"/>
      </w:pPr>
      <w:r>
        <w:rPr>
          <w:rFonts w:ascii="Courier New" w:cs="Courier New" w:eastAsia="Courier New" w:hAnsi="Courier New"/>
          <w:sz w:val="20"/>
          <w:szCs w:val="20"/>
        </w:rPr>
        <w:t xml:space="preserve">---</w:t>
      </w:r>
    </w:p>
    <w:p>
      <w:pPr>
        <w:spacing w:after="200"/>
        <w:ind w:left="720"/>
      </w:pPr>
      <w:r>
        <w:rPr>
          <w:rFonts w:ascii="Courier New" w:cs="Courier New" w:eastAsia="Courier New" w:hAnsi="Courier New"/>
          <w:sz w:val="20"/>
          <w:szCs w:val="20"/>
        </w:rPr>
        <w:t xml:space="preserve">&gt; 🟢 HIGH CONFIDENCE (80%) — RegOS regulatory analysis — Miami-Dade Chapter 24</w:t>
      </w:r>
    </w:p>
    <w:p>
      <w:pPr>
        <w:spacing w:after="200"/>
        <w:ind w:left="720"/>
      </w:pPr>
      <w:r>
        <w:rPr>
          <w:rFonts w:ascii="Courier New" w:cs="Courier New" w:eastAsia="Courier New" w:hAnsi="Courier New"/>
          <w:sz w:val="20"/>
          <w:szCs w:val="20"/>
        </w:rPr>
        <w:t xml:space="preserve">&gt; This response is well-supported by 5 cited regulatory sections (Sections [G1]–[G5]).</w:t>
      </w:r>
    </w:p>
    <w:p>
      <w:pPr>
        <w:pStyle w:val="Heading2"/>
      </w:pPr>
      <w:r>
        <w:t xml:space="preserve">3.3 Code Location</w:t>
      </w:r>
    </w:p>
    <w:p>
      <w:pPr>
        <w:spacing w:after="200"/>
      </w:pPr>
      <w:r>
        <w:t xml:space="preserve">The banner is generated by the </w:t>
      </w:r>
      <w:r>
        <w:rPr>
          <w:rFonts w:ascii="Courier New" w:cs="Courier New" w:eastAsia="Courier New" w:hAnsi="Courier New"/>
          <w:b/>
          <w:bCs/>
        </w:rPr>
        <w:t xml:space="preserve">_build_disclaimer()</w:t>
      </w:r>
      <w:r>
        <w:t xml:space="preserve"> method in </w:t>
      </w:r>
      <w:r>
        <w:rPr>
          <w:b/>
          <w:bCs/>
        </w:rPr>
        <w:t xml:space="preserve">graphrag_filter.py</w:t>
      </w:r>
      <w:r>
        <w:t xml:space="preserve"> (line ~806). The outlet function at line ~2502 calls this method when confidence data exists and the </w:t>
      </w:r>
      <w:r>
        <w:rPr>
          <w:rFonts w:ascii="Courier New" w:cs="Courier New" w:eastAsia="Courier New" w:hAnsi="Courier New"/>
          <w:b/>
          <w:bCs/>
        </w:rPr>
        <w:t xml:space="preserve">show_confidence</w:t>
      </w:r>
      <w:r>
        <w:t xml:space="preserve"> valve is enabled.</w:t>
      </w:r>
    </w:p>
    <w:p>
      <w:pPr>
        <w:pStyle w:val="Heading1"/>
      </w:pPr>
      <w:r>
        <w:t xml:space="preserve">4.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graphrag_filter.py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_build_disclaimer() HTML with markdown blockquote + emoji. Updated show_confidence valve description. Removed enterprise_format gate from outlet. Added outlet logging.</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b/>
                <w:bCs/>
                <w:sz w:val="20"/>
                <w:szCs w:val="20"/>
              </w:rPr>
              <w:t xml:space="preserve">CHANGELOG.md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Added v1.5.0 and v1.4.0 entries covering confidence banners, guest access, and onboarding disclaimer.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README.md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graphrag_filter description, bumped version to v1.5.0.</w:t>
            </w:r>
          </w:p>
        </w:tc>
      </w:tr>
    </w:tbl>
    <w:p>
      <w:r>
        <w:br w:type="page"/>
      </w:r>
    </w:p>
    <w:p>
      <w:pPr>
        <w:pStyle w:val="Heading1"/>
      </w:pPr>
      <w:r>
        <w:t xml:space="preserve">5. Valve Configuration</w:t>
      </w:r>
    </w:p>
    <w:p>
      <w:pPr>
        <w:spacing w:after="200"/>
      </w:pPr>
      <w:r>
        <w:t xml:space="preserve">The confidence banner is controlled by the following valves in Admin → Functions → graphrag_filter: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Valve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show_confidence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Show/hide the color-coded confidence banner. When off, confidence data is still calculated and stored for audit but not displayed to the user.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b/>
                <w:bCs/>
                <w:sz w:val="20"/>
                <w:szCs w:val="20"/>
              </w:rPr>
              <w:t xml:space="preserve">enterprise_format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true</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Controls the structured response format (Summary, Regulatory Analysis, Applicable Sections, etc.). No longer gates the confidence banner.</w:t>
            </w:r>
          </w:p>
        </w:tc>
      </w:tr>
    </w:tbl>
    <w:p>
      <w:pPr>
        <w:pStyle w:val="Heading1"/>
      </w:pPr>
      <w:r>
        <w:t xml:space="preserve">6. Critical Prerequisite: Neo4j Driver</w:t>
      </w:r>
    </w:p>
    <w:p>
      <w:pPr>
        <w:spacing w:after="200"/>
      </w:pPr>
      <w:r>
        <w:t xml:space="preserve">The confidence banner requires the </w:t>
      </w:r>
      <w:r>
        <w:rPr>
          <w:b/>
          <w:bCs/>
        </w:rPr>
        <w:t xml:space="preserve">neo4j</w:t>
      </w:r>
      <w:r>
        <w:t xml:space="preserve"> Python driver to be installed inside the Docker container. Without it, the graph retrieval pipeline throws a </w:t>
      </w:r>
      <w:r>
        <w:rPr>
          <w:rFonts w:ascii="Courier New" w:cs="Courier New" w:eastAsia="Courier New" w:hAnsi="Courier New"/>
          <w:b/>
          <w:bCs/>
        </w:rPr>
        <w:t xml:space="preserve">ModuleNotFoundError</w:t>
      </w:r>
      <w:r>
        <w:t xml:space="preserve">, the inlet's exception handler nulls out confidence data, and the outlet has nothing to display.</w:t>
      </w:r>
    </w:p>
    <w:p>
      <w:pPr>
        <w:spacing w:after="100"/>
      </w:pPr>
      <w:r>
        <w:rPr>
          <w:b/>
          <w:bCs/>
        </w:rPr>
        <w:t xml:space="preserve">Symptom:</w:t>
      </w:r>
      <w:r>
        <w:t xml:space="preserve"> Enterprise-formatted response with citation references ([G1]–[G5]) but no confidence banner at the bottom. The citations are hallucinated by the LLM since no real graph data was retrieved.</w:t>
      </w:r>
    </w:p>
    <w:p>
      <w:pPr>
        <w:spacing w:after="100"/>
      </w:pPr>
      <w:r>
        <w:rPr>
          <w:b/>
          <w:bCs/>
        </w:rPr>
        <w:t xml:space="preserve">Fix:</w:t>
      </w:r>
    </w:p>
    <w:p>
      <w:pPr>
        <w:spacing w:after="200"/>
        <w:ind w:left="720"/>
      </w:pPr>
      <w:r>
        <w:rPr>
          <w:rFonts w:ascii="Courier New" w:cs="Courier New" w:eastAsia="Courier New" w:hAnsi="Courier New"/>
          <w:sz w:val="20"/>
          <w:szCs w:val="20"/>
        </w:rPr>
        <w:t xml:space="preserve">docker exec open-webui pip install neo4j</w:t>
      </w:r>
    </w:p>
    <w:p>
      <w:pPr>
        <w:spacing w:after="200"/>
      </w:pPr>
      <w:r>
        <w:t xml:space="preserve">The installer's Step 02 (</w:t>
      </w:r>
      <w:r>
        <w:rPr>
          <w:rFonts w:ascii="Courier New" w:cs="Courier New" w:eastAsia="Courier New" w:hAnsi="Courier New"/>
        </w:rPr>
        <w:t xml:space="preserve">02-install-deps.sh</w:t>
      </w:r>
      <w:r>
        <w:t xml:space="preserve">) handles this automatically during deployment.</w:t>
      </w:r>
    </w:p>
    <w:p>
      <w:pPr>
        <w:pStyle w:val="Heading1"/>
      </w:pPr>
      <w:r>
        <w:t xml:space="preserve">7. Testing Checklist</w:t>
      </w:r>
    </w:p>
    <w:p>
      <w:pPr>
        <w:pStyle w:val="ListParagraph"/>
        <w:numPr>
          <w:ilvl w:val="0"/>
          <w:numId w:val="2"/>
        </w:numPr>
      </w:pPr>
      <w:r>
        <w:t xml:space="preserve">Verify neo4j module is installed: </w:t>
      </w:r>
      <w:r>
        <w:rPr>
          <w:rFonts w:ascii="Courier New" w:cs="Courier New" w:eastAsia="Courier New" w:hAnsi="Courier New"/>
          <w:sz w:val="18"/>
          <w:szCs w:val="18"/>
        </w:rPr>
        <w:t xml:space="preserve">docker exec open-webui python3 -c "import neo4j; print(neo4j.__version__)"</w:t>
      </w:r>
    </w:p>
    <w:p>
      <w:pPr>
        <w:pStyle w:val="ListParagraph"/>
        <w:numPr>
          <w:ilvl w:val="0"/>
          <w:numId w:val="2"/>
        </w:numPr>
      </w:pPr>
      <w:r>
        <w:t xml:space="preserve">Open Admin → Functions → graphrag_filter → confirm show_confidence = true</w:t>
      </w:r>
    </w:p>
    <w:p>
      <w:pPr>
        <w:pStyle w:val="ListParagraph"/>
        <w:numPr>
          <w:ilvl w:val="0"/>
          <w:numId w:val="2"/>
        </w:numPr>
      </w:pPr>
      <w:r>
        <w:t xml:space="preserve">Ask a regulatory question: "What are the BOD limits for wastewater discharge?"</w:t>
      </w:r>
    </w:p>
    <w:p>
      <w:pPr>
        <w:pStyle w:val="ListParagraph"/>
        <w:numPr>
          <w:ilvl w:val="0"/>
          <w:numId w:val="2"/>
        </w:numPr>
      </w:pPr>
      <w:r>
        <w:t xml:space="preserve">Verify response ends with colored blockquote banner (🟢/🟠/🔴)</w:t>
      </w:r>
    </w:p>
    <w:p>
      <w:pPr>
        <w:pStyle w:val="ListParagraph"/>
        <w:numPr>
          <w:ilvl w:val="0"/>
          <w:numId w:val="2"/>
        </w:numPr>
      </w:pPr>
      <w:r>
        <w:t xml:space="preserve">Check Docker logs: </w:t>
      </w:r>
      <w:r>
        <w:rPr>
          <w:rFonts w:ascii="Courier New" w:cs="Courier New" w:eastAsia="Courier New" w:hAnsi="Courier New"/>
          <w:sz w:val="18"/>
          <w:szCs w:val="18"/>
        </w:rPr>
        <w:t xml:space="preserve">docker logs open-webui --tail 50 | grep OUTLET</w:t>
      </w:r>
    </w:p>
    <w:p>
      <w:pPr>
        <w:pStyle w:val="ListParagraph"/>
        <w:numPr>
          <w:ilvl w:val="0"/>
          <w:numId w:val="2"/>
        </w:numPr>
      </w:pPr>
      <w:r>
        <w:t xml:space="preserve">Toggle show_confidence = false → verify banner disappears but response still works</w:t>
      </w:r>
    </w:p>
    <w:p>
      <w:pPr>
        <w:pStyle w:val="ListParagraph"/>
        <w:numPr>
          <w:ilvl w:val="0"/>
          <w:numId w:val="2"/>
        </w:numPr>
      </w:pPr>
      <w:r>
        <w:t xml:space="preserve">Ask a vague/off-topic question → verify LOW CONFIDENCE (🔴) or guardrail fires</w:t>
      </w:r>
    </w:p>
    <w:p>
      <w:pPr>
        <w:pStyle w:val="Heading1"/>
      </w:pPr>
      <w:r>
        <w:t xml:space="preserve">8.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Alternatives Considered</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 emoji circles for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Unicode block char (■), inline HTML spans, CSS classes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render natively in all markdown renderers. HTML/CSS stripped by DOMPurify. Unicode block char has no color.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Use markdown blockquote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HTML div with border-left, custom CSS component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Blockquote is standard markdown, renders in every Open WebUI version. HTML div was stripped by sanitizer.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Decouple from enterprise_format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gated behind enterprise_format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should be shown regardless of response format. Users may want structured responses without banners or vice versa.</w:t>
            </w:r>
          </w:p>
        </w:tc>
      </w:tr>
    </w:tbl>
    <w:p>
      <w:pPr>
        <w:pStyle w:val="Heading1"/>
      </w:pPr>
      <w:r>
        <w:t xml:space="preserve">9. Future: Multi-Signal Confidence Scoring</w:t>
      </w:r>
    </w:p>
    <w:p>
      <w:pPr>
        <w:spacing w:after="200"/>
      </w:pPr>
      <w:r>
        <w:t xml:space="preserve">A CVT recommendation document has been analyzed proposing a 5-signal composite confidence architecture. This work is currently </w:t>
      </w:r>
      <w:r>
        <w:rPr>
          <w:b/>
          <w:bCs/>
        </w:rPr>
        <w:t xml:space="preserve">on hold</w:t>
      </w:r>
      <w:r>
        <w:t xml:space="preserve"> but planned for a future release. The proposed signals are: retrieval similarity (30%), faithfulness/RAGAS (35%), hallucination detection/HHEM (20%), token confidence (8%), and context relevance (7%).</w:t>
      </w:r>
    </w:p>
    <w:p>
      <w:pPr>
        <w:spacing w:after="200"/>
      </w:pPr>
      <w:r>
        <w:t xml:space="preserve">The current single-signal scoring (based on entity match strength, graph coverage, and section count) will be replaced by this composite when implemented. The visual banner format established in this release will carry forward unchanged.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APAS Group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RegOS Color-Coded Confidence Banners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2026-03-09T15:27:08.283Z</dcterms:created>
  <dcterms:modified xsi:type="dcterms:W3CDTF">2026-03-09T15:27:08.283Z</dcterms:modified>
</cp:coreProperties>
</file>

<file path=docProps/custom.xml><?xml version="1.0" encoding="utf-8"?>
<Properties xmlns="http://schemas.openxmlformats.org/officeDocument/2006/custom-properties" xmlns:vt="http://schemas.openxmlformats.org/officeDocument/2006/docPropsVTypes"/>
</file>