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left"/>
      </w:pPr>
      <w:r>
        <w:rPr>
          <w:rFonts w:ascii="Arial" w:cs="Arial" w:eastAsia="Arial" w:hAnsi="Arial"/>
          <w:b/>
          <w:bCs/>
          <w:color w:val="1B4F72"/>
          <w:sz w:val="44"/>
          <w:szCs w:val="44"/>
        </w:rPr>
        <w:t xml:space="preserve">RegOS Enterprise Formatting</w:t>
      </w:r>
    </w:p>
    <w:p>
      <w:pPr>
        <w:spacing w:after="200"/>
        <w:jc w:val="left"/>
      </w:pPr>
      <w:r>
        <w:rPr>
          <w:rFonts w:ascii="Arial" w:cs="Arial" w:eastAsia="Arial" w:hAnsi="Arial"/>
          <w:color w:val="7F8C8D"/>
          <w:sz w:val="28"/>
          <w:szCs w:val="28"/>
        </w:rPr>
        <w:t xml:space="preserve">Progress Report — Feature 4 (v0.7.0 → v0.8.1)</w:t>
      </w:r>
    </w:p>
    <w:p>
      <w:pPr>
        <w:spacing w:after="100"/>
      </w:pPr>
      <w:r>
        <w:rPr>
          <w:rFonts w:ascii="Arial" w:cs="Arial" w:eastAsia="Arial" w:hAnsi="Arial"/>
          <w:color w:val="7F8C8D"/>
          <w:sz w:val="20"/>
          <w:szCs w:val="20"/>
        </w:rPr>
        <w:t xml:space="preserve">Date: </w:t>
      </w:r>
      <w:r>
        <w:rPr>
          <w:rFonts w:ascii="Arial" w:cs="Arial" w:eastAsia="Arial" w:hAnsi="Arial"/>
          <w:b/>
          <w:bCs/>
          <w:color w:val="333333"/>
          <w:sz w:val="20"/>
          <w:szCs w:val="20"/>
        </w:rPr>
        <w:t xml:space="preserve">February 23, 2026</w:t>
      </w:r>
      <w:r>
        <w:rPr>
          <w:rFonts w:ascii="Arial" w:cs="Arial" w:eastAsia="Arial" w:hAnsi="Arial"/>
          <w:color w:val="7F8C8D"/>
          <w:sz w:val="20"/>
          <w:szCs w:val="20"/>
        </w:rPr>
        <w:t xml:space="preserve">     Prepared by: </w:t>
      </w:r>
      <w:r>
        <w:rPr>
          <w:rFonts w:ascii="Arial" w:cs="Arial" w:eastAsia="Arial" w:hAnsi="Arial"/>
          <w:b/>
          <w:bCs/>
          <w:color w:val="333333"/>
          <w:sz w:val="20"/>
          <w:szCs w:val="20"/>
        </w:rPr>
        <w:t xml:space="preserve">APAS AI Engineering</w:t>
      </w:r>
    </w:p>
    <w:p>
      <w:pPr>
        <w:pBdr>
          <w:bottom w:val="single" w:color="D6EAF8" w:sz="6" w:space="1"/>
        </w:pBdr>
        <w:spacing w:before="200" w:after="200"/>
      </w:pPr>
    </w:p>
    <w:p>
      <w:pPr>
        <w:pStyle w:val="Heading1"/>
        <w:spacing w:before="360" w:after="200"/>
      </w:pPr>
      <w:r>
        <w:rPr>
          <w:rFonts w:ascii="Arial" w:cs="Arial" w:eastAsia="Arial" w:hAnsi="Arial"/>
          <w:b/>
          <w:bCs/>
          <w:color w:val="1B4F72"/>
          <w:sz w:val="28"/>
          <w:szCs w:val="28"/>
        </w:rPr>
        <w:t xml:space="preserve">Executive Summary</w:t>
      </w:r>
    </w:p>
    <w:p>
      <w:pPr>
        <w:spacing w:after="120"/>
      </w:pPr>
      <w:r>
        <w:rPr>
          <w:rFonts w:ascii="Arial" w:cs="Arial" w:eastAsia="Arial" w:hAnsi="Arial"/>
          <w:b w:val="false"/>
          <w:bCs w:val="false"/>
          <w:i w:val="false"/>
          <w:iCs w:val="false"/>
          <w:color w:val="333333"/>
          <w:sz w:val="20"/>
          <w:szCs w:val="20"/>
        </w:rPr>
        <w:t xml:space="preserve">Feature 4 (Enterprise Output Formatting) is complete. It spans three sub-features across versions 0.7.0 through 0.8.1, touching the GraphRAG filter, audit logger, system prompt, and the Open WebUI Sources Panel. The work included a major architecture decision (splitting responsibilities between the system prompt and the filter), a 7-attempt integration saga for the Sources Panel, a full disclaimer strategy overhaul backed by industry research, and a confidence data transport fix.</w:t>
      </w:r>
    </w:p>
    <w:p>
      <w:pPr>
        <w:spacing w:after="120"/>
      </w:pPr>
      <w:r>
        <w:rPr>
          <w:rFonts w:ascii="Arial" w:cs="Arial" w:eastAsia="Arial" w:hAnsi="Arial"/>
          <w:b w:val="false"/>
          <w:bCs w:val="false"/>
          <w:i w:val="false"/>
          <w:iCs w:val="false"/>
          <w:color w:val="333333"/>
          <w:sz w:val="20"/>
          <w:szCs w:val="20"/>
        </w:rPr>
        <w:t xml:space="preserve">Six features are now done. Four remain pending (Escalation, Thresholds, Dashboard, Guardrails).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900"/>
        <w:gridCol w:w="47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Feature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Audit Logging</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0.2.1</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SQLite-based, message dict confidence bridge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GraphRAG Pipeline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0.8.1</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4-step retrieval, Neo4j Aura, KB compounding</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Confidence Scoring</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0.6.0+</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6-signal weighted composite (0.0–1.0)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Enterprise Output Formatting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0.7.0+</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System prompt + filter architecture split</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4b</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Sources Panel Integration</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0.8.0</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GraphRAG sources in Sources button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Conditional Disclaimers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0.8.1</w:t>
            </w:r>
          </w:p>
        </w:tc>
        <w:tc>
          <w:tcPr>
            <w:tcW w:type="dxa" w:w="9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DONE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3-state confidence-adaptive footer</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Escalation Workflow</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PENDING</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Threshold Evaluation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PENDING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Dashboard</w:t>
            </w:r>
          </w:p>
        </w:tc>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PENDING</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Refusal &amp; Guardrails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PENDING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bl>
    <w:p>
      <w:r>
        <w:br w:type="page"/>
      </w:r>
    </w:p>
    <w:p>
      <w:pPr>
        <w:pStyle w:val="Heading1"/>
        <w:spacing w:before="360" w:after="200"/>
      </w:pPr>
      <w:r>
        <w:rPr>
          <w:rFonts w:ascii="Arial" w:cs="Arial" w:eastAsia="Arial" w:hAnsi="Arial"/>
          <w:b/>
          <w:bCs/>
          <w:color w:val="1B4F72"/>
          <w:sz w:val="28"/>
          <w:szCs w:val="28"/>
        </w:rPr>
        <w:t xml:space="preserve">What We Built</w:t>
      </w:r>
    </w:p>
    <w:p>
      <w:pPr>
        <w:pStyle w:val="Heading2"/>
        <w:spacing w:before="280" w:after="160"/>
      </w:pPr>
      <w:r>
        <w:rPr>
          <w:rFonts w:ascii="Arial" w:cs="Arial" w:eastAsia="Arial" w:hAnsi="Arial"/>
          <w:b/>
          <w:bCs/>
          <w:color w:val="2E86C1"/>
          <w:sz w:val="24"/>
          <w:szCs w:val="24"/>
        </w:rPr>
        <w:t xml:space="preserve">4a. Enterprise Output Formatting (v0.7.0)</w:t>
      </w:r>
    </w:p>
    <w:p>
      <w:pPr>
        <w:spacing w:after="120"/>
      </w:pPr>
      <w:r>
        <w:rPr>
          <w:rFonts w:ascii="Arial" w:cs="Arial" w:eastAsia="Arial" w:hAnsi="Arial"/>
          <w:b w:val="false"/>
          <w:bCs w:val="false"/>
          <w:i w:val="false"/>
          <w:iCs w:val="false"/>
          <w:color w:val="333333"/>
          <w:sz w:val="20"/>
          <w:szCs w:val="20"/>
        </w:rPr>
        <w:t xml:space="preserve">The core formatting system structures every RegOS response into five mandatory sections, informed by a practicing consultant interview (the RegOS Expert-Mode Workflow Spec). The formatting enforces four design principles:</w:t>
      </w:r>
    </w:p>
    <w:p>
      <w:pPr>
        <w:pStyle w:val="ListParagraph"/>
        <w:numPr>
          <w:ilvl w:val="0"/>
          <w:numId w:val="2"/>
        </w:numPr>
        <w:spacing w:after="80"/>
      </w:pPr>
      <w:r>
        <w:rPr>
          <w:rFonts w:ascii="Arial" w:cs="Arial" w:eastAsia="Arial" w:hAnsi="Arial"/>
          <w:b w:val="false"/>
          <w:bCs w:val="false"/>
          <w:color w:val="333333"/>
          <w:sz w:val="20"/>
          <w:szCs w:val="20"/>
        </w:rPr>
        <w:t xml:space="preserve">Source of truth discipline — every requirement must cite the regulatory code, or say "I don’t have enough information"</w:t>
      </w:r>
    </w:p>
    <w:p>
      <w:pPr>
        <w:pStyle w:val="ListParagraph"/>
        <w:numPr>
          <w:ilvl w:val="0"/>
          <w:numId w:val="2"/>
        </w:numPr>
        <w:spacing w:after="80"/>
      </w:pPr>
      <w:r>
        <w:rPr>
          <w:rFonts w:ascii="Arial" w:cs="Arial" w:eastAsia="Arial" w:hAnsi="Arial"/>
          <w:b w:val="false"/>
          <w:bCs w:val="false"/>
          <w:color w:val="333333"/>
          <w:sz w:val="20"/>
          <w:szCs w:val="20"/>
        </w:rPr>
        <w:t xml:space="preserve">Actionable guidance — not just "here’s the law" but "here’s what you need to do"</w:t>
      </w:r>
    </w:p>
    <w:p>
      <w:pPr>
        <w:pStyle w:val="ListParagraph"/>
        <w:numPr>
          <w:ilvl w:val="0"/>
          <w:numId w:val="2"/>
        </w:numPr>
        <w:spacing w:after="80"/>
      </w:pPr>
      <w:r>
        <w:rPr>
          <w:rFonts w:ascii="Arial" w:cs="Arial" w:eastAsia="Arial" w:hAnsi="Arial"/>
          <w:b w:val="false"/>
          <w:bCs w:val="false"/>
          <w:color w:val="333333"/>
          <w:sz w:val="20"/>
          <w:szCs w:val="20"/>
        </w:rPr>
        <w:t xml:space="preserve">Gap awareness — the model must state what it does NOT know (prevents invisible failure)</w:t>
      </w:r>
    </w:p>
    <w:p>
      <w:pPr>
        <w:pStyle w:val="ListParagraph"/>
        <w:numPr>
          <w:ilvl w:val="0"/>
          <w:numId w:val="2"/>
        </w:numPr>
        <w:spacing w:after="80"/>
      </w:pPr>
      <w:r>
        <w:rPr>
          <w:rFonts w:ascii="Arial" w:cs="Arial" w:eastAsia="Arial" w:hAnsi="Arial"/>
          <w:b w:val="false"/>
          <w:bCs w:val="false"/>
          <w:color w:val="333333"/>
          <w:sz w:val="20"/>
          <w:szCs w:val="20"/>
        </w:rPr>
        <w:t xml:space="preserve">Professional framing — disclaimers frame verification as standard workflow, not product deficiency</w:t>
      </w:r>
    </w:p>
    <w:p>
      <w:pPr>
        <w:spacing w:after="100"/>
      </w:pPr>
    </w:p>
    <w:p>
      <w:pPr>
        <w:spacing w:after="120"/>
      </w:pPr>
      <w:r>
        <w:rPr>
          <w:rFonts w:ascii="Arial" w:cs="Arial" w:eastAsia="Arial" w:hAnsi="Arial"/>
          <w:b w:val="false"/>
          <w:bCs w:val="false"/>
          <w:i w:val="false"/>
          <w:iCs w:val="false"/>
          <w:color w:val="333333"/>
          <w:sz w:val="20"/>
          <w:szCs w:val="20"/>
        </w:rPr>
        <w:t xml:space="preserve">Response structure: Summary → Regulatory Analysis (with [G1], [G2] citations) → Applicable Sections table → What You Need To Do (compliance checklist) → Gaps &amp; Limitations.</w:t>
      </w:r>
    </w:p>
    <w:p>
      <w:pPr>
        <w:pStyle w:val="Heading2"/>
        <w:spacing w:before="280" w:after="160"/>
      </w:pPr>
      <w:r>
        <w:rPr>
          <w:rFonts w:ascii="Arial" w:cs="Arial" w:eastAsia="Arial" w:hAnsi="Arial"/>
          <w:b/>
          <w:bCs/>
          <w:color w:val="2E86C1"/>
          <w:sz w:val="24"/>
          <w:szCs w:val="24"/>
        </w:rPr>
        <w:t xml:space="preserve">Architecture Split — System Prompt + Filter</w:t>
      </w:r>
    </w:p>
    <w:p>
      <w:pPr>
        <w:spacing w:after="120"/>
      </w:pPr>
      <w:r>
        <w:rPr>
          <w:rFonts w:ascii="Arial" w:cs="Arial" w:eastAsia="Arial" w:hAnsi="Arial"/>
          <w:b w:val="false"/>
          <w:bCs w:val="false"/>
          <w:i w:val="false"/>
          <w:iCs w:val="false"/>
          <w:color w:val="333333"/>
          <w:sz w:val="20"/>
          <w:szCs w:val="20"/>
        </w:rPr>
        <w:t xml:space="preserve">A major design decision was splitting enterprise formatting responsibilities between the system prompt and the filter. The user asked: "Do you think a system prompt would help us more?" The answer was yes — for stable instructions. Dynamic, per-retrieval instructions stay in the filter.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Identity, tone, persona</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system_prompt.md</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Stable per-model instructions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Response structure (5 sections)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system_prompt.md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Summary → Analysis → Sections → Actions → Gaps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Citation mechanics ([G1], [G2])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graphrag_filter.py</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Dynamic, per-retrieval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Confidence display &amp; disclaimer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graphrag_filter.py (outlet)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Computed per-request from signals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Sources Panel entries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graphrag_filter.py (outlet)</w:t>
            </w:r>
          </w:p>
        </w:tc>
        <w:tc>
          <w:tcPr>
            <w:tcW w:type="dxa" w:w="3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Appended to existing KB sources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Confidence transport to audit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graphrag_filter.py → audit_logger.py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Message dict mutation with pop()</w:t>
            </w:r>
          </w:p>
        </w:tc>
      </w:tr>
    </w:tbl>
    <w:p>
      <w:pPr>
        <w:pStyle w:val="Heading2"/>
        <w:spacing w:before="280" w:after="160"/>
      </w:pPr>
      <w:r>
        <w:rPr>
          <w:rFonts w:ascii="Arial" w:cs="Arial" w:eastAsia="Arial" w:hAnsi="Arial"/>
          <w:b/>
          <w:bCs/>
          <w:color w:val="2E86C1"/>
          <w:sz w:val="24"/>
          <w:szCs w:val="24"/>
        </w:rPr>
        <w:t xml:space="preserve">4b. Sources Panel Integration (v0.8.0)</w:t>
      </w:r>
    </w:p>
    <w:p>
      <w:pPr>
        <w:spacing w:after="120"/>
      </w:pPr>
      <w:r>
        <w:rPr>
          <w:rFonts w:ascii="Arial" w:cs="Arial" w:eastAsia="Arial" w:hAnsi="Arial"/>
          <w:b w:val="false"/>
          <w:bCs w:val="false"/>
          <w:i w:val="false"/>
          <w:iCs w:val="false"/>
          <w:color w:val="333333"/>
          <w:sz w:val="20"/>
          <w:szCs w:val="20"/>
        </w:rPr>
        <w:t xml:space="preserve">This was the hardest integration challenge. The goal was simple: make GraphRAG-retrieved sections appear in Open WebUI’s Sources button alongside Knowledge Base sources. It took 7 attempts across multiple hours before finding the working solution.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5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Approach</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Inlet event emission</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KB sources disappeared — inlet runs before KB pipeline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Outlet event emission</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GraphRAG sources — frontend already rendered by outlet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Metadata injection</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Key lost — middleware recreates metadata dict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form_data injection</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Key lost — form_data reassigned by handlers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chat_completion_files_handler</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Different dict reference inside handler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Local variable capture</w:t>
            </w:r>
          </w:p>
        </w:tc>
        <w:tc>
          <w:tcPr>
            <w:tcW w:type="dxa" w:w="1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FAILED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Theoretically sound but broke after restart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Direct outlet mutation</w:t>
            </w:r>
          </w:p>
        </w:tc>
        <w:tc>
          <w:tcPr>
            <w:tcW w:type="dxa" w:w="1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LIVE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Mutate body["messages"][-1]["sources"] directly</w:t>
            </w:r>
          </w:p>
        </w:tc>
      </w:tr>
    </w:tbl>
    <w:p>
      <w:pPr>
        <w:spacing w:after="100"/>
      </w:pPr>
    </w:p>
    <w:p>
      <w:pPr>
        <w:spacing w:after="120"/>
      </w:pPr>
      <w:r>
        <w:rPr>
          <w:rFonts w:ascii="Arial" w:cs="Arial" w:eastAsia="Arial" w:hAnsi="Arial"/>
          <w:b w:val="false"/>
          <w:bCs w:val="false"/>
          <w:i/>
          <w:iCs/>
          <w:color w:val="333333"/>
          <w:sz w:val="20"/>
          <w:szCs w:val="20"/>
        </w:rPr>
        <w:t xml:space="preserve">The key insight: the outlet’s body["messages"] is the canonical representation. By outlet time, the assistant message already has KB sources. Appending to that list directly persists because it’s the same Python object that gets saved to the database. Confirmed by the Open WebUI community (Discussion #16099). Zero middleware modifications required — middleware.py was fully rolled back to stock.</w:t>
      </w:r>
    </w:p>
    <w:p>
      <w:r>
        <w:br w:type="page"/>
      </w:r>
    </w:p>
    <w:p>
      <w:pPr>
        <w:pStyle w:val="Heading2"/>
        <w:spacing w:before="280" w:after="160"/>
      </w:pPr>
      <w:r>
        <w:rPr>
          <w:rFonts w:ascii="Arial" w:cs="Arial" w:eastAsia="Arial" w:hAnsi="Arial"/>
          <w:b/>
          <w:bCs/>
          <w:color w:val="2E86C1"/>
          <w:sz w:val="24"/>
          <w:szCs w:val="24"/>
        </w:rPr>
        <w:t xml:space="preserve">4c. Conditional Disclaimer System (v0.8.1)</w:t>
      </w:r>
    </w:p>
    <w:p>
      <w:pPr>
        <w:spacing w:after="120"/>
      </w:pPr>
      <w:r>
        <w:rPr>
          <w:rFonts w:ascii="Arial" w:cs="Arial" w:eastAsia="Arial" w:hAnsi="Arial"/>
          <w:b w:val="false"/>
          <w:bCs w:val="false"/>
          <w:i w:val="false"/>
          <w:iCs w:val="false"/>
          <w:color w:val="333333"/>
          <w:sz w:val="20"/>
          <w:szCs w:val="20"/>
        </w:rPr>
        <w:t xml:space="preserve">The original disclaimer read: "This is an AI-generated draft analysis... consult qualified professionals before acting on this guidance." This was counterproductive — APAS IS the qualified professional, and the users are environmental consultants. The disclaimer was fueling doubt rather than building trust.</w:t>
      </w:r>
    </w:p>
    <w:p>
      <w:pPr>
        <w:spacing w:after="80"/>
      </w:pPr>
    </w:p>
    <w:p>
      <w:pPr>
        <w:spacing w:after="120"/>
      </w:pPr>
      <w:r>
        <w:rPr>
          <w:rFonts w:ascii="Arial" w:cs="Arial" w:eastAsia="Arial" w:hAnsi="Arial"/>
          <w:b/>
          <w:bCs/>
          <w:i w:val="false"/>
          <w:iCs w:val="false"/>
          <w:color w:val="333333"/>
          <w:sz w:val="20"/>
          <w:szCs w:val="20"/>
        </w:rPr>
        <w:t xml:space="preserve">Industry Research Findings:</w:t>
      </w:r>
    </w:p>
    <w:p>
      <w:pPr>
        <w:pStyle w:val="ListParagraph"/>
        <w:numPr>
          <w:ilvl w:val="0"/>
          <w:numId w:val="2"/>
        </w:numPr>
        <w:spacing w:after="80"/>
      </w:pPr>
      <w:r>
        <w:rPr>
          <w:rFonts w:ascii="Arial" w:cs="Arial" w:eastAsia="Arial" w:hAnsi="Arial"/>
          <w:b w:val="false"/>
          <w:bCs w:val="false"/>
          <w:color w:val="333333"/>
          <w:sz w:val="20"/>
          <w:szCs w:val="20"/>
        </w:rPr>
        <w:t xml:space="preserve">A 2025 peer-reviewed study (5,000+ participants, 13 experiments) found AI disclaimers actively erode professional trust</w:t>
      </w:r>
    </w:p>
    <w:p>
      <w:pPr>
        <w:pStyle w:val="ListParagraph"/>
        <w:numPr>
          <w:ilvl w:val="0"/>
          <w:numId w:val="2"/>
        </w:numPr>
        <w:spacing w:after="80"/>
      </w:pPr>
      <w:r>
        <w:rPr>
          <w:rFonts w:ascii="Arial" w:cs="Arial" w:eastAsia="Arial" w:hAnsi="Arial"/>
          <w:b w:val="false"/>
          <w:bCs w:val="false"/>
          <w:color w:val="333333"/>
          <w:sz w:val="20"/>
          <w:szCs w:val="20"/>
        </w:rPr>
        <w:t xml:space="preserve">No leading tool (Harvey AI, CoCounsel, Westlaw) uses "consult a professional" language</w:t>
      </w:r>
    </w:p>
    <w:p>
      <w:pPr>
        <w:pStyle w:val="ListParagraph"/>
        <w:numPr>
          <w:ilvl w:val="0"/>
          <w:numId w:val="2"/>
        </w:numPr>
        <w:spacing w:after="80"/>
      </w:pPr>
      <w:r>
        <w:rPr>
          <w:rFonts w:ascii="Arial" w:cs="Arial" w:eastAsia="Arial" w:hAnsi="Arial"/>
          <w:b w:val="false"/>
          <w:bCs w:val="false"/>
          <w:color w:val="333333"/>
          <w:sz w:val="20"/>
          <w:szCs w:val="20"/>
        </w:rPr>
        <w:t xml:space="preserve">Professional tools frame verification as standard workflow, not a deficiency warning</w:t>
      </w:r>
    </w:p>
    <w:p>
      <w:pPr>
        <w:pStyle w:val="ListParagraph"/>
        <w:numPr>
          <w:ilvl w:val="0"/>
          <w:numId w:val="2"/>
        </w:numPr>
        <w:spacing w:after="80"/>
      </w:pPr>
      <w:r>
        <w:rPr>
          <w:rFonts w:ascii="Arial" w:cs="Arial" w:eastAsia="Arial" w:hAnsi="Arial"/>
          <w:b w:val="false"/>
          <w:bCs w:val="false"/>
          <w:color w:val="333333"/>
          <w:sz w:val="20"/>
          <w:szCs w:val="20"/>
        </w:rPr>
        <w:t xml:space="preserve">Can’t remove disclaimers entirely — EU AI Act (Aug 2026), FTC mandate (Oct 2024), vendor liability precedent (Workday case 2025)</w:t>
      </w:r>
    </w:p>
    <w:p>
      <w:pPr>
        <w:spacing w:after="100"/>
      </w:pPr>
    </w:p>
    <w:p>
      <w:pPr>
        <w:spacing w:after="120"/>
      </w:pPr>
      <w:r>
        <w:rPr>
          <w:rFonts w:ascii="Arial" w:cs="Arial" w:eastAsia="Arial" w:hAnsi="Arial"/>
          <w:b w:val="false"/>
          <w:bCs w:val="false"/>
          <w:i w:val="false"/>
          <w:iCs w:val="false"/>
          <w:color w:val="333333"/>
          <w:sz w:val="20"/>
          <w:szCs w:val="20"/>
        </w:rPr>
        <w:t xml:space="preserve">The solution is a 3-state conditional system — an amalgam of confidence-based adaptation, professional workflow framing, and minimal per-response philosophy: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Trigger</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Language</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≥80% AND sections = max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Minimal, confident. "Review cited sections for your specific facility context."</w:t>
            </w:r>
          </w:p>
        </w:tc>
      </w:tr>
      <w:tr>
        <w:tc>
          <w:tcPr>
            <w:tcW w:type="dxa" w:w="12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E67E22"/>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50–79% OR partial retrieval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Acknowledges gaps. "Some applicable sections may not have been retrieved."</w:t>
            </w:r>
          </w:p>
        </w:tc>
      </w:tr>
      <w:tr>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rFonts w:ascii="Arial" w:cs="Arial" w:eastAsia="Arial" w:hAnsi="Arial"/>
                <w:b/>
                <w:bCs/>
                <w:color w:val="E74C3C"/>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&lt;50% OR ≤1 section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Honest about limits. Suggests refining the query for a stronger analysis.</w:t>
            </w:r>
          </w:p>
        </w:tc>
      </w:tr>
    </w:tbl>
    <w:p>
      <w:pPr>
        <w:spacing w:after="100"/>
      </w:pPr>
    </w:p>
    <w:p>
      <w:pPr>
        <w:spacing w:after="120"/>
      </w:pPr>
      <w:r>
        <w:rPr>
          <w:rFonts w:ascii="Arial" w:cs="Arial" w:eastAsia="Arial" w:hAnsi="Arial"/>
          <w:b w:val="false"/>
          <w:bCs w:val="false"/>
          <w:i w:val="false"/>
          <w:iCs w:val="false"/>
          <w:color w:val="333333"/>
          <w:sz w:val="20"/>
          <w:szCs w:val="20"/>
        </w:rPr>
        <w:t xml:space="preserve">No state ever says "consult qualified professionals" or "not a final compliance determination." A one-time engagement-level disclaimer was drafted for the service agreement (outside of code).</w:t>
      </w:r>
    </w:p>
    <w:p>
      <w:r>
        <w:br w:type="page"/>
      </w:r>
    </w:p>
    <w:p>
      <w:pPr>
        <w:pStyle w:val="Heading1"/>
        <w:spacing w:before="360" w:after="200"/>
      </w:pPr>
      <w:r>
        <w:rPr>
          <w:rFonts w:ascii="Arial" w:cs="Arial" w:eastAsia="Arial" w:hAnsi="Arial"/>
          <w:b/>
          <w:bCs/>
          <w:color w:val="1B4F72"/>
          <w:sz w:val="28"/>
          <w:szCs w:val="28"/>
        </w:rPr>
        <w:t xml:space="preserve">Issues Encountered &amp; Fixes Applied</w:t>
      </w:r>
    </w:p>
    <w:p>
      <w:pPr>
        <w:spacing w:after="120"/>
      </w:pPr>
      <w:r>
        <w:rPr>
          <w:rFonts w:ascii="Arial" w:cs="Arial" w:eastAsia="Arial" w:hAnsi="Arial"/>
          <w:b w:val="false"/>
          <w:bCs w:val="false"/>
          <w:i w:val="false"/>
          <w:iCs w:val="false"/>
          <w:color w:val="333333"/>
          <w:sz w:val="20"/>
          <w:szCs w:val="20"/>
        </w:rPr>
        <w:t xml:space="preserve">Enterprise formatting involved significant iteration. Open WebUI’s rendering engine has undocumented limitations that required discovering solutions through trial and error.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Issue</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Root Cause</w:t>
            </w:r>
          </w:p>
        </w:tc>
        <w:tc>
          <w:tcPr>
            <w:tcW w:type="dxa" w:w="38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&lt;details&gt;&lt;summary&gt; HTML tags visible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Open WebUI doesn’t render these</w:t>
            </w:r>
          </w:p>
        </w:tc>
        <w:tc>
          <w:tcPr>
            <w:tcW w:type="dxa" w:w="38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Removed all HTML, pure markdown only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Confidence 🟡 MEDIUM (0.67) looked unprofessional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Emoji + raw band name</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Clean italicized: Source confidence: 67%</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 GRAPHRAG_CONFIDENCE --&gt; visible to users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HTML comments render as text</w:t>
            </w:r>
          </w:p>
        </w:tc>
        <w:tc>
          <w:tcPr>
            <w:tcW w:type="dxa" w:w="38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Moved to message dict mutation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Trace was raw numbers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human context</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Breakdown table: What / Result / Contribution / Why</w:t>
            </w:r>
          </w:p>
        </w:tc>
      </w:tr>
      <w:tr>
        <w:tc>
          <w:tcPr>
            <w:tcW w:type="dxa" w:w="31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"Consult qualified professionals" disclaimer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Undermines APAS credibility</w:t>
            </w:r>
          </w:p>
        </w:tc>
        <w:tc>
          <w:tcPr>
            <w:tcW w:type="dxa" w:w="38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3-state conditional system, no such language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Disclaimer in trace vs. response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User changed mind</w:t>
            </w:r>
          </w:p>
        </w:tc>
        <w:tc>
          <w:tcPr>
            <w:tcW w:type="dxa" w:w="3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Settled on main response with conditional logic</w:t>
            </w:r>
          </w:p>
        </w:tc>
      </w:tr>
    </w:tbl>
    <w:p>
      <w:pPr>
        <w:spacing w:after="100"/>
      </w:pPr>
    </w:p>
    <w:p>
      <w:pPr>
        <w:spacing w:after="120"/>
      </w:pPr>
      <w:r>
        <w:rPr>
          <w:rFonts w:ascii="Arial" w:cs="Arial" w:eastAsia="Arial" w:hAnsi="Arial"/>
          <w:b/>
          <w:bCs/>
          <w:i w:val="false"/>
          <w:iCs w:val="false"/>
          <w:color w:val="333333"/>
          <w:sz w:val="20"/>
          <w:szCs w:val="20"/>
        </w:rPr>
        <w:t xml:space="preserve">Confidence Data Transport Fix (v0.8.1):</w:t>
      </w:r>
    </w:p>
    <w:p>
      <w:pPr>
        <w:spacing w:after="120"/>
      </w:pPr>
      <w:r>
        <w:rPr>
          <w:rFonts w:ascii="Arial" w:cs="Arial" w:eastAsia="Arial" w:hAnsi="Arial"/>
          <w:b w:val="false"/>
          <w:bCs w:val="false"/>
          <w:i w:val="false"/>
          <w:iCs w:val="false"/>
          <w:color w:val="333333"/>
          <w:sz w:val="20"/>
          <w:szCs w:val="20"/>
        </w:rPr>
        <w:t xml:space="preserve">The original approach embedded confidence data as an HTML comment in the response text for the audit logger to parse and strip. Open WebUI rendered this as visible raw text to users. The fix: store confidence data on the message dict (messages[i]["graphrag_confidence"] = {...}) instead. The audit logger reads it with pop() and falls back to HTML comment parsing for backward compatibility.</w:t>
      </w:r>
    </w:p>
    <w:p>
      <w:pPr>
        <w:pStyle w:val="Heading1"/>
        <w:spacing w:before="360" w:after="200"/>
      </w:pPr>
      <w:r>
        <w:rPr>
          <w:rFonts w:ascii="Arial" w:cs="Arial" w:eastAsia="Arial" w:hAnsi="Arial"/>
          <w:b/>
          <w:bCs/>
          <w:color w:val="1B4F72"/>
          <w:sz w:val="28"/>
          <w:szCs w:val="28"/>
        </w:rPr>
        <w:t xml:space="preserve">Files Created &amp;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graphrag_filter.py</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v0.7.0 → v0.8.1</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Core filter: formatting, Sources Panel, disclaimers, dict transport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graphrag_filter.md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v0.7.0 → v0.8.1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technical docs, development journey, disclaimer system</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audit_logger.py</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v0.2.0 → v0.2.1</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Confidence extraction via message dict, legacy fallback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audit_logger.md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v0.2.0 → v0.2.1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Confidence transport docs, version history</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system_prompt.md</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Created</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Custom model system prompt (3 personas, structure, tone)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disclaimer_research.md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Created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Industry research, 4 options, sources, decision record</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REGOS_CHANGELOG.md</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Created</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development journey across all sessions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demo_script.md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Created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4-act demo covering Features 1–3</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middleware.py</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Rolled back</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 modifications attempted and removed. Now stock.</w:t>
            </w:r>
          </w:p>
        </w:tc>
      </w:tr>
    </w:tbl>
    <w:p>
      <w:r>
        <w:br w:type="page"/>
      </w:r>
    </w:p>
    <w:p>
      <w:pPr>
        <w:pStyle w:val="Heading1"/>
        <w:spacing w:before="360" w:after="200"/>
      </w:pPr>
      <w:r>
        <w:rPr>
          <w:rFonts w:ascii="Arial" w:cs="Arial" w:eastAsia="Arial" w:hAnsi="Arial"/>
          <w:b/>
          <w:bCs/>
          <w:color w:val="1B4F72"/>
          <w:sz w:val="28"/>
          <w:szCs w:val="28"/>
        </w:rPr>
        <w:t xml:space="preserve">Key Technical Lessons</w:t>
      </w:r>
    </w:p>
    <w:p>
      <w:pPr>
        <w:pStyle w:val="ListParagraph"/>
        <w:numPr>
          <w:ilvl w:val="0"/>
          <w:numId w:val="3"/>
        </w:numPr>
        <w:spacing w:after="100"/>
      </w:pPr>
      <w:r>
        <w:rPr>
          <w:rFonts w:ascii="Arial" w:cs="Arial" w:eastAsia="Arial" w:hAnsi="Arial"/>
          <w:b/>
          <w:bCs/>
          <w:color w:val="333333"/>
          <w:sz w:val="20"/>
          <w:szCs w:val="20"/>
        </w:rPr>
        <w:t xml:space="preserve">Open WebUI filters can’t inject data through the middleware pipeline reliably. </w:t>
      </w:r>
      <w:r>
        <w:rPr>
          <w:rFonts w:ascii="Arial" w:cs="Arial" w:eastAsia="Arial" w:hAnsi="Arial"/>
          <w:color w:val="333333"/>
          <w:sz w:val="20"/>
          <w:szCs w:val="20"/>
        </w:rPr>
        <w:t xml:space="preserve">Dicts get recreated, form_data gets reassigned, metadata gets rebuilt. The only reliable path is mutating the message body directly in the outlet.</w:t>
      </w:r>
    </w:p>
    <w:p>
      <w:pPr>
        <w:pStyle w:val="ListParagraph"/>
        <w:numPr>
          <w:ilvl w:val="0"/>
          <w:numId w:val="3"/>
        </w:numPr>
        <w:spacing w:after="100"/>
      </w:pPr>
      <w:r>
        <w:rPr>
          <w:rFonts w:ascii="Arial" w:cs="Arial" w:eastAsia="Arial" w:hAnsi="Arial"/>
          <w:b/>
          <w:bCs/>
          <w:color w:val="333333"/>
          <w:sz w:val="20"/>
          <w:szCs w:val="20"/>
        </w:rPr>
        <w:t xml:space="preserve">System prompt + filter is better than filter-only. </w:t>
      </w:r>
      <w:r>
        <w:rPr>
          <w:rFonts w:ascii="Arial" w:cs="Arial" w:eastAsia="Arial" w:hAnsi="Arial"/>
          <w:color w:val="333333"/>
          <w:sz w:val="20"/>
          <w:szCs w:val="20"/>
        </w:rPr>
        <w:t xml:space="preserve">Stable instructions (identity, tone, structure) belong in the system prompt. Dynamic instructions (citation mechanics) belong in the filter.</w:t>
      </w:r>
    </w:p>
    <w:p>
      <w:pPr>
        <w:pStyle w:val="ListParagraph"/>
        <w:numPr>
          <w:ilvl w:val="0"/>
          <w:numId w:val="3"/>
        </w:numPr>
        <w:spacing w:after="100"/>
      </w:pPr>
      <w:r>
        <w:rPr>
          <w:rFonts w:ascii="Arial" w:cs="Arial" w:eastAsia="Arial" w:hAnsi="Arial"/>
          <w:b/>
          <w:bCs/>
          <w:color w:val="333333"/>
          <w:sz w:val="20"/>
          <w:szCs w:val="20"/>
        </w:rPr>
        <w:t xml:space="preserve">HTML rendering in Open WebUI is limited. </w:t>
      </w:r>
      <w:r>
        <w:rPr>
          <w:rFonts w:ascii="Arial" w:cs="Arial" w:eastAsia="Arial" w:hAnsi="Arial"/>
          <w:color w:val="333333"/>
          <w:sz w:val="20"/>
          <w:szCs w:val="20"/>
        </w:rPr>
        <w:t xml:space="preserve">&lt;details&gt;, &lt;summary&gt;, and HTML comments render as raw text. Pure markdown only for all user-visible content.</w:t>
      </w:r>
    </w:p>
    <w:p>
      <w:pPr>
        <w:pStyle w:val="ListParagraph"/>
        <w:numPr>
          <w:ilvl w:val="0"/>
          <w:numId w:val="3"/>
        </w:numPr>
        <w:spacing w:after="100"/>
      </w:pPr>
      <w:r>
        <w:rPr>
          <w:rFonts w:ascii="Arial" w:cs="Arial" w:eastAsia="Arial" w:hAnsi="Arial"/>
          <w:b/>
          <w:bCs/>
          <w:color w:val="333333"/>
          <w:sz w:val="20"/>
          <w:szCs w:val="20"/>
        </w:rPr>
        <w:t xml:space="preserve">Don’t embed data in response text for inter-filter communication. </w:t>
      </w:r>
      <w:r>
        <w:rPr>
          <w:rFonts w:ascii="Arial" w:cs="Arial" w:eastAsia="Arial" w:hAnsi="Arial"/>
          <w:color w:val="333333"/>
          <w:sz w:val="20"/>
          <w:szCs w:val="20"/>
        </w:rPr>
        <w:t xml:space="preserve">Non-standard keys on the message dict are never rendered but persist through the outlet pipeline. This is the safest transport mechanism.</w:t>
      </w:r>
    </w:p>
    <w:p>
      <w:pPr>
        <w:pStyle w:val="ListParagraph"/>
        <w:numPr>
          <w:ilvl w:val="0"/>
          <w:numId w:val="3"/>
        </w:numPr>
        <w:spacing w:after="100"/>
      </w:pPr>
      <w:r>
        <w:rPr>
          <w:rFonts w:ascii="Arial" w:cs="Arial" w:eastAsia="Arial" w:hAnsi="Arial"/>
          <w:b/>
          <w:bCs/>
          <w:color w:val="333333"/>
          <w:sz w:val="20"/>
          <w:szCs w:val="20"/>
        </w:rPr>
        <w:t xml:space="preserve">Conditional disclaimers are a product feature, not just legal cover. </w:t>
      </w:r>
      <w:r>
        <w:rPr>
          <w:rFonts w:ascii="Arial" w:cs="Arial" w:eastAsia="Arial" w:hAnsi="Arial"/>
          <w:color w:val="333333"/>
          <w:sz w:val="20"/>
          <w:szCs w:val="20"/>
        </w:rPr>
        <w:t xml:space="preserve">Research shows blanket disclaimers erode trust. Confidence-adaptive language differentiates the product and protects legally.</w:t>
      </w:r>
    </w:p>
    <w:p>
      <w:pPr>
        <w:pStyle w:val="Heading1"/>
        <w:spacing w:before="360" w:after="200"/>
      </w:pPr>
      <w:r>
        <w:rPr>
          <w:rFonts w:ascii="Arial" w:cs="Arial" w:eastAsia="Arial" w:hAnsi="Arial"/>
          <w:b/>
          <w:bCs/>
          <w:color w:val="1B4F72"/>
          <w:sz w:val="28"/>
          <w:szCs w:val="28"/>
        </w:rPr>
        <w:t xml:space="preserve">Next Steps</w:t>
      </w:r>
    </w:p>
    <w:p>
      <w:pPr>
        <w:spacing w:after="120"/>
      </w:pPr>
      <w:r>
        <w:rPr>
          <w:rFonts w:ascii="Arial" w:cs="Arial" w:eastAsia="Arial" w:hAnsi="Arial"/>
          <w:b w:val="false"/>
          <w:bCs w:val="false"/>
          <w:i w:val="false"/>
          <w:iCs w:val="false"/>
          <w:color w:val="333333"/>
          <w:sz w:val="20"/>
          <w:szCs w:val="20"/>
        </w:rPr>
        <w:t xml:space="preserve">Features 1–4 (including all sub-features) are complete and deployed. The remaining P0 features are:</w:t>
      </w:r>
    </w:p>
    <w:p>
      <w:pPr>
        <w:pStyle w:val="ListParagraph"/>
        <w:numPr>
          <w:ilvl w:val="0"/>
          <w:numId w:val="2"/>
        </w:numPr>
        <w:spacing w:after="80"/>
      </w:pPr>
      <w:r>
        <w:rPr>
          <w:rFonts w:ascii="Arial" w:cs="Arial" w:eastAsia="Arial" w:hAnsi="Arial"/>
          <w:b w:val="false"/>
          <w:bCs w:val="false"/>
          <w:color w:val="333333"/>
          <w:sz w:val="20"/>
          <w:szCs w:val="20"/>
        </w:rPr>
        <w:t xml:space="preserve">Feature 5: Escalation Workflow — route low-confidence or flagged queries to human reviewers</w:t>
      </w:r>
    </w:p>
    <w:p>
      <w:pPr>
        <w:pStyle w:val="ListParagraph"/>
        <w:numPr>
          <w:ilvl w:val="0"/>
          <w:numId w:val="2"/>
        </w:numPr>
        <w:spacing w:after="80"/>
      </w:pPr>
      <w:r>
        <w:rPr>
          <w:rFonts w:ascii="Arial" w:cs="Arial" w:eastAsia="Arial" w:hAnsi="Arial"/>
          <w:b w:val="false"/>
          <w:bCs w:val="false"/>
          <w:color w:val="333333"/>
          <w:sz w:val="20"/>
          <w:szCs w:val="20"/>
        </w:rPr>
        <w:t xml:space="preserve">Feature 6: Threshold Evaluation — assess regulatory thresholds against user-provided data</w:t>
      </w:r>
    </w:p>
    <w:p>
      <w:pPr>
        <w:pStyle w:val="ListParagraph"/>
        <w:numPr>
          <w:ilvl w:val="0"/>
          <w:numId w:val="2"/>
        </w:numPr>
        <w:spacing w:after="80"/>
      </w:pPr>
      <w:r>
        <w:rPr>
          <w:rFonts w:ascii="Arial" w:cs="Arial" w:eastAsia="Arial" w:hAnsi="Arial"/>
          <w:b w:val="false"/>
          <w:bCs w:val="false"/>
          <w:color w:val="333333"/>
          <w:sz w:val="20"/>
          <w:szCs w:val="20"/>
        </w:rPr>
        <w:t xml:space="preserve">Feature 7: Dashboard — analytics and audit trail visualization</w:t>
      </w:r>
    </w:p>
    <w:p>
      <w:pPr>
        <w:pStyle w:val="ListParagraph"/>
        <w:numPr>
          <w:ilvl w:val="0"/>
          <w:numId w:val="2"/>
        </w:numPr>
        <w:spacing w:after="80"/>
      </w:pPr>
      <w:r>
        <w:rPr>
          <w:rFonts w:ascii="Arial" w:cs="Arial" w:eastAsia="Arial" w:hAnsi="Arial"/>
          <w:b w:val="false"/>
          <w:bCs w:val="false"/>
          <w:color w:val="333333"/>
          <w:sz w:val="20"/>
          <w:szCs w:val="20"/>
        </w:rPr>
        <w:t xml:space="preserve">Feature 8: Refusal &amp; Guardrails — prevent out-of-scope or harmful queries</w:t>
      </w:r>
    </w:p>
    <w:p>
      <w:pPr>
        <w:spacing w:after="200"/>
      </w:pPr>
    </w:p>
    <w:p>
      <w:pPr>
        <w:spacing w:after="120"/>
      </w:pPr>
      <w:r>
        <w:rPr>
          <w:rFonts w:ascii="Arial" w:cs="Arial" w:eastAsia="Arial" w:hAnsi="Arial"/>
          <w:b w:val="false"/>
          <w:bCs w:val="false"/>
          <w:i w:val="false"/>
          <w:iCs w:val="false"/>
          <w:color w:val="333333"/>
          <w:sz w:val="20"/>
          <w:szCs w:val="20"/>
        </w:rPr>
        <w:t xml:space="preserve">The service agreement disclaimer (Option D language) should be incorporated into the RegOS onboarding flow as a one-time disclosure.</w:t>
      </w:r>
    </w:p>
    <w:p>
      <w:pPr>
        <w:pBdr>
          <w:bottom w:val="single" w:color="D6EAF8" w:sz="6" w:space="1"/>
        </w:pBdr>
        <w:spacing w:before="200" w:after="200"/>
      </w:pPr>
    </w:p>
    <w:p>
      <w:pPr>
        <w:spacing w:before="200"/>
        <w:jc w:val="center"/>
      </w:pPr>
      <w:r>
        <w:rPr>
          <w:rFonts w:ascii="Arial" w:cs="Arial" w:eastAsia="Arial" w:hAnsi="Arial"/>
          <w:i/>
          <w:iCs/>
          <w:color w:val="7F8C8D"/>
          <w:sz w:val="18"/>
          <w:szCs w:val="18"/>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2" w:space="4"/>
      </w:pBdr>
      <w:tabs>
        <w:tab w:val="right" w:pos="9026"/>
      </w:tabs>
    </w:pPr>
    <w:r>
      <w:rPr>
        <w:rFonts w:ascii="Arial" w:cs="Arial" w:eastAsia="Arial" w:hAnsi="Arial"/>
        <w:color w:val="7F8C8D"/>
        <w:sz w:val="14"/>
        <w:szCs w:val="14"/>
      </w:rPr>
      <w:t xml:space="preserve">Confidential — APAS AI Internal</w:t>
    </w:r>
    <w:r>
      <w:rPr>
        <w:rFonts w:ascii="Arial" w:cs="Arial" w:eastAsia="Arial" w:hAnsi="Arial"/>
        <w:color w:val="7F8C8D"/>
        <w:sz w:val="14"/>
        <w:szCs w:val="14"/>
      </w:rPr>
      <w:t xml:space="preserve">	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spacing w:after="0"/>
    </w:pPr>
    <w:r>
      <w:rPr>
        <w:rFonts w:ascii="Arial" w:cs="Arial" w:eastAsia="Arial" w:hAnsi="Arial"/>
        <w:color w:val="7F8C8D"/>
        <w:sz w:val="16"/>
        <w:szCs w:val="16"/>
      </w:rPr>
      <w:t xml:space="preserve">APAS AI  |  RegOS Enterprise Formatting</w:t>
    </w:r>
    <w:r>
      <w:rPr>
        <w:rFonts w:ascii="Arial" w:cs="Arial" w:eastAsia="Arial" w:hAnsi="Arial"/>
        <w:i/>
        <w:iCs/>
        <w:color w:val="7F8C8D"/>
        <w:sz w:val="16"/>
        <w:szCs w:val="16"/>
      </w:rPr>
      <w:t xml:space="preserve">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2026-02-23T08:46:50.532Z</dcterms:created>
  <dcterms:modified xsi:type="dcterms:W3CDTF">2026-02-23T08:46:50.532Z</dcterms:modified>
</cp:coreProperties>
</file>

<file path=docProps/custom.xml><?xml version="1.0" encoding="utf-8"?>
<Properties xmlns="http://schemas.openxmlformats.org/officeDocument/2006/custom-properties" xmlns:vt="http://schemas.openxmlformats.org/officeDocument/2006/docPropsVTypes"/>
</file>