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RegOS Compliance Copilot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End-User Guide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How to use RegOS for regulatory compliance queries</w:t>
      </w:r>
    </w:p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APAS Technologies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 |  Version 1.0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What is RegOS?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RegOS (Regulatory Operating System) is an AI-powered compliance assistant built into Open WebUI. It helps you answer regulatory questions about Miami-Dade County Chapter 24 (Environmental Quality Control) by searching a knowledge graph of the full regulatory text.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you ask a question, RegOS automatically retrieves the most relevant sections from the regulation, cites them with section references (e.g., [G1], [G2]), and provides structured analysis including action items and confidence scores.</w:t>
      </w:r>
    </w:p>
    <w:p>
      <w:pPr>
        <w:pBdr>
          <w:left w:val="single" w:color="4CAF50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Key Benefit:  </w:t>
      </w:r>
      <w:r>
        <w:rPr>
          <w:rFonts w:ascii="Arial" w:cs="Arial" w:eastAsia="Arial" w:hAnsi="Arial"/>
          <w:sz w:val="22"/>
          <w:szCs w:val="22"/>
        </w:rPr>
        <w:t xml:space="preserve">Instead of manually searching through hundreds of pages of regulations, RegOS delivers precise, cited answers in seconds.</w:t>
      </w:r>
    </w:p>
    <w:p>
      <w:pPr>
        <w:pStyle w:val="Heading1"/>
      </w:pPr>
      <w:r>
        <w:rPr>
          <w:rFonts w:ascii="Arial" w:cs="Arial" w:eastAsia="Arial" w:hAnsi="Arial"/>
        </w:rPr>
        <w:t xml:space="preserve">2. Getting Started</w:t>
      </w:r>
    </w:p>
    <w:p>
      <w:pPr>
        <w:pStyle w:val="Heading2"/>
      </w:pPr>
      <w:r>
        <w:rPr>
          <w:rFonts w:ascii="Arial" w:cs="Arial" w:eastAsia="Arial" w:hAnsi="Arial"/>
        </w:rPr>
        <w:t xml:space="preserve">2.1 Accessing RegOS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your browser and navigate to your Open WebUI instance (e.g., https://eqcb.apas.ai)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in with your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the "RegOS Compliance Copilot" model from the model dropdown at the top of the chat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 typing your compliance question</w:t>
      </w:r>
    </w:p>
    <w:p>
      <w:pPr>
        <w:pBdr>
          <w:left w:val="single" w:color="FF9800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Important:  </w:t>
      </w:r>
      <w:r>
        <w:rPr>
          <w:rFonts w:ascii="Arial" w:cs="Arial" w:eastAsia="Arial" w:hAnsi="Arial"/>
          <w:sz w:val="22"/>
          <w:szCs w:val="22"/>
        </w:rPr>
        <w:t xml:space="preserve">Make sure you select "RegOS Compliance Copilot" — not the base model. The Copilot model has the regulatory knowledge graph connected.</w:t>
      </w:r>
    </w:p>
    <w:p>
      <w:pPr>
        <w:pStyle w:val="Heading2"/>
      </w:pPr>
      <w:r>
        <w:rPr>
          <w:rFonts w:ascii="Arial" w:cs="Arial" w:eastAsia="Arial" w:hAnsi="Arial"/>
        </w:rPr>
        <w:t xml:space="preserve">2.2 Your First Query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Try asking a question like: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"What are the BOD limits for wastewater discharge?"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"What pretreatment standards apply to industrial users?"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"What are the penalties for non-compliance with Chapter 24?"</w:t>
      </w:r>
    </w:p>
    <w:p>
      <w:pPr>
        <w:pStyle w:val="Heading1"/>
      </w:pPr>
      <w:r>
        <w:rPr>
          <w:rFonts w:ascii="Arial" w:cs="Arial" w:eastAsia="Arial" w:hAnsi="Arial"/>
        </w:rPr>
        <w:t xml:space="preserve">3. Understanding Responses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RegOS response includes several structured sections: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Summary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concise overview of the answer to your question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Regulatory Analysis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Detailed breakdown with numbered subsections citing specific code sections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Applicable Sections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 of referenced code sections with relevance descriptions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What You Need To 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Actionable steps for compliance based on the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Gaps &amp; Limitations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the system could not find or areas needing manual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Next Step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Recommended immediate follow-up action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3.1 Citations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References like [G1], [G2], etc. point to specific sections retrieved from the knowledge graph. Each citation maps to a section of Miami-Dade Chapter 24. The Applicable Sections table at the bottom of each response maps these references to their section numbers.</w:t>
      </w:r>
    </w:p>
    <w:p>
      <w:pPr>
        <w:pStyle w:val="Heading2"/>
      </w:pPr>
      <w:r>
        <w:rPr>
          <w:rFonts w:ascii="Arial" w:cs="Arial" w:eastAsia="Arial" w:hAnsi="Arial"/>
        </w:rPr>
        <w:t xml:space="preserve">3.2 Confidence Score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response includes a confidence percentage that indicates how well the retrieved sections match your query: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80–100%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confidence — strong matches found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Results are likely reliable for decision-making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60–80%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Moderate confidence — partial matches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cited sections manually before acting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Below 60%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confidence — limited matches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Consult the full regulation text or a subject matter expert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4. Document Upload &amp;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RegOS can analyze uploaded documents (PDFs, images, Word files, spreadsheets) alongside your regulatory question. This is especially useful for compliance reviews.</w:t>
      </w:r>
    </w:p>
    <w:p>
      <w:pPr>
        <w:pStyle w:val="Heading2"/>
      </w:pPr>
      <w:r>
        <w:rPr>
          <w:rFonts w:ascii="Arial" w:cs="Arial" w:eastAsia="Arial" w:hAnsi="Arial"/>
        </w:rPr>
        <w:t xml:space="preserve">4.1 How to Upload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attachment/upload icon in the chat input area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your document file (PDF, DOCX, XLSX, PNG, JPG, etc.)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Ask your question, e.g., "Is this permit application compliant with Chapter 24?"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RegOS will use a vision model to extract content from your document, then cross-reference it against the knowledge graph to provide a compliance assessment.</w:t>
      </w:r>
    </w:p>
    <w:p>
      <w:pPr>
        <w:pStyle w:val="Heading2"/>
      </w:pPr>
      <w:r>
        <w:rPr>
          <w:rFonts w:ascii="Arial" w:cs="Arial" w:eastAsia="Arial" w:hAnsi="Arial"/>
        </w:rPr>
        <w:t xml:space="preserve">4.2 Supported File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Multi-page supported; converted to images for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Images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.png, .jpg, .jpeg, .gif, .bmp, .webp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 visual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Office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.docx, .xlsx, .pptx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Converted to images via LibreOffice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5. Tips for Better Results</w:t>
      </w:r>
    </w:p>
    <w:p>
      <w:pPr>
        <w:pStyle w:val="Heading2"/>
      </w:pPr>
      <w:r>
        <w:rPr>
          <w:rFonts w:ascii="Arial" w:cs="Arial" w:eastAsia="Arial" w:hAnsi="Arial"/>
        </w:rPr>
        <w:t xml:space="preserve">5.1 Be Specific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more specific your question, the better the results: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Instead of...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Try...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"What are the rules?"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"What are the BOD discharge limits for industrial users?"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"Tell me about permits"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"What is required for a stormwater discharge permit under Section 24-42.8?"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"What about FOG?"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"What are the Fats, Oils, and Grease requirements for food service establishments?"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5.2 Reference Section Numbers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already know the relevant section, include it in your question: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"What does Section 24-42.4 say about pretreatment standards?"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"Summarize the compliance testing requirements in Section 24-44.2"</w:t>
      </w:r>
    </w:p>
    <w:p>
      <w:pPr>
        <w:pStyle w:val="Heading2"/>
      </w:pPr>
      <w:r>
        <w:rPr>
          <w:rFonts w:ascii="Arial" w:cs="Arial" w:eastAsia="Arial" w:hAnsi="Arial"/>
        </w:rPr>
        <w:t xml:space="preserve">5.3 Ask Follow-Up Questions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RegOS maintains conversation context. After getting an initial response, you can ask follow-ups: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"Can you explain the sampling requirements in more detail?"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"What penalties apply if we fail to meet those limits?"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"How does this apply to our specific facility type?"</w:t>
      </w:r>
    </w:p>
    <w:p>
      <w:pPr>
        <w:pStyle w:val="Heading1"/>
      </w:pPr>
      <w:r>
        <w:rPr>
          <w:rFonts w:ascii="Arial" w:cs="Arial" w:eastAsia="Arial" w:hAnsi="Arial"/>
        </w:rPr>
        <w:t xml:space="preserve">6. Limitations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RegOS is a powerful tool, but it has some limitations to be aware of: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Scope: Currently covers Miami-Dade County Chapter 24 only. Other regulations (state, federal EPA) are not yet indexed.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 Legal Advice: RegOS provides regulatory analysis, not legal opinions. Always consult with compliance officers or legal counsel for formal decisions.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Currency: The knowledge graph reflects a specific version of Chapter 24. Check for recent amendments that may not yet be indexed.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Incomplete Retrieval: Some sections may not be fully retrieved. Always check the Gaps &amp; Limitations section in each response.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Out-of-Scope Questions: Questions unrelated to environmental regulations will be politely redirected. RegOS includes guardrails to stay focused on compliance topics.</w:t>
      </w:r>
    </w:p>
    <w:p>
      <w:pPr>
        <w:pBdr>
          <w:left w:val="single" w:color="FF9800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FF9800"/>
          <w:sz w:val="22"/>
          <w:szCs w:val="22"/>
        </w:rPr>
        <w:t xml:space="preserve">Remember:  </w:t>
      </w:r>
      <w:r>
        <w:rPr>
          <w:rFonts w:ascii="Arial" w:cs="Arial" w:eastAsia="Arial" w:hAnsi="Arial"/>
          <w:sz w:val="22"/>
          <w:szCs w:val="22"/>
        </w:rPr>
        <w:t xml:space="preserve">RegOS is an assistant, not a replacement for professional judgment. Use it to accelerate your research and identify relevant regulations, then verify critical findings against the source text.</w:t>
      </w:r>
    </w:p>
    <w:p>
      <w:pPr>
        <w:pStyle w:val="Heading1"/>
      </w:pPr>
      <w:r>
        <w:rPr>
          <w:rFonts w:ascii="Arial" w:cs="Arial" w:eastAsia="Arial" w:hAnsi="Arial"/>
        </w:rPr>
        <w:t xml:space="preserve">7. Sidecar API (For Developers)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teams that want to integrate RegOS into their own applications, a standalone REST API is available: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Endpoint: </w:t>
      </w:r>
      <w:r>
        <w:rPr>
          <w:rFonts w:ascii="Arial" w:cs="Arial" w:eastAsia="Arial" w:hAnsi="Arial"/>
          <w:sz w:val="22"/>
          <w:szCs w:val="22"/>
        </w:rPr>
        <w:t xml:space="preserve">POST /api/regos/query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Server: </w:t>
      </w:r>
      <w:r>
        <w:rPr>
          <w:rFonts w:ascii="Arial" w:cs="Arial" w:eastAsia="Arial" w:hAnsi="Arial"/>
          <w:sz w:val="22"/>
          <w:szCs w:val="22"/>
        </w:rPr>
        <w:t xml:space="preserve">http://&lt;server-ip&gt;:8300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Send a JSON body with a question field and receive the full regulatory analysis as a structured response. See the separate API Knowledge Transfer document for details.</w:t>
      </w:r>
    </w:p>
    <w:p>
      <w:pPr>
        <w:pStyle w:val="Heading1"/>
      </w:pPr>
      <w:r>
        <w:rPr>
          <w:rFonts w:ascii="Arial" w:cs="Arial" w:eastAsia="Arial" w:hAnsi="Arial"/>
        </w:rPr>
        <w:t xml:space="preserve">8. Getting Help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encounter issues or have questions: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the Troubleshooting section in the OPERATIONS.md document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Contact the APAS engineering team for technical support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regulatory interpretation questions beyond what RegOS provides, consult Miami-Dade County Environmental Quality Control Board</w:t>
      </w:r>
    </w:p>
    <w:p>
      <w:pPr>
        <w:spacing w:before="400"/>
      </w:pPr>
    </w:p>
    <w:p>
      <w:pPr>
        <w:pBdr>
          <w:top w:val="single" w:color="2E75B6" w:sz="2" w:space="8"/>
        </w:pBdr>
        <w:spacing w:after="2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 prepared by APAS Technologies — March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RegOS Compliance Copilot —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2026-03-06T10:15:06.196Z</dcterms:created>
  <dcterms:modified xsi:type="dcterms:W3CDTF">2026-03-06T10:15:06.196Z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