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37"/>
        </w:rPr>
        <w:t>从群体对应优化到受约束的神经残差对应场</w:t>
      </w:r>
    </w:p>
    <w:p>
      <w:pPr>
        <w:spacing w:before="0" w:after="20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根据《方向入门笔记》修订的可行性评估与执行路线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本版把研究目标收窄为一个可以边复现边学习的问题：在 Bolkart 与 Wuhrer 的群体多线性对应优化基础上，先验证群体紧致度是否能够可靠地识别对应破坏，再用受约束的神经残差场替代 TPS 的部分自由度。首阶段不同时追求纯神经反向场、严格两段 MDL、身份表情解耦和多视角重建；这些内容只有在前面的证据成立后才进入后续实验。</w:t>
      </w:r>
    </w:p>
    <w:p>
      <w:pPr>
        <w:spacing w:before="0" w:after="1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可行性判断：作为学习和研究原型，这条路线可行；作为一篇声称“神经网络全面替代传统对应并实现完整 MDL”的论文，当前证据还不够。工作区中的 AST-Face 公共数据适合做带已知对应的试金石和合成扰动实验，但不等同于 Bolkart 论文使用的原始未配准数据，因此文档把“复现论文”和“在现有数据上验证机制”明确分开。</w:t>
      </w:r>
    </w:p>
    <w:p>
      <w:pPr>
        <w:pStyle w:val="Heading1"/>
        <w:keepNext/>
        <w:spacing w:before="18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一 可行性结论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《方向入门笔记》的核心直觉是成立的：对应质量会影响群体统计规律，群体统计目标可以反过来成为无人工对应标注的学习信号。真正的工程难点不在于写出一个 MLP，而在于数据是否能代表未配准场景、目标函数是否会被覆盖坍缩钻空子，以及神经表示与线性模型之间如何公平比较。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/>
        </w:trP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任务层级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可行性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本版处理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群体目标的扰动试金石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高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用 AST-Face 的已标准化网格构造可控扰动，检查 E_COMP 的排序是否与已知破坏程度一致。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复现 TPS/群体优化基线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中到高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若取得论文数据则做严格复现；在只有 AST-Face 时，只报告模块核对和合成数据结果。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TPS + 神经残差场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中到高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固定群体目标、初始化和几何约束，只替换连续参数化模块，是首个神经网络实验。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纯反向神经场 + 双射 + 完整 MDL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低到中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涉及输入表征、逆映射、拓扑约束和码率估计，暂不作为首阶段承诺。</w:t>
            </w:r>
          </w:p>
        </w:tc>
      </w:tr>
    </w:tbl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因此当前研究问题应写成：“在相同群体统计目标和几何约束下，受约束的神经残差场能否比 TPS 更稳定地表达扫描间连续对应？”如果答案是否定的，项目仍然完成了一次有价值的复现和失败分析；只有答案稳定为正，才把它包装成论文方法。</w:t>
      </w:r>
    </w:p>
    <w:p>
      <w:pPr>
        <w:pStyle w:val="Heading1"/>
        <w:keepNext/>
        <w:spacing w:before="18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二 需要从入门笔记中修正的表述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/>
        </w:trP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笔记中的直觉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需要加的限定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修订后的使用方式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E_COMP 就是完整 MDL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在固定样本数、模型阶数和高斯假设下，log 特征值和与数据编码代价等价；它没有自动包含神经网络参数的模型代价。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首阶段称为群体紧致度/数据代价目标；跨线性模型与神经模型时，另报模型码长或码率–失真曲线。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PointNet 的瓶颈维度和临界点集就是 MDL 两笔账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PointNet 的排列不变性和关键点现象是架构启发，不是已证明的编码定理；瓶颈维度也不是实际比特数。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用 PointNet/PointNet++ 解决无序输入或提取全局特征，不把临界点数量直接写进 MDL 损失。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直接从扫描点学习反向映射即可完成舒展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单个点坐标通常不足以确定扫描身份、表情和规范位置；还需要扫描级特征或条件码，且逆映射的稳定性要单独验证。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先做规范坐标到扫描表面的前向残差场；反向映射留作由三角面搜索或后续循环一致性实验验证。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要求映射严格双射就能保证不撕裂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在离散网格和有限采样上，严格双射难以直接保证；硬性要求会显著增加优化难度。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首阶段监测三角形翻转、局部面积变化、覆盖率和边界漂移，必要时再加入 Jacobian 或循环一致性惩罚。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先定义 MDL、暂时不写代码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是否能驱动对应必须靠扰动实验检验，不能只凭理论直觉。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先实现最小可计算的 E_COMP 与几何检查，再决定是否值得投入神经训练。</w:t>
            </w:r>
          </w:p>
        </w:tc>
      </w:tr>
    </w:tbl>
    <w:p>
      <w:pPr>
        <w:pStyle w:val="Heading1"/>
        <w:keepNext/>
        <w:spacing w:before="18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三 工作区数据能支持什么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当前工作区的 data 目录中有 AST-Face 公共压缩包和数据使用协议。清单显示约 98 个身份目录、1553 个标准化网格、1455 个形变场和 1554 个 landmark 文件；公共部分是匿名的拓扑标准化派生数据。协议说明原始未标准化扫描属于受控数据，当前压缩包不能被当成原始扫描数据使用。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/>
        </w:trP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数据条件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能做的事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不能直接声称的事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标准化网格与共享拓扑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建立已知顶点对应的 oracle；生成刚体、平滑非刚性、噪声、缺失和索引扰动；验证 E_COMP、覆盖和几何指标。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不能把同拓扑数据上的结果直接写成真实未配准扫描的完整复现。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形变场、landmark、AU/表情元数据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控制扰动强度，按身份留出测试集，观察身份与表情变化对群体统计的影响。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不能把已有标准化拓扑当作网络自动发现的对应结果。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没有本地 BU-3DFE/Bosphorus 原始数据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先完成 AST-Face 试金石和合成基线；同步记录论文数据获取、许可证和预处理要求。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不能提前承诺在论文的全部数据协议上复现数字。</w:t>
            </w:r>
          </w:p>
        </w:tc>
      </w:tr>
    </w:tbl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AST-Face 最适合承担“机制验证集”和“有真值的神经学习入门集”两个角色。实际处理时不要一次性解压全部压缩包：先按身份抽取 10–20 个身份、每个身份 3–5 个表情/动作单元，统一读取网格、形变场和 landmark，并把文件清单、拓扑哈希和数据版本写入实验记录。若将来申请受控原始扫描，只用于对应和群体建模，不开展身份识别或重识别任务。</w:t>
      </w:r>
    </w:p>
    <w:p>
      <w:pPr>
        <w:pStyle w:val="Heading1"/>
        <w:keepNext/>
        <w:spacing w:before="18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四 收窄后的研究假设与模型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研究假设是：TPS 提供了稳定的低频初始对应，但其核函数和有限控制参数可能限制局部形变；在同一群体目标、同一初始化和同一几何保护下，低幅度共享神经残差可以改善难对齐区域，同时不牺牲覆盖和表面保真度。网络首先学习前向映射，即从规范参数 u 到扫描 s 的表面点；这比直接从单个扫描点猜规范坐标更容易控制，也保留了原论文的参数化语境。</w:t>
      </w:r>
    </w:p>
    <w:p>
      <w:pPr>
        <w:spacing w:before="0" w:after="8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Phi_s(u) = Phi_s^TPS(u) + alpha · tanh(Delta_theta(u, z_s))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u 是共享规范域中的二维参数或网格坐标，Phi_s^TPS 是扫描 s 的 TPS 初始曲面，z_s 是扫描级条件码，Delta_theta 是共享网络预测的三维残差，alpha 用于限制首版修正幅度。第一版不把 z_s 解释成可泛化的身份表情编码；它只用于隔离“群体目标能否训练连续残差场”这个问题。只有在残差实验有效后，才增加点云编码器并测试新身份泛化。</w:t>
      </w:r>
    </w:p>
    <w:p>
      <w:pPr>
        <w:pStyle w:val="Heading1"/>
        <w:keepNext/>
        <w:spacing w:before="18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五 由低风险到高风险的执行路线</w:t>
      </w:r>
    </w:p>
    <w:p>
      <w:pPr>
        <w:pStyle w:val="Heading2"/>
        <w:keepNext/>
        <w:spacing w:before="10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5.1 阶段 0：扰动试金石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从 AST-Face 小子集出发，用原有共享拓扑作为对应真值，制作几档可控扰动：全局刚体变化、平滑局部形变、点坐标噪声、随机缺失和索引打乱。首测不直接制造自交折叠，因为那会把拓扑破坏和对应错误混在一起。对每个扰动等级计算 E_COMP、表面几何和覆盖指标，并用多个随机种子检查排序是否稳定。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通过条件不是某个事后挑出的阈值，而是预先约定的趋势：破坏加重时，群体目标应大体变差；如果 E_COMP 排名经常与已知扰动相反，先修正统计实现和数据构造，不进入神经网络阶段。</w:t>
      </w:r>
    </w:p>
    <w:p>
      <w:pPr>
        <w:pStyle w:val="Heading2"/>
        <w:keepNext/>
        <w:spacing w:before="10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5.2 阶段 A：原论文基线与模块核对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按补充材料逐项核对数据预处理、模板拟合、身份—表情张量、HOSVD、群体紧致度、正则项、边界约束、TPS 和 L-BFGS 更新。先在小数据和合成数据上做数值单元测试，再处理真实论文数据。若真实数据尚未获得，明确把结果标为“AST-Face 合成验证”，不使用“完整复现”措辞。</w:t>
      </w:r>
    </w:p>
    <w:p>
      <w:pPr>
        <w:pStyle w:val="Heading2"/>
        <w:keepNext/>
        <w:spacing w:before="10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5.3 阶段 B：TPS 加神经残差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固定阶段 A 的群体统计目标、数据划分、初始化和评价脚本，只替换连续参数化模块。对照至少包括 TPS、独立 MLP 场、共享 MLP 场加扫描码，以及 TPS 加神经残差四种形式；其中最后一种是主方法，其他三种用于判断共享结构和 TPS 初始化各自是否有用。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/>
        </w:trP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首要目的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首阶段结论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TPS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验证原方法和评价脚本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群体目标、几何和优化行为的基线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独立 MLP 场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判断纯神经参数化的优化难度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不作为最终方法，只作诊断对照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共享 MLP + 扫描码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观察跨扫描共享结构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检查是否提高稳定性，防止独立模型各自记忆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TPS + 神经残差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在稳定初值上学习局部修正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只有在消融和几何检查通过后才进入论文主结果</w:t>
            </w:r>
          </w:p>
        </w:tc>
      </w:tr>
    </w:tbl>
    <w:p>
      <w:pPr>
        <w:pStyle w:val="Heading2"/>
        <w:keepNext/>
        <w:spacing w:before="10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5.4 阶段 C：可选的点云编码器与逆映射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若阶段 B 证明残差场有稳定收益，再将扫描码替换为 PointNet++、DGCNN 或其他点云编码器，并在身份留出设置下测试泛化。此时才研究从扫描点到规范域的近似逆映射、循环一致性和局部 Jacobian 约束。PointNet 在这里提供排列不变性的工程视角，而不是描述长度理论本身。</w:t>
      </w:r>
    </w:p>
    <w:p>
      <w:pPr>
        <w:pStyle w:val="Heading1"/>
        <w:keepNext/>
        <w:spacing w:before="18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六 目标函数与防退化设计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首版把 E_COMP 当作固定模型类中的群体数据代价目标，不把它冒充跨模型的完整 MDL。神经训练可从下面的受约束形式开始：</w:t>
      </w:r>
    </w:p>
    <w:p>
      <w:pPr>
        <w:spacing w:before="0" w:after="8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L = E_COMP + lambda_init E_init + lambda_cov E_coverage + lambda_bnd E_boundary + lambda_smooth E_smooth + lambda_jac E_jac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E_init 限制残差不要无故偏离 TPS；E_coverage 检查规范域采样对表面的覆盖；E_boundary 约束口部、眼眶等边界区域；E_smooth 控制邻域变化；E_jac 只在定义了面片参数化后监测或惩罚翻转和局部面积异常。权重由训练集和验证集确定，不能看测试集后调参。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如果日后要声称完整 MDL，必须单独定义网络参数的量化与熵编码、扫描码的分布模型以及数据重建失真，并报告 L_model、L_data|model 和码率–失真曲线。首阶段不跨表示类比较一个孤立的 E_COMP 数字。</w:t>
      </w:r>
    </w:p>
    <w:p>
      <w:pPr>
        <w:pStyle w:val="Heading1"/>
        <w:keepNext/>
        <w:spacing w:before="18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七 评价、消融与停止条件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/>
        </w:trP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必须回答的问题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群体统计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E_COMP/身份与表情紧致度曲线、固定阶数下的解释误差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对应改善是否真正降低群体变化，而非只降低局部几何误差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几何保真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点到面距离、法向差、面积覆盖、边界漂移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紧致度下降是否通过把点挤到脸颊或其他小区域获得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对应健康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顶点位移、局部面积异常、三角形翻转、必要时循环误差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连续映射是否出现折叠、撕裂或边界漂移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泛化与稳定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身份留出、多个随机种子、初始化敏感性、运行时间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收益是否可重复，是否只是记住训练扫描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机制消融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去掉 E_COMP、去掉覆盖/边界、去掉 TPS 初值、去掉残差限制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论文主张中的每个组成是否真的起作用</w:t>
            </w:r>
          </w:p>
        </w:tc>
      </w:tr>
    </w:tbl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进入论文主结果需要同时满足三点：原论文基线或其可比的合成替代基线已经通过数值核对；神经残差在相同初始化、预算和目标下改善至少一个主要统计指标；几何、覆盖、翻转率和身份留出结果没有出现不可接受的退化。若只得到更低的 E_COMP 而表面覆盖变差，结论应写成目标被钻空子，而不是对应提升。若神经模型与 TPS 相当，则保留为学习实验，不强行包装成新方法。</w:t>
      </w:r>
    </w:p>
    <w:p>
      <w:r>
        <w:br w:type="page"/>
      </w:r>
    </w:p>
    <w:p>
      <w:pPr>
        <w:pStyle w:val="Heading1"/>
        <w:keepNext/>
        <w:spacing w:before="18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八 边学习边推进的最小计划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/>
        </w:trP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顺序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学习内容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HOSVD、身份/表情系数和 E_COMP 的适用边界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可手算的小例子、公式核对和单元测试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AST-Face 压缩包结构、网格拓扑、形变场和 landmark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可复现的子集清单、拓扑哈希和数据说明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扰动试金石与群体统计目标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扰动强度—E_COMP—几何指标曲线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TPS、正则项和优化器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基线收敛曲线、失败案例和可视化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条件 MLP 神经残差场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TPS/MLP/共享场/残差场对照与消融</w:t>
            </w:r>
          </w:p>
        </w:tc>
      </w:tr>
      <w:tr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点云编码、逆映射和码率–失真</w:t>
            </w:r>
          </w:p>
        </w:tc>
        <w:tc>
          <w:tcPr>
            <w:tcW w:type="dxa" w:w="33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2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仅在前五步通过后开展的扩展实验</w:t>
            </w:r>
          </w:p>
        </w:tc>
      </w:tr>
    </w:tbl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近期唯一的硬目标是完成阶段 0 和阶段 A，而不是先定下论文题目。它们能告诉我们：描述长度目标是否真的识别对应破坏、现有公共数据能否支撑可重复实验、以及 TPS 的瓶颈是否足以值得神经网络介入。</w:t>
      </w:r>
    </w:p>
    <w:p>
      <w:pPr>
        <w:pStyle w:val="Heading1"/>
        <w:keepNext/>
        <w:spacing w:before="180" w:after="60" w:line="25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九 论文贡献的边界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可成立的首篇论文贡献应是：在明确的数据协议和固定群体统计目标下，提出一种受 TPS 初始化和几何约束保护的神经残差对应场；通过扰动试金石、原方法基线、跨身份测试和系统消融，证明它在某个具体瓶颈上稳定改善，或明确揭示为什么它不能改善。不能把 PointNet 的临界点集、E_COMP 的数据代价和完整 MDL、或者“神经网络能够表达复杂形变”分别当成已经完成的理论贡献。</w:t>
      </w:r>
    </w:p>
    <w:p>
      <w:pPr>
        <w:spacing w:before="80" w:after="0" w:line="25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8"/>
        </w:rPr>
        <w:t>参考文献：T. Bolkart and S. Wuhrer, “A Groupwise Multilinear Correspondence Optimization for 3D Faces,” ICCV 2015；Y. Zhao, G. Gong, N. Li, Y. Li, and Y. Liu, “AST-Face: A Topology-Standardized 3D Facial Dataset with Emotion and AU Diversity for East Asians,” Open Science Framework, https://doi.org/10.17605/OSF.IO/XK4F6；PointNet、ImFace/ImFace++、DIF-Net、CaDeX 和 MOCHI 作为相关方法对照。</w:t>
      </w:r>
    </w:p>
    <w:sectPr w:rsidR="00FC693F" w:rsidRPr="0006063C" w:rsidSect="00034616">
      <w:pgSz w:w="12240" w:h="15840"/>
      <w:pgMar w:top="935" w:right="1106" w:bottom="879" w:left="11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从群体对应优化到受约束的神经残差对应场</dc:title>
  <dc:subject>根据方向入门笔记和现有数据条件修订的三维人脸研究路线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