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mc="http://schemas.openxmlformats.org/markup-compatibility/2006" xmlns:r="http://schemas.openxmlformats.org/officeDocument/2006/relationships" xmlns:w="http://schemas.openxmlformats.org/wordprocessingml/2006/main" mc:Ignorable="w14 w15 wp14">
  <w:body>
    <w:p>
      <w:pPr>
        <w:spacing w:before="3200" w:line="20" w:lineRule="exact"/>
      </w:pPr>
    </w:p>
    <w:p>
      <w:pPr>
        <w:spacing w:after="60" w:line="360" w:lineRule="auto"/>
        <w:jc w:val="center"/>
      </w:pPr>
      <w:r>
        <w:rPr>
          <w:rFonts w:ascii="Times New Roman" w:cs="Times New Roman" w:eastAsia="SimSun" w:hAnsi="Times New Roman"/>
          <w:b/>
          <w:bCs/>
          <w:color w:val="2C3E50"/>
          <w:sz w:val="52"/>
          <w:szCs w:val="52"/>
        </w:rPr>
        <w:t xml:space="preserve">MDL 与描述长度笔记</w:t>
      </w:r>
    </w:p>
    <w:p>
      <w:pPr>
        <w:spacing w:before="300" w:line="20" w:lineRule="exact"/>
      </w:pPr>
    </w:p>
    <w:p>
      <w:pPr>
        <w:spacing w:after="60" w:line="360" w:lineRule="auto"/>
        <w:jc w:val="center"/>
      </w:pPr>
      <w:r>
        <w:rPr>
          <w:rFonts w:ascii="Times New Roman" w:cs="Times New Roman" w:eastAsia="SimSun" w:hAnsi="Times New Roman"/>
          <w:color w:val="2E5C8A"/>
          <w:sz w:val="26"/>
          <w:szCs w:val="26"/>
        </w:rPr>
        <w:t xml:space="preserve">从两笔账到 E_COMP 的严格对应</w:t>
      </w:r>
    </w:p>
    <w:p>
      <w:pPr>
        <w:spacing w:before="400" w:line="20" w:lineRule="exact"/>
      </w:pPr>
    </w:p>
    <w:p>
      <w:pPr>
        <w:pBdr>
          <w:bottom w:val="single" w:color="1F3864" w:sz="6"/>
        </w:pBdr>
        <w:spacing w:after="200"/>
      </w:pPr>
    </w:p>
    <w:p>
      <w:pPr>
        <w:spacing w:before="1400" w:line="20" w:lineRule="exact"/>
      </w:pPr>
    </w:p>
    <w:p>
      <w:pPr>
        <w:spacing w:after="60" w:line="360" w:lineRule="auto"/>
        <w:jc w:val="center"/>
      </w:pPr>
      <w:r>
        <w:rPr>
          <w:rFonts w:ascii="Times New Roman" w:cs="Times New Roman" w:eastAsia="SimSun" w:hAnsi="Times New Roman"/>
          <w:color w:val="2C3E50"/>
          <w:sz w:val="22"/>
          <w:szCs w:val="22"/>
        </w:rPr>
        <w:t xml:space="preserve">三维人脸分析 · 理论笔记</w:t>
      </w:r>
    </w:p>
    <w:p>
      <w:pPr>
        <w:spacing w:after="60" w:line="360" w:lineRule="auto"/>
        <w:jc w:val="center"/>
      </w:pPr>
      <w:r>
        <w:rPr>
          <w:rFonts w:ascii="Times New Roman" w:cs="Times New Roman" w:eastAsia="SimSun" w:hAnsi="Times New Roman"/>
          <w:color w:val="2C3E50"/>
          <w:sz w:val="20"/>
          <w:szCs w:val="20"/>
        </w:rPr>
        <w:t xml:space="preserve">2026 年 10 月</w:t>
      </w:r>
    </w:p>
    <w:p>
      <w:pPr>
        <w:sectPr>
          <w:pgSz w:w="11906" w:h="16838" w:orient="portrait"/>
          <w:pgMar w:top="1701" w:right="1418" w:bottom="1418" w:left="1701" w:header="708" w:footer="708" w:gutter="0"/>
          <w:pgNumType/>
          <w:cols w:num="1"/>
          <w:docGrid w:linePitch="360"/>
        </w:sectPr>
      </w:pPr>
    </w:p>
    <w:p>
      <w:pPr>
        <w:pStyle w:val="Heading1"/>
        <w:keepNext/>
        <w:keepLines/>
        <w:spacing w:after="120" w:before="180"/>
        <w:jc w:val="center"/>
      </w:pPr>
      <w:r>
        <w:rPr>
          <w:rFonts w:ascii="Times New Roman" w:cs="Times New Roman" w:eastAsia="SimHei" w:hAnsi="Times New Roman"/>
          <w:b/>
          <w:bCs/>
          <w:color w:val="1F3864"/>
          <w:sz w:val="36"/>
          <w:szCs w:val="36"/>
        </w:rPr>
        <w:t xml:space="preserve">目  录</w:t>
      </w:r>
    </w:p>
    <w:p>
      <w:pPr>
        <w:spacing w:before="200" w:line="20" w:lineRule="exact"/>
      </w:pPr>
    </w:p>
    <w:sdt>
      <w:sdtPr>
        <w:alias w:val="目录"/>
      </w:sdtPr>
      <w:sdtContent>
        <w:p>
          <w:pPr>
            <w:pStyle w:val="TOC1"/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ch1">
            <w:r>
              <w:t xml:space="default">第一章 描述长度的两笔账</w:t>
            </w:r>
          </w:hyperlink>
        </w:p>
        <w:p>
          <w:pPr>
            <w:pStyle w:val="TOC2"/>
          </w:pPr>
          <w:hyperlink w:history="1" w:anchor="_toc_auto_2">
            <w:r>
              <w:t xml:space="default">1.1 基本结构</w:t>
            </w:r>
          </w:hyperlink>
        </w:p>
        <w:p>
          <w:pPr>
            <w:pStyle w:val="TOC2"/>
          </w:pPr>
          <w:hyperlink w:history="1" w:anchor="_toc_auto_3">
            <w:r>
              <w:t xml:space="default">1.2 两个反例：只算一笔必然出错</w:t>
            </w:r>
          </w:hyperlink>
        </w:p>
        <w:p>
          <w:pPr>
            <w:pStyle w:val="TOC1"/>
          </w:pPr>
          <w:hyperlink w:history="1" w:anchor="_ch2">
            <w:r>
              <w:t xml:space="default">第二章 为什么参数量不等于描述长度</w:t>
            </w:r>
          </w:hyperlink>
        </w:p>
        <w:p>
          <w:pPr>
            <w:pStyle w:val="TOC2"/>
          </w:pPr>
          <w:hyperlink w:history="1" w:anchor="_toc_auto_5">
            <w:r>
              <w:t xml:space="default">2.1 四条理由</w:t>
            </w:r>
          </w:hyperlink>
        </w:p>
        <w:p>
          <w:pPr>
            <w:pStyle w:val="TOC3"/>
          </w:pPr>
          <w:hyperlink w:history="1" w:anchor="_toc_auto_6">
            <w:r>
              <w:t xml:space="default">理由一：参数是浮点数，不是比特</w:t>
            </w:r>
          </w:hyperlink>
        </w:p>
        <w:p>
          <w:pPr>
            <w:pStyle w:val="TOC3"/>
          </w:pPr>
          <w:hyperlink w:history="1" w:anchor="_toc_auto_7">
            <w:r>
              <w:t xml:space="default">理由二：大量参数是冗余的</w:t>
            </w:r>
          </w:hyperlink>
        </w:p>
        <w:p>
          <w:pPr>
            <w:pStyle w:val="TOC3"/>
          </w:pPr>
          <w:hyperlink w:history="1" w:anchor="_toc_auto_8">
            <w:r>
              <w:t xml:space="default">理由三：架构本身也是信息</w:t>
            </w:r>
          </w:hyperlink>
        </w:p>
        <w:p>
          <w:pPr>
            <w:pStyle w:val="TOC3"/>
          </w:pPr>
          <w:hyperlink w:history="1" w:anchor="_toc_auto_9">
            <w:r>
              <w:t xml:space="default">理由四：先验该不该算钱</w:t>
            </w:r>
          </w:hyperlink>
        </w:p>
        <w:p>
          <w:pPr>
            <w:pStyle w:val="TOC2"/>
          </w:pPr>
          <w:hyperlink w:history="1" w:anchor="_toc_auto_10">
            <w:r>
              <w:t xml:space="default">2.2 一个可直接演示的例子</w:t>
            </w:r>
          </w:hyperlink>
        </w:p>
        <w:p>
          <w:pPr>
            <w:pStyle w:val="TOC2"/>
          </w:pPr>
          <w:hyperlink w:history="1" w:anchor="_toc_auto_11">
            <w:r>
              <w:t xml:space="default">2.3 审稿人会如何质疑</w:t>
            </w:r>
          </w:hyperlink>
        </w:p>
        <w:p>
          <w:pPr>
            <w:pStyle w:val="TOC2"/>
          </w:pPr>
          <w:hyperlink w:history="1" w:anchor="_toc_auto_12">
            <w:r>
              <w:t xml:space="default">2.4 对本研究的意义</w:t>
            </w:r>
          </w:hyperlink>
        </w:p>
        <w:p>
          <w:pPr>
            <w:pStyle w:val="TOC1"/>
          </w:pPr>
          <w:hyperlink w:history="1" w:anchor="_ch3">
            <w:r>
              <w:t xml:space="default">第三章 E_COMP 与描述长度的严格对应</w:t>
            </w:r>
          </w:hyperlink>
        </w:p>
        <w:p>
          <w:pPr>
            <w:pStyle w:val="TOC2"/>
          </w:pPr>
          <w:hyperlink w:history="1" w:anchor="_toc_auto_14">
            <w:r>
              <w:t xml:space="default">3.1 模型设定</w:t>
            </w:r>
          </w:hyperlink>
        </w:p>
        <w:p>
          <w:pPr>
            <w:pStyle w:val="TOC2"/>
          </w:pPr>
          <w:hyperlink w:history="1" w:anchor="_toc_auto_15">
            <w:r>
              <w:t xml:space="default">3.2 单个高斯变量的最优码长</w:t>
            </w:r>
          </w:hyperlink>
        </w:p>
        <w:p>
          <w:pPr>
            <w:pStyle w:val="TOC2"/>
          </w:pPr>
          <w:hyperlink w:history="1" w:anchor="_toc_auto_16">
            <w:r>
              <w:t xml:space="default">3.3 汇总得到对数特征值之和</w:t>
            </w:r>
          </w:hyperlink>
        </w:p>
        <w:p>
          <w:pPr>
            <w:pStyle w:val="TOC2"/>
          </w:pPr>
          <w:hyperlink w:history="1" w:anchor="_toc_auto_17">
            <w:r>
              <w:t xml:space="default">3.4 δ 的信息论解释</w:t>
            </w:r>
          </w:hyperlink>
        </w:p>
        <w:p>
          <w:pPr>
            <w:pStyle w:val="TOC2"/>
          </w:pPr>
          <w:hyperlink w:history="1" w:anchor="_toc_auto_18">
            <w:r>
              <w:t xml:space="default">3.5 结论与适用边界</w:t>
            </w:r>
          </w:hyperlink>
        </w:p>
        <w:p>
          <w:pPr>
            <w:pStyle w:val="TOC1"/>
          </w:pPr>
          <w:hyperlink w:history="1" w:anchor="_ch4">
            <w:r>
              <w:t xml:space="default">第四章 推广到多线性模型</w:t>
            </w:r>
          </w:hyperlink>
        </w:p>
        <w:p>
          <w:pPr>
            <w:pStyle w:val="TOC2"/>
          </w:pPr>
          <w:hyperlink w:history="1" w:anchor="_toc_auto_20">
            <w:r>
              <w:t xml:space="default">4.1 张量分解</w:t>
            </w:r>
          </w:hyperlink>
        </w:p>
        <w:p>
          <w:pPr>
            <w:pStyle w:val="TOC2"/>
          </w:pPr>
          <w:hyperlink w:history="1" w:anchor="_toc_auto_21">
            <w:r>
              <w:t xml:space="default">4.2 多线性版本的描述长度</w:t>
            </w:r>
          </w:hyperlink>
        </w:p>
        <w:p>
          <w:pPr>
            <w:pStyle w:val="TOC2"/>
          </w:pPr>
          <w:hyperlink w:history="1" w:anchor="_toc_auto_22">
            <w:r>
              <w:t xml:space="default">4.3 可解释旋钮的信息论解释</w:t>
            </w:r>
          </w:hyperlink>
        </w:p>
        <w:p>
          <w:pPr>
            <w:pStyle w:val="TOC1"/>
          </w:pPr>
          <w:hyperlink w:history="1" w:anchor="_ch5">
            <w:r>
              <w:t xml:space="default">第五章 推广到神经表示</w:t>
            </w:r>
          </w:hyperlink>
        </w:p>
        <w:p>
          <w:pPr>
            <w:pStyle w:val="TOC2"/>
          </w:pPr>
          <w:hyperlink w:history="1" w:anchor="_toc_auto_24">
            <w:r>
              <w:t xml:space="default">5.1 描述长度的定义</w:t>
            </w:r>
          </w:hyperlink>
        </w:p>
        <w:p>
          <w:pPr>
            <w:pStyle w:val="TOC2"/>
          </w:pPr>
          <w:hyperlink w:history="1" w:anchor="_toc_auto_25">
            <w:r>
              <w:t xml:space="default">5.2 两项各自如何计算</w:t>
            </w:r>
          </w:hyperlink>
        </w:p>
        <w:p>
          <w:pPr>
            <w:pStyle w:val="TOC3"/>
          </w:pPr>
          <w:hyperlink w:history="1" w:anchor="_toc_auto_26">
            <w:r>
              <w:t xml:space="default">模型码长</w:t>
            </w:r>
          </w:hyperlink>
        </w:p>
        <w:p>
          <w:pPr>
            <w:pStyle w:val="TOC3"/>
          </w:pPr>
          <w:hyperlink w:history="1" w:anchor="_toc_auto_27">
            <w:r>
              <w:t xml:space="default">隐码码长</w:t>
            </w:r>
          </w:hyperlink>
        </w:p>
        <w:p>
          <w:pPr>
            <w:pStyle w:val="TOC2"/>
          </w:pPr>
          <w:hyperlink w:history="1" w:anchor="_toc_auto_28">
            <w:r>
              <w:t xml:space="default">5.3 两段码：把预训练模型当作共享字典</w:t>
            </w:r>
          </w:hyperlink>
        </w:p>
        <w:p>
          <w:pPr>
            <w:pStyle w:val="TOC2"/>
          </w:pPr>
          <w:hyperlink w:history="1" w:anchor="_toc_auto_29">
            <w:r>
              <w:t xml:space="default">5.4 关键难点：跨表示类的可比性</w:t>
            </w:r>
          </w:hyperlink>
        </w:p>
        <w:p>
          <w:pPr>
            <w:pStyle w:val="TOC1"/>
          </w:pPr>
          <w:hyperlink w:history="1" w:anchor="_ch6">
            <w:r>
              <w:t xml:space="default">第六章 实操清单</w:t>
            </w:r>
          </w:hyperlink>
        </w:p>
        <w:p>
          <w:pPr>
            <w:pStyle w:val="TOC2"/>
          </w:pPr>
          <w:hyperlink w:history="1" w:anchor="_toc_auto_31">
            <w:r>
              <w:t xml:space="default">6.1 报告方式：报两个数，不报一个数</w:t>
            </w:r>
          </w:hyperlink>
        </w:p>
        <w:p>
          <w:pPr>
            <w:pStyle w:val="TOC2"/>
          </w:pPr>
          <w:hyperlink w:history="1" w:anchor="_toc_auto_32">
            <w:r>
              <w:t xml:space="default">6.2 比较方式：用曲线，不用标量</w:t>
            </w:r>
          </w:hyperlink>
        </w:p>
        <w:p>
          <w:pPr>
            <w:pStyle w:val="TOC2"/>
          </w:pPr>
          <w:hyperlink w:history="1" w:anchor="_toc_auto_33">
            <w:r>
              <w:t xml:space="default">6.3 训练目标的形式</w:t>
            </w:r>
          </w:hyperlink>
        </w:p>
        <w:p>
          <w:pPr>
            <w:pStyle w:val="TOC2"/>
          </w:pPr>
          <w:hyperlink w:history="1" w:anchor="_toc_auto_34">
            <w:r>
              <w:t xml:space="default">6.4 必须提前设防：该目标一定会被钻空子</w:t>
            </w:r>
          </w:hyperlink>
        </w:p>
        <w:p>
          <w:pPr>
            <w:pStyle w:val="TOC2"/>
          </w:pPr>
          <w:hyperlink w:history="1" w:anchor="_toc_auto_35">
            <w:r>
              <w:t xml:space="default">6.5 与已有工作的区分</w:t>
            </w:r>
          </w:hyperlink>
        </w:p>
        <w:p>
          <w:pPr>
            <w:pStyle w:val="TOC1"/>
          </w:pPr>
          <w:hyperlink w:history="1" w:anchor="_ch7">
            <w:r>
              <w:t xml:space="default">第七章 术语表</w:t>
            </w:r>
          </w:hyperlink>
        </w:p>
        <w:p>
          <w:pPr>
            <w:pStyle w:val="TOC2"/>
          </w:pPr>
          <w:hyperlink w:history="1" w:anchor="_toc_auto_37">
            <w:r>
              <w:t xml:space="default">核心结论回顾</w:t>
            </w:r>
          </w:hyperlink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701" w:right="1418" w:bottom="1418" w:left="1701" w:header="708" w:footer="708" w:gutter="0"/>
          <w:pgNumType w:start="1" w:fmt="upperRoman"/>
          <w:cols w:num="1"/>
          <w:docGrid w:linePitch="360"/>
        </w:sectPr>
      </w:pPr>
    </w:p>
    <w:p>
      <w:pPr>
        <w:pStyle w:val="Heading1"/>
        <w:keepNext/>
        <w:keepLines/>
        <w:spacing w:after="120" w:before="180"/>
      </w:pPr>
      <w:bookmarkStart w:name="_ch1" w:id="0"/>
      <w:r>
        <w:rPr>
          <w:rFonts w:ascii="Times New Roman" w:cs="Times New Roman" w:eastAsia="SimHei" w:hAnsi="Times New Roman"/>
          <w:b/>
          <w:bCs/>
          <w:color w:val="1F3864"/>
          <w:sz w:val="36"/>
          <w:szCs w:val="36"/>
        </w:rPr>
        <w:t xml:space="preserve">第一章 描述长度的两笔账</w:t>
      </w:r>
      <w:bookmarkEnd w:id="0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最小描述长度（Minimum Description Length，MDL）的核心是一条原则：最好的模型，是能让数据被描述得最短的那个模型。它把「描述长度」拆成两笔互相制衡的账。</w:t>
      </w:r>
    </w:p>
    <w:p>
      <w:pPr>
        <w:pStyle w:val="Heading2"/>
        <w:keepNext/>
        <w:keepLines/>
        <w:spacing w:after="120" w:before="180"/>
      </w:pPr>
      <w:bookmarkStart w:name="_toc_auto_2" w:id="1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1.1 基本结构</w:t>
      </w:r>
      <w:bookmarkEnd w:id="1"/>
    </w:p>
    <w:p>
      <w:pPr>
        <w:tabs>
          <w:tab w:val="center" w:pos="4394"/>
          <w:tab w:val="right" w:pos="8787"/>
        </w:tabs>
        <w:spacing w:after="120" w:before="120" w:line="360" w:lineRule="auto"/>
      </w:pPr>
      <w:r>
        <w:ptab w:alignment="center" w:relativeTo="margin" w:leader="none"/>
      </w:r>
      <m:oMath>
        <m:sSub>
          <m:sSubPr/>
          <m:e>
            <m:r>
              <m:t>L</m:t>
            </m:r>
          </m:e>
          <m:sub>
            <m:r>
              <m:t>total</m:t>
            </m:r>
          </m:sub>
        </m:sSub>
        <m:r>
          <m:t>=</m:t>
        </m:r>
        <m:sSub>
          <m:sSubPr/>
          <m:e>
            <m:r>
              <m:t>L</m:t>
            </m:r>
          </m:e>
          <m:sub>
            <m:r>
              <m:t>model</m:t>
            </m:r>
          </m:sub>
        </m:sSub>
        <m:r>
          <m:t>+</m:t>
        </m:r>
        <m:sSub>
          <m:sSubPr/>
          <m:e>
            <m:r>
              <m:t>L</m:t>
            </m:r>
          </m:e>
          <m:sub>
            <m:r>
              <m:t>data|model</m:t>
            </m:r>
          </m:sub>
        </m:sSub>
      </m:oMath>
      <w:r>
        <w:ptab w:alignment="right" w:relativeTo="margin" w:leader="non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(1.1)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两项的含义分别是：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模型代价 L_model：把「规律」本身写下来，需要多少比特。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数据代价 L_data|model：在已知规律的前提下，把每个具体样本恢复出来，还需要额外多少比特。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这个拆法的用意在于：只有两项相加，才能同时约束「规律是否够强」和「规律是否够简」。任何只算一项的复杂度指标，都会得出自相矛盾的结论。</w:t>
      </w:r>
    </w:p>
    <w:p>
      <w:pPr>
        <w:pStyle w:val="Heading2"/>
        <w:keepNext/>
        <w:keepLines/>
        <w:spacing w:after="120" w:before="180"/>
      </w:pPr>
      <w:bookmarkStart w:name="_toc_auto_3" w:id="2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1.2 两个反例：只算一笔必然出错</w:t>
      </w:r>
      <w:bookmarkEnd w:id="2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反例一：只看模型代价，会奖励「什么都不做」。设两个模型都用来描述 N 张人脸，对比见表 1.1。</w:t>
      </w:r>
    </w:p>
    <w:p>
      <w:pPr>
        <w:spacing w:after="60" w:before="200"/>
        <w:jc w:val="center"/>
      </w:pPr>
      <w:r>
        <w:rPr>
          <w:rFonts w:ascii="Times New Roman" w:cs="Times New Roman" w:eastAsia="SimSun" w:hAnsi="Times New Roman"/>
          <w:color w:val="2C3E50"/>
          <w:sz w:val="20"/>
          <w:szCs w:val="20"/>
        </w:rPr>
        <w:t xml:space="preserve">表 1.1  两类退化模型的代价结构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8"/>
        <w:gridCol w:w="3283"/>
        <w:gridCol w:w="1642"/>
        <w:gridCol w:w="2124"/>
      </w:tblGrid>
      <w:tr>
        <w:tc>
          <w:tcPr>
            <w:tcW w:type="dxa" w:w="1738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b/>
                <w:bCs/>
                <w:color w:val="2C3E50"/>
                <w:sz w:val="20"/>
                <w:szCs w:val="20"/>
              </w:rPr>
              <w:t xml:space="preserve">模型</w:t>
            </w:r>
          </w:p>
        </w:tc>
        <w:tc>
          <w:tcPr>
            <w:tcW w:type="dxa" w:w="3283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b/>
                <w:bCs/>
                <w:color w:val="2C3E50"/>
                <w:sz w:val="20"/>
                <w:szCs w:val="20"/>
              </w:rPr>
              <w:t xml:space="preserve">它是什么</w:t>
            </w:r>
          </w:p>
        </w:tc>
        <w:tc>
          <w:tcPr>
            <w:tcW w:type="dxa" w:w="1642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b/>
                <w:bCs/>
                <w:color w:val="2C3E50"/>
                <w:sz w:val="20"/>
                <w:szCs w:val="20"/>
              </w:rPr>
              <w:t xml:space="preserve">L_model</w:t>
            </w:r>
          </w:p>
        </w:tc>
        <w:tc>
          <w:tcPr>
            <w:tcW w:type="dxa" w:w="2124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b/>
                <w:bCs/>
                <w:color w:val="2C3E50"/>
                <w:sz w:val="20"/>
                <w:szCs w:val="20"/>
              </w:rPr>
              <w:t xml:space="preserve">L_data|model</w:t>
            </w:r>
          </w:p>
        </w:tc>
      </w:tr>
      <w:tr>
        <w:tc>
          <w:tcPr>
            <w:tcW w:type="dxa" w:w="1738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摆烂模型</w:t>
            </w:r>
          </w:p>
        </w:tc>
        <w:tc>
          <w:tcPr>
            <w:tcW w:type="dxa" w:w="3283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永远输出同一张标准脸，参数只有 3 个数</w:t>
            </w:r>
          </w:p>
        </w:tc>
        <w:tc>
          <w:tcPr>
            <w:tcW w:type="dxa" w:w="1642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极小</w:t>
            </w:r>
          </w:p>
        </w:tc>
        <w:tc>
          <w:tcPr>
            <w:tcW w:type="dxa" w:w="2124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极大（每张脸都要从零描述）</w:t>
            </w:r>
          </w:p>
        </w:tc>
      </w:tr>
      <w:tr>
        <w:tc>
          <w:tcPr>
            <w:tcW w:type="dxa" w:w="1738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死记模型</w:t>
            </w:r>
          </w:p>
        </w:tc>
        <w:tc>
          <w:tcPr>
            <w:tcW w:type="dxa" w:w="3283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把 N 张脸的原坐标全部存进参数</w:t>
            </w:r>
          </w:p>
        </w:tc>
        <w:tc>
          <w:tcPr>
            <w:tcW w:type="dxa" w:w="1642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极大</w:t>
            </w:r>
          </w:p>
        </w:tc>
        <w:tc>
          <w:tcPr>
            <w:tcW w:type="dxa" w:w="2124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0（数据已在模型里）</w:t>
            </w:r>
          </w:p>
        </w:tc>
      </w:tr>
    </w:tbl>
    <w:p>
      <w:pPr>
        <w:spacing w:after="0" w:before="200" w:line="20" w:lineRule="exact"/>
      </w:pP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若按「参数越多即描述越长、即越差」排名，摆烂模型胜出。一个什么都不做、输出恒定值的模型被评为最优模型——这就是荒谬之处，而且是「参数少即好」这一指标的必然归宿。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反例二：只看数据代价，排名立刻翻转，死记模型胜出。它重建误差为零，却对任何新样本毫无用处。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因此结论是：第一笔账防止「把数据抄进模型」，第二笔账防止「模型什么也没学到」。两笔之和才构成可用的复杂度度量。</w:t>
      </w:r>
    </w:p>
    <w:p>
      <w:pPr>
        <w:pStyle w:val="Heading1"/>
        <w:keepNext/>
        <w:keepLines/>
        <w:spacing w:after="120" w:before="180"/>
      </w:pPr>
      <w:bookmarkStart w:name="_ch2" w:id="3"/>
      <w:r>
        <w:rPr>
          <w:rFonts w:ascii="Times New Roman" w:cs="Times New Roman" w:eastAsia="SimHei" w:hAnsi="Times New Roman"/>
          <w:b/>
          <w:bCs/>
          <w:color w:val="1F3864"/>
          <w:sz w:val="36"/>
          <w:szCs w:val="36"/>
        </w:rPr>
        <w:t xml:space="preserve">第二章 为什么参数量不等于描述长度</w:t>
      </w:r>
      <w:bookmarkEnd w:id="3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即使只看第一笔账，参数量也不是它。这里列出四条理由，由浅入深。</w:t>
      </w:r>
    </w:p>
    <w:p>
      <w:pPr>
        <w:pStyle w:val="Heading2"/>
        <w:keepNext/>
        <w:keepLines/>
        <w:spacing w:after="120" w:before="180"/>
      </w:pPr>
      <w:bookmarkStart w:name="_toc_auto_5" w:id="4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2.1 四条理由</w:t>
      </w:r>
      <w:bookmarkEnd w:id="4"/>
    </w:p>
    <w:p>
      <w:pPr>
        <w:pStyle w:val="Heading3"/>
        <w:keepNext/>
        <w:keepLines/>
        <w:spacing w:after="120" w:before="180"/>
      </w:pPr>
      <w:bookmarkStart w:name="_toc_auto_6" w:id="5"/>
      <w:r>
        <w:rPr>
          <w:rFonts w:ascii="Times New Roman" w:cs="Times New Roman" w:eastAsia="SimHei" w:hAnsi="Times New Roman"/>
          <w:b/>
          <w:bCs/>
          <w:color w:val="1F3864"/>
          <w:sz w:val="26"/>
          <w:szCs w:val="26"/>
        </w:rPr>
        <w:t xml:space="preserve">理由一：参数是浮点数，不是比特</w:t>
      </w:r>
      <w:bookmarkEnd w:id="5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要谈「多少个比特」，必须先量化。把无限精度的小数截断为有限精度，截断误差本身也是代价的一部分；随后还要做熵编码（高频值用短码、低频值用长码）。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关键在于：随机初始化的网络权值接近白噪声，几乎不可压缩，约需 32 bit/参数；训练好的网络权值集中在少数取值附近，常可压到 2 至 8 bit/参数。参数量相同，真实码长可差数倍。</w:t>
      </w:r>
    </w:p>
    <w:p>
      <w:pPr>
        <w:pStyle w:val="Heading3"/>
        <w:keepNext/>
        <w:keepLines/>
        <w:spacing w:after="120" w:before="180"/>
      </w:pPr>
      <w:bookmarkStart w:name="_toc_auto_7" w:id="6"/>
      <w:r>
        <w:rPr>
          <w:rFonts w:ascii="Times New Roman" w:cs="Times New Roman" w:eastAsia="SimHei" w:hAnsi="Times New Roman"/>
          <w:b/>
          <w:bCs/>
          <w:color w:val="1F3864"/>
          <w:sz w:val="26"/>
          <w:szCs w:val="26"/>
        </w:rPr>
        <w:t xml:space="preserve">理由二：大量参数是冗余的</w:t>
      </w:r>
      <w:bookmarkEnd w:id="6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剪掉训练好网络中 90% 的权值而性能几乎不变，是深度学习的常规操作。这说明被剪掉的部分本就不承载信息。按参数量计算码长，等于把大量零值一并计入。</w:t>
      </w:r>
    </w:p>
    <w:p>
      <w:pPr>
        <w:pStyle w:val="Heading3"/>
        <w:keepNext/>
        <w:keepLines/>
        <w:spacing w:after="120" w:before="180"/>
      </w:pPr>
      <w:bookmarkStart w:name="_toc_auto_8" w:id="7"/>
      <w:r>
        <w:rPr>
          <w:rFonts w:ascii="Times New Roman" w:cs="Times New Roman" w:eastAsia="SimHei" w:hAnsi="Times New Roman"/>
          <w:b/>
          <w:bCs/>
          <w:color w:val="1F3864"/>
          <w:sz w:val="26"/>
          <w:szCs w:val="26"/>
        </w:rPr>
        <w:t xml:space="preserve">理由三：架构本身也是信息</w:t>
      </w:r>
      <w:bookmarkEnd w:id="7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层数、每层宽度、连接方式、激活函数的选择，都是模型的一部分，其中凝结着人类的先验知识，但参数量这个单一数字完全无法反映它们。</w:t>
      </w:r>
    </w:p>
    <w:p>
      <w:pPr>
        <w:pStyle w:val="Heading3"/>
        <w:keepNext/>
        <w:keepLines/>
        <w:spacing w:after="120" w:before="180"/>
      </w:pPr>
      <w:bookmarkStart w:name="_toc_auto_9" w:id="8"/>
      <w:r>
        <w:rPr>
          <w:rFonts w:ascii="Times New Roman" w:cs="Times New Roman" w:eastAsia="SimHei" w:hAnsi="Times New Roman"/>
          <w:b/>
          <w:bCs/>
          <w:color w:val="1F3864"/>
          <w:sz w:val="26"/>
          <w:szCs w:val="26"/>
        </w:rPr>
        <w:t xml:space="preserve">理由四：先验该不该算钱</w:t>
      </w:r>
      <w:bookmarkEnd w:id="8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这是 MDL 中的经典难题。若把「人设计出该架构」的成本也计入模型代价，则任何神经网络都会败给一个三参数的线性模型；若不计入，则跨模型的比较标准并不公平。正因如此，跨表示类的描述长度比较必须格外谨慎。</w:t>
      </w:r>
    </w:p>
    <w:p>
      <w:pPr>
        <w:pStyle w:val="Heading2"/>
        <w:keepNext/>
        <w:keepLines/>
        <w:spacing w:after="120" w:before="180"/>
      </w:pPr>
      <w:bookmarkStart w:name="_toc_auto_10" w:id="9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2.2 一个可直接演示的例子</w:t>
      </w:r>
      <w:bookmarkEnd w:id="9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最能说明问题的是同一网络、同一参数量在训练前后的对比，见表 2.1。</w:t>
      </w:r>
    </w:p>
    <w:p>
      <w:pPr>
        <w:spacing w:after="60" w:before="200"/>
        <w:jc w:val="center"/>
      </w:pPr>
      <w:r>
        <w:rPr>
          <w:rFonts w:ascii="Times New Roman" w:cs="Times New Roman" w:eastAsia="SimSun" w:hAnsi="Times New Roman"/>
          <w:color w:val="2C3E50"/>
          <w:sz w:val="20"/>
          <w:szCs w:val="20"/>
        </w:rPr>
        <w:t xml:space="preserve">表 2.1  参数量相同，描述长度可差数倍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1"/>
        <w:gridCol w:w="1738"/>
        <w:gridCol w:w="3090"/>
        <w:gridCol w:w="1448"/>
      </w:tblGrid>
      <w:tr>
        <w:tc>
          <w:tcPr>
            <w:tcW w:type="dxa" w:w="2511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b/>
                <w:bCs/>
                <w:color w:val="2C3E50"/>
                <w:sz w:val="20"/>
                <w:szCs w:val="20"/>
              </w:rPr>
              <w:t xml:space="preserve">状态</w:t>
            </w:r>
          </w:p>
        </w:tc>
        <w:tc>
          <w:tcPr>
            <w:tcW w:type="dxa" w:w="1738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b/>
                <w:bCs/>
                <w:color w:val="2C3E50"/>
                <w:sz w:val="20"/>
                <w:szCs w:val="20"/>
              </w:rPr>
              <w:t xml:space="preserve">参数量</w:t>
            </w:r>
          </w:p>
        </w:tc>
        <w:tc>
          <w:tcPr>
            <w:tcW w:type="dxa" w:w="3090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b/>
                <w:bCs/>
                <w:color w:val="2C3E50"/>
                <w:sz w:val="20"/>
                <w:szCs w:val="20"/>
              </w:rPr>
              <w:t xml:space="preserve">权值分布</w:t>
            </w:r>
          </w:p>
        </w:tc>
        <w:tc>
          <w:tcPr>
            <w:tcW w:type="dxa" w:w="1448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b/>
                <w:bCs/>
                <w:color w:val="2C3E50"/>
                <w:sz w:val="20"/>
                <w:szCs w:val="20"/>
              </w:rPr>
              <w:t xml:space="preserve">实际码长</w:t>
            </w:r>
          </w:p>
        </w:tc>
      </w:tr>
      <w:tr>
        <w:tc>
          <w:tcPr>
            <w:tcW w:type="dxa" w:w="2511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随机初始化</w:t>
            </w:r>
          </w:p>
        </w:tc>
        <w:tc>
          <w:tcPr>
            <w:tcW w:type="dxa" w:w="1738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50 万</w:t>
            </w:r>
          </w:p>
        </w:tc>
        <w:tc>
          <w:tcPr>
            <w:tcW w:type="dxa" w:w="3090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接近白噪声，几乎不可压缩</w:t>
            </w:r>
          </w:p>
        </w:tc>
        <w:tc>
          <w:tcPr>
            <w:tcW w:type="dxa" w:w="1448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约 16 Mbit</w:t>
            </w:r>
          </w:p>
        </w:tc>
      </w:tr>
      <w:tr>
        <w:tc>
          <w:tcPr>
            <w:tcW w:type="dxa" w:w="2511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训练完成后</w:t>
            </w:r>
          </w:p>
        </w:tc>
        <w:tc>
          <w:tcPr>
            <w:tcW w:type="dxa" w:w="1738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50 万</w:t>
            </w:r>
          </w:p>
        </w:tc>
        <w:tc>
          <w:tcPr>
            <w:tcW w:type="dxa" w:w="3090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集中在少数取值附近，高度可压</w:t>
            </w:r>
          </w:p>
        </w:tc>
        <w:tc>
          <w:tcPr>
            <w:tcW w:type="dxa" w:w="1448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约 1 至 3 Mbit</w:t>
            </w:r>
          </w:p>
        </w:tc>
      </w:tr>
    </w:tbl>
    <w:p>
      <w:pPr>
        <w:spacing w:after="0" w:before="200" w:line="20" w:lineRule="exact"/>
      </w:pP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参数量完全相同，描述长度相差数倍；反过来，参数量相差百倍的两个模型，描述长度也可以相同。这正是神经表示有可能胜出的地方，但前提是使用正确的度量。</w:t>
      </w:r>
    </w:p>
    <w:p>
      <w:pPr>
        <w:pStyle w:val="Heading2"/>
        <w:keepNext/>
        <w:keepLines/>
        <w:spacing w:after="120" w:before="180"/>
      </w:pPr>
      <w:bookmarkStart w:name="_toc_auto_11" w:id="10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2.3 审稿人会如何质疑</w:t>
      </w:r>
      <w:bookmarkEnd w:id="10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这类问题在评审意见中通常表现为以下两种形式：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「作者声称所提神经表示比线性基线更紧致，然而表中显示本方法参数量为基线的 100 倍。作者如何解释这一矛盾？所用紧致度指标究竟是参数量还是描述长度？若为后者，请给出量化方式与实际比特数报告。」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「作者以参数量作为描述长度的代理。依据 MDL 原则，描述长度应为模型码长与数据码长之和。作者仅报告其中一项，故其紧致度结论不成立，核心论点无法被支持。」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这类质疑之所以危险，是因为统计形状模型领域对 MDL 十分熟悉（Davies 等 2001 年的工作即以 MDL 为题），而它攻击的不是实验细节，而是论文的核心论点本身。</w:t>
      </w:r>
    </w:p>
    <w:p>
      <w:pPr>
        <w:pStyle w:val="Heading2"/>
        <w:keepNext/>
        <w:keepLines/>
        <w:spacing w:after="120" w:before="180"/>
      </w:pPr>
      <w:bookmarkStart w:name="_toc_auto_12" w:id="11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2.4 对本研究的意义</w:t>
      </w:r>
      <w:bookmarkEnd w:id="11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这不是技术细节，而是方法论地基，对比见表 2.2。</w:t>
      </w:r>
    </w:p>
    <w:p>
      <w:pPr>
        <w:spacing w:after="60" w:before="200"/>
        <w:jc w:val="center"/>
      </w:pPr>
      <w:r>
        <w:rPr>
          <w:rFonts w:ascii="Times New Roman" w:cs="Times New Roman" w:eastAsia="SimSun" w:hAnsi="Times New Roman"/>
          <w:color w:val="2C3E50"/>
          <w:sz w:val="20"/>
          <w:szCs w:val="20"/>
        </w:rPr>
        <w:t xml:space="preserve">表 2.2  两种度量方式的后果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c>
          <w:tcPr>
            <w:tcW w:type="dxa" w:w="4000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b/>
                <w:bCs/>
                <w:color w:val="2C3E50"/>
                <w:sz w:val="20"/>
                <w:szCs w:val="20"/>
              </w:rPr>
              <w:t xml:space="preserve">若以参数量衡量紧致度</w:t>
            </w:r>
          </w:p>
        </w:tc>
        <w:tc>
          <w:tcPr>
            <w:tcW w:type="dxa" w:w="4000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b/>
                <w:bCs/>
                <w:color w:val="2C3E50"/>
                <w:sz w:val="20"/>
                <w:szCs w:val="20"/>
              </w:rPr>
              <w:t xml:space="preserve">若以正确的描述长度衡量</w:t>
            </w:r>
          </w:p>
        </w:tc>
      </w:tr>
      <w:tr>
        <w:tc>
          <w:tcPr>
            <w:tcW w:type="dxa" w:w="4000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神经表示必然输给线性模型</w:t>
            </w:r>
          </w:p>
        </w:tc>
        <w:tc>
          <w:tcPr>
            <w:tcW w:type="dxa" w:w="4000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神经表示有资格胜出</w:t>
            </w:r>
          </w:p>
        </w:tc>
      </w:tr>
      <w:tr>
        <w:tc>
          <w:tcPr>
            <w:tcW w:type="dxa" w:w="4000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无法论证自身方法的价值</w:t>
            </w:r>
          </w:p>
        </w:tc>
        <w:tc>
          <w:tcPr>
            <w:tcW w:type="dxa" w:w="4000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核心论点可以成立</w:t>
            </w:r>
          </w:p>
        </w:tc>
      </w:tr>
      <w:tr>
        <w:tc>
          <w:tcPr>
            <w:tcW w:type="dxa" w:w="4000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方向被自己的评价指标否定</w:t>
            </w:r>
          </w:p>
        </w:tc>
        <w:tc>
          <w:tcPr>
            <w:tcW w:type="dxa" w:w="4000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方向在评价体系上站得住</w:t>
            </w:r>
          </w:p>
        </w:tc>
      </w:tr>
    </w:tbl>
    <w:p>
      <w:pPr>
        <w:spacing w:after="0" w:before="200" w:line="20" w:lineRule="exact"/>
      </w:pP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用错尺子，会直接否定掉想要证明的那件事。</w:t>
      </w:r>
    </w:p>
    <w:p>
      <w:pPr>
        <w:pStyle w:val="Heading1"/>
        <w:keepNext/>
        <w:keepLines/>
        <w:spacing w:after="120" w:before="180"/>
      </w:pPr>
      <w:bookmarkStart w:name="_ch3" w:id="12"/>
      <w:r>
        <w:rPr>
          <w:rFonts w:ascii="Times New Roman" w:cs="Times New Roman" w:eastAsia="SimHei" w:hAnsi="Times New Roman"/>
          <w:b/>
          <w:bCs/>
          <w:color w:val="1F3864"/>
          <w:sz w:val="36"/>
          <w:szCs w:val="36"/>
        </w:rPr>
        <w:t xml:space="preserve">第三章 E_COMP 与描述长度的严格对应</w:t>
      </w:r>
      <w:bookmarkEnd w:id="12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本章给出主要结论：Bolkart 与 Wuhrer（ICCV 2015）使用的群体紧致度项 E_COMP，在高斯假设下就是数据编码的期望码长，不是「代理指标」，而是同一件事的另一种写法。</w:t>
      </w:r>
    </w:p>
    <w:p>
      <w:pPr>
        <w:pStyle w:val="Heading2"/>
        <w:keepNext/>
        <w:keepLines/>
        <w:spacing w:after="120" w:before="180"/>
      </w:pPr>
      <w:bookmarkStart w:name="_toc_auto_14" w:id="13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3.1 模型设定</w:t>
      </w:r>
      <w:bookmarkEnd w:id="13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设有 N 个形状，每个形状以 V 个顶点表示，即每个形状是 3V 维向量。经典统计形状模型（点分布模型）写作：</w:t>
      </w:r>
    </w:p>
    <w:p>
      <w:pPr>
        <w:tabs>
          <w:tab w:val="center" w:pos="4394"/>
          <w:tab w:val="right" w:pos="8787"/>
        </w:tabs>
        <w:spacing w:after="120" w:before="120" w:line="360" w:lineRule="auto"/>
      </w:pPr>
      <w:r>
        <w:ptab w:alignment="center" w:relativeTo="margin" w:leader="none"/>
      </w:r>
      <m:oMath>
        <m:sSub>
          <m:sSubPr/>
          <m:e>
            <m:r>
              <m:t>x</m:t>
            </m:r>
          </m:e>
          <m:sub>
            <m:r>
              <m:t>n</m:t>
            </m:r>
          </m:sub>
        </m:sSub>
        <m:r>
          <m:t>=</m:t>
        </m:r>
        <m:r>
          <m:t>μ</m:t>
        </m:r>
        <m:r>
          <m:t>+</m:t>
        </m:r>
        <m:r>
          <m:t>P</m:t>
        </m:r>
        <m:sSub>
          <m:sSubPr/>
          <m:e>
            <m:r>
              <m:t>b</m:t>
            </m:r>
          </m:e>
          <m:sub>
            <m:r>
              <m:t>n</m:t>
            </m:r>
          </m:sub>
        </m:sSub>
        <m:r>
          <m:t>+</m:t>
        </m:r>
        <m:sSub>
          <m:sSubPr/>
          <m:e>
            <m:r>
              <m:t>ε</m:t>
            </m:r>
          </m:e>
          <m:sub>
            <m:r>
              <m:t>n</m:t>
            </m:r>
          </m:sub>
        </m:sSub>
      </m:oMath>
      <w:r>
        <w:ptab w:alignment="right" w:relativeTo="margin" w:leader="non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(3.1)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其中 μ 为均值形状，P 为 M 个正交主成分构成的基矩阵，b_n 为第 n 个形状的系数向量，ε_n 为残差。假设：</w:t>
      </w:r>
    </w:p>
    <w:p>
      <w:pPr>
        <w:tabs>
          <w:tab w:val="center" w:pos="4394"/>
          <w:tab w:val="right" w:pos="8787"/>
        </w:tabs>
        <w:spacing w:after="120" w:before="120" w:line="360" w:lineRule="auto"/>
      </w:pPr>
      <w:r>
        <w:ptab w:alignment="center" w:relativeTo="margin" w:leader="none"/>
      </w:r>
      <m:oMath>
        <m:sSub>
          <m:sSubPr/>
          <m:e>
            <m:r>
              <m:t>b</m:t>
            </m:r>
          </m:e>
          <m:sub>
            <m:r>
              <m:t>n</m:t>
            </m:r>
          </m:sub>
        </m:sSub>
        <m:r>
          <m:t>∼</m:t>
        </m:r>
        <m:r>
          <m:t>N</m:t>
        </m:r>
        <m:r>
          <m:t>(</m:t>
        </m:r>
        <m:r>
          <m:t>0</m:t>
        </m:r>
        <m:r>
          <m:t>,</m:t>
        </m:r>
        <m:r>
          <m:t>Λ</m:t>
        </m:r>
        <m:r>
          <m:t>)</m:t>
        </m:r>
        <m:r>
          <m:t>,</m:t>
        </m:r>
        <m:r>
          <m:t> </m:t>
        </m:r>
        <m:r>
          <m:t>Λ</m:t>
        </m:r>
        <m:r>
          <m:t>=</m:t>
        </m:r>
        <m:r>
          <m:t>diag</m:t>
        </m:r>
        <m:r>
          <m:t>(</m:t>
        </m:r>
        <m:sSub>
          <m:sSubPr/>
          <m:e>
            <m:r>
              <m:t>λ</m:t>
            </m:r>
          </m:e>
          <m:sub>
            <m:r>
              <m:t>1</m:t>
            </m:r>
          </m:sub>
        </m:sSub>
        <m:r>
          <m:t>,</m:t>
        </m:r>
        <m:r>
          <m:t>...</m:t>
        </m:r>
        <m:r>
          <m:t>,</m:t>
        </m:r>
        <m:sSub>
          <m:sSubPr/>
          <m:e>
            <m:r>
              <m:t>λ</m:t>
            </m:r>
          </m:e>
          <m:sub>
            <m:r>
              <m:t>M</m:t>
            </m:r>
          </m:sub>
        </m:sSub>
        <m:r>
          <m:t>)</m:t>
        </m:r>
        <m:r>
          <m:t>,</m:t>
        </m:r>
        <m:r>
          <m:t> </m:t>
        </m:r>
        <m:sSub>
          <m:sSubPr/>
          <m:e>
            <m:r>
              <m:t>ε</m:t>
            </m:r>
          </m:e>
          <m:sub>
            <m:r>
              <m:t>n</m:t>
            </m:r>
          </m:sub>
        </m:sSub>
        <m:r>
          <m:t>∼</m:t>
        </m:r>
        <m:r>
          <m:t>N</m:t>
        </m:r>
        <m:r>
          <m:t>(</m:t>
        </m:r>
        <m:r>
          <m:t>0</m:t>
        </m:r>
        <m:r>
          <m:t>,</m:t>
        </m:r>
        <m:sSup>
          <m:sSupPr/>
          <m:e>
            <m:r>
              <m:t>σ</m:t>
            </m:r>
          </m:e>
          <m:sup>
            <m:r>
              <m:t>2</m:t>
            </m:r>
          </m:sup>
        </m:sSup>
        <m:sSub>
          <m:sSubPr/>
          <m:e>
            <m:r>
              <m:t>I</m:t>
            </m:r>
          </m:e>
          <m:sub>
            <m:r>
              <m:t>3V</m:t>
            </m:r>
          </m:sub>
        </m:sSub>
        <m:r>
          <m:t>)</m:t>
        </m:r>
      </m:oMath>
      <w:r>
        <w:ptab w:alignment="right" w:relativeTo="margin" w:leader="non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(3.2)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λ_i 即第 i 个主成分方向上的方差，也就是该方向上的变化幅度。</w:t>
      </w:r>
    </w:p>
    <w:p>
      <w:pPr>
        <w:pStyle w:val="Heading2"/>
        <w:keepNext/>
        <w:keepLines/>
        <w:spacing w:after="120" w:before="180"/>
      </w:pPr>
      <w:bookmarkStart w:name="_toc_auto_15" w:id="14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3.2 单个高斯变量的最优码长</w:t>
      </w:r>
      <w:bookmarkEnd w:id="14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信息论给出：方差为 σ² 的高斯变量，其微分熵为二分之一乘以以 2 为底的 2πe σ² 的对数。若量化步长为 Δ，则平均码长近似为微分熵减去以 2 为底的 Δ 的对数。把它应用到系数上：</w:t>
      </w:r>
    </w:p>
    <w:p>
      <w:pPr>
        <w:tabs>
          <w:tab w:val="center" w:pos="4394"/>
          <w:tab w:val="right" w:pos="8787"/>
        </w:tabs>
        <w:spacing w:after="120" w:before="120" w:line="360" w:lineRule="auto"/>
      </w:pPr>
      <w:r>
        <w:ptab w:alignment="center" w:relativeTo="margin" w:leader="none"/>
      </w:r>
      <m:oMath>
        <m:r>
          <m:t>L</m:t>
        </m:r>
        <m:r>
          <m:t>(</m:t>
        </m:r>
        <m:sSub>
          <m:sSubPr/>
          <m:e>
            <m:r>
              <m:t>b</m:t>
            </m:r>
          </m:e>
          <m:sub>
            <m:r>
              <m:t>i</m:t>
            </m:r>
          </m:sub>
        </m:sSub>
        <m:r>
          <m:t>)</m:t>
        </m:r>
        <m:r>
          <m:t>=</m:t>
        </m:r>
        <m:f>
          <m:num>
            <m:r>
              <m:t>1</m:t>
            </m:r>
          </m:num>
          <m:den>
            <m:r>
              <m:t>2</m:t>
            </m:r>
          </m:den>
        </m:f>
        <m:sSub>
          <m:sSubPr/>
          <m:e>
            <m:r>
              <m:t>log</m:t>
            </m:r>
          </m:e>
          <m:sub>
            <m:r>
              <m:t>2</m:t>
            </m:r>
          </m:sub>
        </m:sSub>
        <m:r>
          <m:t>(</m:t>
        </m:r>
        <m:r>
          <m:t>2</m:t>
        </m:r>
        <m:r>
          <m:t>π</m:t>
        </m:r>
        <m:r>
          <m:t>e</m:t>
        </m:r>
        <m:sSub>
          <m:sSubPr/>
          <m:e>
            <m:r>
              <m:t>λ</m:t>
            </m:r>
          </m:e>
          <m:sub>
            <m:r>
              <m:t>i</m:t>
            </m:r>
          </m:sub>
        </m:sSub>
        <m:r>
          <m:t>)</m:t>
        </m:r>
        <m:r>
          <m:t>-</m:t>
        </m:r>
        <m:sSub>
          <m:sSubPr/>
          <m:e>
            <m:r>
              <m:t>log</m:t>
            </m:r>
          </m:e>
          <m:sub>
            <m:r>
              <m:t>2</m:t>
            </m:r>
          </m:sub>
        </m:sSub>
        <m:sSub>
          <m:sSubPr/>
          <m:e>
            <m:r>
              <m:t>Δ</m:t>
            </m:r>
          </m:e>
          <m:sub>
            <m:r>
              <m:t>b</m:t>
            </m:r>
          </m:sub>
        </m:sSub>
      </m:oMath>
      <w:r>
        <w:ptab w:alignment="right" w:relativeTo="margin" w:leader="non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(3.3)</w:t>
      </w:r>
    </w:p>
    <w:p>
      <w:pPr>
        <w:pStyle w:val="Heading2"/>
        <w:keepNext/>
        <w:keepLines/>
        <w:spacing w:after="120" w:before="180"/>
      </w:pPr>
      <w:bookmarkStart w:name="_toc_auto_16" w:id="15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3.3 汇总得到对数特征值之和</w:t>
      </w:r>
      <w:bookmarkEnd w:id="15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把 N 个样本、M 个主成分逐项相加，得到系数部分的总码长：</w:t>
      </w:r>
    </w:p>
    <w:p>
      <w:pPr>
        <w:tabs>
          <w:tab w:val="center" w:pos="4394"/>
          <w:tab w:val="right" w:pos="8787"/>
        </w:tabs>
        <w:spacing w:after="120" w:before="120" w:line="360" w:lineRule="auto"/>
      </w:pPr>
      <w:r>
        <w:ptab w:alignment="center" w:relativeTo="margin" w:leader="none"/>
      </w:r>
      <m:oMath>
        <m:sSub>
          <m:sSubPr/>
          <m:e>
            <m:r>
              <m:t>L</m:t>
            </m:r>
          </m:e>
          <m:sub>
            <m:r>
              <m:t>coef</m:t>
            </m:r>
          </m:sub>
        </m:sSub>
        <m:r>
          <m:t>=</m:t>
        </m:r>
        <m:nary>
          <m:naryPr>
            <m:chr m:val="∑"/>
            <m:limLoc m:val="undOvr"/>
          </m:naryPr>
          <m:sub>
            <m:r>
              <m:t>i</m:t>
            </m:r>
            <m: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t>∑</m:t>
            </m:r>
          </m:e>
        </m:nary>
        <m:r>
          <m:t>N</m:t>
        </m:r>
        <m:r>
          <m:t>L</m:t>
        </m:r>
        <m:r>
          <m:t>(</m:t>
        </m:r>
        <m:sSub>
          <m:sSubPr/>
          <m:e>
            <m:r>
              <m:t>b</m:t>
            </m:r>
          </m:e>
          <m:sub>
            <m:r>
              <m:t>i</m:t>
            </m:r>
          </m:sub>
        </m:sSub>
        <m:r>
          <m:t>)</m:t>
        </m:r>
        <m:r>
          <m:t>=</m:t>
        </m:r>
        <m:f>
          <m:num>
            <m:r>
              <m:t>N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</m:naryPr>
          <m:sub>
            <m:r>
              <m:t>i</m:t>
            </m:r>
            <m: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t>∑</m:t>
            </m:r>
          </m:e>
        </m:nary>
        <m:sSub>
          <m:sSubPr/>
          <m:e>
            <m:r>
              <m:t>log</m:t>
            </m:r>
          </m:e>
          <m:sub>
            <m:r>
              <m:t>2</m:t>
            </m:r>
          </m:sub>
        </m:sSub>
        <m:sSub>
          <m:sSubPr/>
          <m:e>
            <m:r>
              <m:t>λ</m:t>
            </m:r>
          </m:e>
          <m:sub>
            <m:r>
              <m:t>i</m:t>
            </m:r>
          </m:sub>
        </m:sSub>
        <m:r>
          <m:t>+</m:t>
        </m:r>
        <m:r>
          <m:t>C</m:t>
        </m:r>
      </m:oMath>
      <w:r>
        <w:ptab w:alignment="right" w:relativeTo="margin" w:leader="non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(3.4)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其中常数项包含量化步长与 2πe 等与 λ 无关的量。残差部分每个分量服从相同分布，其码长同样是与 λ 无关的常数。因此数据总代价为：</w:t>
      </w:r>
    </w:p>
    <w:p>
      <w:pPr>
        <w:tabs>
          <w:tab w:val="center" w:pos="4394"/>
          <w:tab w:val="right" w:pos="8787"/>
        </w:tabs>
        <w:spacing w:after="120" w:before="120" w:line="360" w:lineRule="auto"/>
      </w:pPr>
      <w:r>
        <w:ptab w:alignment="center" w:relativeTo="margin" w:leader="none"/>
      </w:r>
      <m:oMath>
        <m:sSub>
          <m:sSubPr/>
          <m:e>
            <m:r>
              <m:t>L</m:t>
            </m:r>
          </m:e>
          <m:sub>
            <m:r>
              <m:t>data</m:t>
            </m:r>
          </m:sub>
        </m:sSub>
        <m:r>
          <m:t>=</m:t>
        </m:r>
        <m:f>
          <m:num>
            <m:r>
              <m:t>N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</m:naryPr>
          <m:sub>
            <m:r>
              <m:t>i</m:t>
            </m:r>
            <m: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t>∑</m:t>
            </m:r>
          </m:e>
        </m:nary>
        <m:sSub>
          <m:sSubPr/>
          <m:e>
            <m:r>
              <m:t>log</m:t>
            </m:r>
          </m:e>
          <m:sub>
            <m:r>
              <m:t>2</m:t>
            </m:r>
          </m:sub>
        </m:sSub>
        <m:sSub>
          <m:sSubPr/>
          <m:e>
            <m:r>
              <m:t>λ</m:t>
            </m:r>
          </m:e>
          <m:sub>
            <m:r>
              <m:t>i</m:t>
            </m:r>
          </m:sub>
        </m:sSub>
        <m:r>
          <m:t>+</m:t>
        </m:r>
        <m:r>
          <m:t>C</m:t>
        </m:r>
      </m:oMath>
      <w:r>
        <w:ptab w:alignment="right" w:relativeTo="margin" w:leader="non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(3.5)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在固定 N 的前提下，最小化数据代价等价于最小化对数特征值之和。这正是 Bolkart 论文中紧致度项的形态：</w:t>
      </w:r>
    </w:p>
    <w:p>
      <w:pPr>
        <w:tabs>
          <w:tab w:val="center" w:pos="4394"/>
          <w:tab w:val="right" w:pos="8787"/>
        </w:tabs>
        <w:spacing w:after="120" w:before="120" w:line="360" w:lineRule="auto"/>
      </w:pPr>
      <w:r>
        <w:ptab w:alignment="center" w:relativeTo="margin" w:leader="none"/>
      </w:r>
      <m:oMath>
        <m:sSub>
          <m:sSubPr/>
          <m:e>
            <m:r>
              <m:t>E</m:t>
            </m:r>
          </m:e>
          <m:sub>
            <m:r>
              <m:t>COMP</m:t>
            </m:r>
          </m:sub>
        </m:sSub>
        <m:r>
          <m:t>=</m:t>
        </m:r>
        <m:nary>
          <m:naryPr>
            <m:chr m:val="∑"/>
            <m:limLoc m:val="undOvr"/>
          </m:naryPr>
          <m:sub>
            <m:r>
              <m:t>i</m:t>
            </m:r>
            <m: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t>∑</m:t>
            </m:r>
          </m:e>
        </m:nary>
        <m:r>
          <m:t>log</m:t>
        </m:r>
        <m:r>
          <m:t>(</m:t>
        </m:r>
        <m:sSub>
          <m:sSubPr/>
          <m:e>
            <m:r>
              <m:t>λ</m:t>
            </m:r>
          </m:e>
          <m:sub>
            <m:r>
              <m:t>i</m:t>
            </m:r>
          </m:sub>
        </m:sSub>
        <m:r>
          <m:t>+</m:t>
        </m:r>
        <m:r>
          <m:t>δ</m:t>
        </m:r>
        <m:r>
          <m:t>)</m:t>
        </m:r>
      </m:oMath>
      <w:r>
        <w:ptab w:alignment="right" w:relativeTo="margin" w:leader="non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(3.6)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两者只相差一个与 λ 无关的常数因子 N/2，而常数因子不影响优化结果。因此结论是：</w:t>
      </w:r>
    </w:p>
    <w:p>
      <w:pPr>
        <w:shd w:fill="EDF2F9"/>
        <w:spacing w:after="60" w:line="360" w:lineRule="auto"/>
        <w:ind w:left="480" w:right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在固定样本数与高斯假设下，最小化 E_COMP 等价于最小化描述长度。「对应越好，数据越有规律，描述越短」这一直觉由此获得严格的数学表达。</w:t>
      </w:r>
    </w:p>
    <w:p>
      <w:pPr>
        <w:pStyle w:val="Heading2"/>
        <w:keepNext/>
        <w:keepLines/>
        <w:spacing w:after="120" w:before="180"/>
      </w:pPr>
      <w:bookmarkStart w:name="_toc_auto_17" w:id="16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3.4 δ 的信息论解释</w:t>
      </w:r>
      <w:bookmarkEnd w:id="16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若不加 δ，当某个特征值趋于零时其对数值趋于负无穷，代价函数无下界，模型会退化。δ 的作用可以理解为「最小可分辨方差」，也就是量化噪声地板：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当 λ_i 远大于 δ 时，近似为对数 λ_i，该方向按实际变化幅度计价。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当 λ_i 远小于 δ 时，近似为对数 δ，贡献被封顶。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信息论上这意味着：若某方向的变化已低于数值精度，该信息本来就不被传递，不应因此获得更短的码长。这同时防止模型通过人为压缩某些方向的方差来虚假缩短描述长度。</w:t>
      </w:r>
    </w:p>
    <w:p>
      <w:pPr>
        <w:pStyle w:val="Heading2"/>
        <w:keepNext/>
        <w:keepLines/>
        <w:spacing w:after="120" w:before="180"/>
      </w:pPr>
      <w:bookmarkStart w:name="_toc_auto_18" w:id="17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3.5 结论与适用边界</w:t>
      </w:r>
      <w:bookmarkEnd w:id="17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需要诚实指出 E_COMP 只覆盖了数据代价，未包含模型代价。它之所以能作为优化目标，依赖一个特定条件：在 Bolkart 的实验设定中，参与比较的各种对应方案共用相同的 M、V、N，模型代价在组间近似为常数，因此组间的差异只由数据代价决定。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这一边界很重要：一旦跨出该设定（例如比较线性模型与神经网络），模型代价不再可比，E_COMP 也就失去了作为「描述长度」的完整资格。这正是第五章要处理的问题。</w:t>
      </w:r>
    </w:p>
    <w:p>
      <w:pPr>
        <w:pStyle w:val="Heading1"/>
        <w:keepNext/>
        <w:keepLines/>
        <w:spacing w:after="120" w:before="180"/>
      </w:pPr>
      <w:bookmarkStart w:name="_ch4" w:id="18"/>
      <w:r>
        <w:rPr>
          <w:rFonts w:ascii="Times New Roman" w:cs="Times New Roman" w:eastAsia="SimHei" w:hAnsi="Times New Roman"/>
          <w:b/>
          <w:bCs/>
          <w:color w:val="1F3864"/>
          <w:sz w:val="36"/>
          <w:szCs w:val="36"/>
        </w:rPr>
        <w:t xml:space="preserve">第四章 推广到多线性模型</w:t>
      </w:r>
      <w:bookmarkEnd w:id="18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Bolkart 与 Wuhrer 使用的是多线性（张量）模型而非简单的主成分分析，这一节说明描述长度的形式如何随之改变。</w:t>
      </w:r>
    </w:p>
    <w:p>
      <w:pPr>
        <w:pStyle w:val="Heading2"/>
        <w:keepNext/>
        <w:keepLines/>
        <w:spacing w:after="120" w:before="180"/>
      </w:pPr>
      <w:bookmarkStart w:name="_toc_auto_20" w:id="19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4.1 张量分解</w:t>
      </w:r>
      <w:bookmarkEnd w:id="19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把数据组织成三阶张量：身份维 × 表情维 × 顶点坐标维。做 Tucker 分解：</w:t>
      </w:r>
    </w:p>
    <w:p>
      <w:pPr>
        <w:tabs>
          <w:tab w:val="center" w:pos="4394"/>
          <w:tab w:val="right" w:pos="8787"/>
        </w:tabs>
        <w:spacing w:after="120" w:before="120" w:line="360" w:lineRule="auto"/>
      </w:pPr>
      <w:r>
        <w:ptab w:alignment="center" w:relativeTo="margin" w:leader="none"/>
      </w:r>
      <m:oMath>
        <m:r>
          <m:t>T</m:t>
        </m:r>
        <m:r>
          <m:t>≈</m:t>
        </m:r>
        <m:r>
          <m:t>G</m:t>
        </m:r>
        <m:sSub>
          <m:sSubPr/>
          <m:e>
            <m:r>
              <m:t>×</m:t>
            </m:r>
          </m:e>
          <m:sub>
            <m:r>
              <m:t>1</m:t>
            </m:r>
          </m:sub>
        </m:sSub>
        <m:sSub>
          <m:sSubPr/>
          <m:e>
            <m:r>
              <m:t>U</m:t>
            </m:r>
          </m:e>
          <m:sub>
            <m:r>
              <m:t>id</m:t>
            </m:r>
          </m:sub>
        </m:sSub>
        <m:sSub>
          <m:sSubPr/>
          <m:e>
            <m:r>
              <m:t>×</m:t>
            </m:r>
          </m:e>
          <m:sub>
            <m:r>
              <m:t>2</m:t>
            </m:r>
          </m:sub>
        </m:sSub>
        <m:sSub>
          <m:sSubPr/>
          <m:e>
            <m:r>
              <m:t>U</m:t>
            </m:r>
          </m:e>
          <m:sub>
            <m:r>
              <m:t>exp</m:t>
            </m:r>
          </m:sub>
        </m:sSub>
        <m:sSub>
          <m:sSubPr/>
          <m:e>
            <m:r>
              <m:t>×</m:t>
            </m:r>
          </m:e>
          <m:sub>
            <m:r>
              <m:t>3</m:t>
            </m:r>
          </m:sub>
        </m:sSub>
        <m:sSub>
          <m:sSubPr/>
          <m:e>
            <m:r>
              <m:t>U</m:t>
            </m:r>
          </m:e>
          <m:sub>
            <m:r>
              <m:t>vert</m:t>
            </m:r>
          </m:sub>
        </m:sSub>
      </m:oMath>
      <w:r>
        <w:ptab w:alignment="right" w:relativeTo="margin" w:leader="non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(4.1)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其中 U 为各模式的子空间基，G 为核张量。第 a 个身份、第 b 个表情对应的形状可写成：</w:t>
      </w:r>
    </w:p>
    <w:p>
      <w:pPr>
        <w:tabs>
          <w:tab w:val="center" w:pos="4394"/>
          <w:tab w:val="right" w:pos="8787"/>
        </w:tabs>
        <w:spacing w:after="120" w:before="120" w:line="360" w:lineRule="auto"/>
      </w:pPr>
      <w:r>
        <w:ptab w:alignment="center" w:relativeTo="margin" w:leader="none"/>
      </w:r>
      <m:oMath>
        <m:sSub>
          <m:sSubPr/>
          <m:e>
            <m:r>
              <m:t>x</m:t>
            </m:r>
          </m:e>
          <m:sub>
            <m:r>
              <m:t>ab</m:t>
            </m:r>
          </m:sub>
        </m:sSub>
        <m:r>
          <m:t>=</m:t>
        </m:r>
        <m:r>
          <m:t>μ</m:t>
        </m:r>
        <m:r>
          <m:t>+</m:t>
        </m:r>
        <m:nary>
          <m:naryPr>
            <m:chr m:val="∑"/>
            <m:limLoc m:val="undOvr"/>
          </m:naryPr>
          <m:sub>
            <m:r>
              <m:t>p</m:t>
            </m:r>
            <m:r>
              <m:t>=</m:t>
            </m:r>
            <m:r>
              <m:t>1</m:t>
            </m:r>
          </m:sub>
          <m:sup>
            <m:sSub>
              <m:sSubPr/>
              <m:e>
                <m:r>
                  <m:t>r</m:t>
                </m:r>
              </m:e>
              <m:sub>
                <m:r>
                  <m:t>id</m:t>
                </m:r>
              </m:sub>
            </m:sSub>
          </m:sup>
          <m:e>
            <m:r>
              <m:t>∑</m:t>
            </m:r>
          </m:e>
        </m:nary>
        <m:nary>
          <m:naryPr>
            <m:chr m:val="∑"/>
            <m:limLoc m:val="undOvr"/>
          </m:naryPr>
          <m:sub>
            <m:r>
              <m:t>q</m:t>
            </m:r>
            <m:r>
              <m:t>=</m:t>
            </m:r>
            <m:r>
              <m:t>1</m:t>
            </m:r>
          </m:sub>
          <m:sup>
            <m:sSub>
              <m:sSubPr/>
              <m:e>
                <m:r>
                  <m:t>r</m:t>
                </m:r>
              </m:e>
              <m:sub>
                <m:r>
                  <m:t>exp</m:t>
                </m:r>
              </m:sub>
            </m:sSub>
          </m:sup>
          <m:e>
            <m:r>
              <m:t>∑</m:t>
            </m:r>
          </m:e>
        </m:nary>
        <m:sSub>
          <m:sSubPr/>
          <m:e>
            <m:r>
              <m:t>α</m:t>
            </m:r>
          </m:e>
          <m:sub>
            <m:r>
              <m:t>p</m:t>
            </m:r>
          </m:sub>
        </m:sSub>
        <m:sSub>
          <m:sSubPr/>
          <m:e>
            <m:r>
              <m:t>β</m:t>
            </m:r>
          </m:e>
          <m:sub>
            <m:r>
              <m:t>q</m:t>
            </m:r>
          </m:sub>
        </m:sSub>
        <m:sSub>
          <m:sSubPr/>
          <m:e>
            <m:r>
              <m:t>G</m:t>
            </m:r>
          </m:e>
          <m:sub>
            <m:r>
              <m:t>pq</m:t>
            </m:r>
          </m:sub>
        </m:sSub>
      </m:oMath>
      <w:r>
        <w:ptab w:alignment="right" w:relativeTo="margin" w:leader="non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(4.2)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与线性模型相比，变化体现在两点：系数分成身份系数与表情系数两组；每组各自服从一个高斯分布。</w:t>
      </w:r>
    </w:p>
    <w:p>
      <w:pPr>
        <w:pStyle w:val="Heading2"/>
        <w:keepNext/>
        <w:keepLines/>
        <w:spacing w:after="120" w:before="180"/>
      </w:pPr>
      <w:bookmarkStart w:name="_toc_auto_21" w:id="20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4.2 多线性版本的描述长度</w:t>
      </w:r>
      <w:bookmarkEnd w:id="20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沿用第三章的推导方式，对两组系数分别计算码长并相加，得到：</w:t>
      </w:r>
    </w:p>
    <w:p>
      <w:pPr>
        <w:tabs>
          <w:tab w:val="center" w:pos="4394"/>
          <w:tab w:val="right" w:pos="8787"/>
        </w:tabs>
        <w:spacing w:after="120" w:before="120" w:line="360" w:lineRule="auto"/>
      </w:pPr>
      <w:r>
        <w:ptab w:alignment="center" w:relativeTo="margin" w:leader="none"/>
      </w:r>
      <m:oMath>
        <m:sSub>
          <m:sSubPr/>
          <m:e>
            <m:r>
              <m:t>L</m:t>
            </m:r>
          </m:e>
          <m:sub>
            <m:r>
              <m:t>data</m:t>
            </m:r>
          </m:sub>
        </m:sSub>
        <m:r>
          <m:t>≈</m:t>
        </m:r>
        <m:f>
          <m:num>
            <m:r>
              <m:t>N</m:t>
            </m:r>
          </m:num>
          <m:den>
            <m:r>
              <m:t>2</m:t>
            </m:r>
          </m:den>
        </m:f>
        <m:d>
          <m:dPr>
            <m:begChr m:val="["/>
            <m:endChr m:val="]"/>
          </m:dPr>
          <m:e>
            <m:nary>
              <m:naryPr>
                <m:chr m:val="∑"/>
                <m:limLoc m:val="undOvr"/>
              </m:naryPr>
              <m:sub>
                <m:r>
                  <m:t>p</m:t>
                </m:r>
                <m:r>
                  <m:t>=</m:t>
                </m:r>
                <m:r>
                  <m:t>1</m:t>
                </m:r>
              </m:sub>
              <m:sup>
                <m:sSub>
                  <m:sSubPr/>
                  <m:e>
                    <m:r>
                      <m:t>r</m:t>
                    </m:r>
                  </m:e>
                  <m:sub>
                    <m:r>
                      <m:t>id</m:t>
                    </m:r>
                  </m:sub>
                </m:sSub>
              </m:sup>
              <m:e>
                <m:r>
                  <m:t>∑</m:t>
                </m:r>
              </m:e>
            </m:nary>
            <m:sSub>
              <m:sSubPr/>
              <m:e>
                <m:r>
                  <m:t>log</m:t>
                </m:r>
              </m:e>
              <m:sub>
                <m:r>
                  <m:t>2</m:t>
                </m:r>
              </m:sub>
            </m:sSub>
            <m:sSubSup>
              <m:sSubSupPr/>
              <m:e>
                <m:r>
                  <m:t>λ</m:t>
                </m:r>
              </m:e>
              <m:sub>
                <m:r>
                  <m:t>p</m:t>
                </m:r>
              </m:sub>
              <m:sup>
                <m:r>
                  <m:t>id</m:t>
                </m:r>
              </m:sup>
            </m:sSubSup>
            <m:r>
              <m:t>+</m:t>
            </m:r>
            <m:nary>
              <m:naryPr>
                <m:chr m:val="∑"/>
                <m:limLoc m:val="undOvr"/>
              </m:naryPr>
              <m:sub>
                <m:r>
                  <m:t>q</m:t>
                </m:r>
                <m:r>
                  <m:t>=</m:t>
                </m:r>
                <m:r>
                  <m:t>1</m:t>
                </m:r>
              </m:sub>
              <m:sup>
                <m:sSub>
                  <m:sSubPr/>
                  <m:e>
                    <m:r>
                      <m:t>r</m:t>
                    </m:r>
                  </m:e>
                  <m:sub>
                    <m:r>
                      <m:t>exp</m:t>
                    </m:r>
                  </m:sub>
                </m:sSub>
              </m:sup>
              <m:e>
                <m:r>
                  <m:t>∑</m:t>
                </m:r>
              </m:e>
            </m:nary>
            <m:sSub>
              <m:sSubPr/>
              <m:e>
                <m:r>
                  <m:t>log</m:t>
                </m:r>
              </m:e>
              <m:sub>
                <m:r>
                  <m:t>2</m:t>
                </m:r>
              </m:sub>
            </m:sSub>
            <m:sSubSup>
              <m:sSubSupPr/>
              <m:e>
                <m:r>
                  <m:t>λ</m:t>
                </m:r>
              </m:e>
              <m:sub>
                <m:r>
                  <m:t>q</m:t>
                </m:r>
              </m:sub>
              <m:sup>
                <m:r>
                  <m:t>exp</m:t>
                </m:r>
              </m:sup>
            </m:sSubSup>
          </m:e>
        </m:d>
        <m:r>
          <m:t>+</m:t>
        </m:r>
        <m:r>
          <m:t>C</m:t>
        </m:r>
      </m:oMath>
      <w:r>
        <w:ptab w:alignment="right" w:relativeTo="margin" w:leader="non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(4.3)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也就是说，多线性模型的描述长度自然分解为身份部分与表情部分之和。这与论文中分别计算身份与表情紧致度的做法在结构上完全一致。</w:t>
      </w:r>
    </w:p>
    <w:p>
      <w:pPr>
        <w:pStyle w:val="Heading2"/>
        <w:keepNext/>
        <w:keepLines/>
        <w:spacing w:after="120" w:before="180"/>
      </w:pPr>
      <w:bookmarkStart w:name="_toc_auto_22" w:id="21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4.3 可解释旋钮的信息论解释</w:t>
      </w:r>
      <w:bookmarkEnd w:id="21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由式 4.3 可得到一个值得强调的推论：在描述长度的意义上，每一个模式的重要性就是它所占用的比特数。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特征值大（变化幅度大）的方向，对应更长的码，说明它是数据中的主要变化来源。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特征值小的方向，对应更短的码，说明它对描述数据的贡献很小。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因此「身份旋钮」与「表情旋钮」不只是建模上的方便设定，它们在信息论上有明确定价：每个旋钮的代价就是它的对数特征值之和。这一点为多线性模型的可解释性提供了量化依据。</w:t>
      </w:r>
    </w:p>
    <w:p>
      <w:pPr>
        <w:pStyle w:val="Heading1"/>
        <w:keepNext/>
        <w:keepLines/>
        <w:spacing w:after="120" w:before="180"/>
      </w:pPr>
      <w:bookmarkStart w:name="_ch5" w:id="22"/>
      <w:r>
        <w:rPr>
          <w:rFonts w:ascii="Times New Roman" w:cs="Times New Roman" w:eastAsia="SimHei" w:hAnsi="Times New Roman"/>
          <w:b/>
          <w:bCs/>
          <w:color w:val="1F3864"/>
          <w:sz w:val="36"/>
          <w:szCs w:val="36"/>
        </w:rPr>
        <w:t xml:space="preserve">第五章 推广到神经表示</w:t>
      </w:r>
      <w:bookmarkEnd w:id="22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前面的推导都建立在「系数服从已知高斯分布」这一条件上，因为线性模型的分布可以免费获得。一旦换成神经网络，这个条件不再自动成立，本章讨论如何处理。</w:t>
      </w:r>
    </w:p>
    <w:p>
      <w:pPr>
        <w:pStyle w:val="Heading2"/>
        <w:keepNext/>
        <w:keepLines/>
        <w:spacing w:after="120" w:before="180"/>
      </w:pPr>
      <w:bookmarkStart w:name="_toc_auto_24" w:id="23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5.1 描述长度的定义</w:t>
      </w:r>
      <w:bookmarkEnd w:id="23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设形状由隐码 z 经网络参数 θ 生成，即 x 等于 f_θ(z)。描述长度写作：</w:t>
      </w:r>
    </w:p>
    <w:p>
      <w:pPr>
        <w:tabs>
          <w:tab w:val="center" w:pos="4394"/>
          <w:tab w:val="right" w:pos="8787"/>
        </w:tabs>
        <w:spacing w:after="120" w:before="120" w:line="360" w:lineRule="auto"/>
      </w:pPr>
      <w:r>
        <w:ptab w:alignment="center" w:relativeTo="margin" w:leader="none"/>
      </w:r>
      <m:oMath>
        <m:sSub>
          <m:sSubPr/>
          <m:e>
            <m:r>
              <m:t>L</m:t>
            </m:r>
          </m:e>
          <m:sub>
            <m:r>
              <m:t>total</m:t>
            </m:r>
          </m:sub>
        </m:sSub>
        <m:r>
          <m:t>=</m:t>
        </m:r>
        <m:r>
          <m:t>L</m:t>
        </m:r>
        <m:r>
          <m:t>(</m:t>
        </m:r>
        <m:r>
          <m:t>θ</m:t>
        </m:r>
        <m:r>
          <m:t>)</m:t>
        </m:r>
        <m:r>
          <m:t>+</m:t>
        </m:r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∑</m:t>
            </m:r>
          </m:e>
        </m:nary>
        <m:r>
          <m:t>L</m:t>
        </m:r>
        <m:r>
          <m:t>(</m:t>
        </m:r>
        <m:sSub>
          <m:sSubPr/>
          <m:e>
            <m:r>
              <m:t>z</m:t>
            </m:r>
          </m:e>
          <m:sub>
            <m:r>
              <m:t>n</m:t>
            </m:r>
          </m:sub>
        </m:sSub>
        <m:r>
          <m:t>|</m:t>
        </m:r>
        <m:r>
          <m:t>θ</m:t>
        </m:r>
        <m:r>
          <m:t>)</m:t>
        </m:r>
      </m:oMath>
      <w:r>
        <w:ptab w:alignment="right" w:relativeTo="margin" w:leader="non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(5.1)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两项分别对应第一章的两笔账：网络参数本身需要编码，每个样本的隐码也需要编码。</w:t>
      </w:r>
    </w:p>
    <w:p>
      <w:pPr>
        <w:pStyle w:val="Heading2"/>
        <w:keepNext/>
        <w:keepLines/>
        <w:spacing w:after="120" w:before="180"/>
      </w:pPr>
      <w:bookmarkStart w:name="_toc_auto_25" w:id="24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5.2 两项各自如何计算</w:t>
      </w:r>
      <w:bookmarkEnd w:id="24"/>
    </w:p>
    <w:p>
      <w:pPr>
        <w:pStyle w:val="Heading3"/>
        <w:keepNext/>
        <w:keepLines/>
        <w:spacing w:after="120" w:before="180"/>
      </w:pPr>
      <w:bookmarkStart w:name="_toc_auto_26" w:id="25"/>
      <w:r>
        <w:rPr>
          <w:rFonts w:ascii="Times New Roman" w:cs="Times New Roman" w:eastAsia="SimHei" w:hAnsi="Times New Roman"/>
          <w:b/>
          <w:bCs/>
          <w:color w:val="1F3864"/>
          <w:sz w:val="26"/>
          <w:szCs w:val="26"/>
        </w:rPr>
        <w:t xml:space="preserve">模型码长</w:t>
      </w:r>
      <w:bookmarkEnd w:id="25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对训练完成的权重做量化（例如 8 bit），再做熵编码，实测得到比特数。注意直接以参数量乘以 32 是错误的做法，原因见第二章。</w:t>
      </w:r>
    </w:p>
    <w:p>
      <w:pPr>
        <w:pStyle w:val="Heading3"/>
        <w:keepNext/>
        <w:keepLines/>
        <w:spacing w:after="120" w:before="180"/>
      </w:pPr>
      <w:bookmarkStart w:name="_toc_auto_27" w:id="26"/>
      <w:r>
        <w:rPr>
          <w:rFonts w:ascii="Times New Roman" w:cs="Times New Roman" w:eastAsia="SimHei" w:hAnsi="Times New Roman"/>
          <w:b/>
          <w:bCs/>
          <w:color w:val="1F3864"/>
          <w:sz w:val="26"/>
          <w:szCs w:val="26"/>
        </w:rPr>
        <w:t xml:space="preserve">隐码码长</w:t>
      </w:r>
      <w:bookmarkEnd w:id="26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这是神经表示的关键难点。线性模型里系数分布由特征值免费给出，神经表示必须先学一个分布模型。标准做法是引入熵模型（例如超先验网络）来预测每个隐码分量的方差，再用负对数似然作为码长。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三种可行方案，按严谨程度递增：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固定先验加量化：假设隐码服从标准高斯，直接计算码长。实现简单，但估计偏松。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学习熵模型：训练一个网络预测隐码的分布参数，码长由预测分布给出。这是神经压缩领域的标准做法。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实测码长：训练结束后导出全部隐码，直接做熵编码并统计比特数。最可信，适合最终报告。</w:t>
      </w:r>
    </w:p>
    <w:p>
      <w:pPr>
        <w:pStyle w:val="Heading2"/>
        <w:keepNext/>
        <w:keepLines/>
        <w:spacing w:after="120" w:before="180"/>
      </w:pPr>
      <w:bookmarkStart w:name="_toc_auto_28" w:id="27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5.3 两段码：把预训练模型当作共享字典</w:t>
      </w:r>
      <w:bookmarkEnd w:id="27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第二章提到的「先验该不该算钱」问题，有一个标准解法，即两段码：把在大量通用数据上预先训练好的模型视为共享字典，不计入代价，只计算为当前这批样本额外补充的信息。</w:t>
      </w:r>
    </w:p>
    <w:p>
      <w:pPr>
        <w:tabs>
          <w:tab w:val="center" w:pos="4394"/>
          <w:tab w:val="right" w:pos="8787"/>
        </w:tabs>
        <w:spacing w:after="120" w:before="120" w:line="360" w:lineRule="auto"/>
      </w:pPr>
      <w:r>
        <w:ptab w:alignment="center" w:relativeTo="margin" w:leader="none"/>
      </w:r>
      <m:oMath>
        <m:sSub>
          <m:sSubPr/>
          <m:e>
            <m:r>
              <m:t>L</m:t>
            </m:r>
          </m:e>
          <m:sub>
            <m:r>
              <m:t>total</m:t>
            </m:r>
          </m:sub>
        </m:sSub>
        <m:r>
          <m:t>=</m:t>
        </m:r>
        <m:r>
          <m:t>L</m:t>
        </m:r>
        <m:r>
          <m:t>(</m:t>
        </m:r>
        <m:sSub>
          <m:sSubPr/>
          <m:e>
            <m:r>
              <m:t>θ</m:t>
            </m:r>
          </m:e>
          <m:sub>
            <m:r>
              <m:t>task</m:t>
            </m:r>
          </m:sub>
        </m:sSub>
        <m:r>
          <m:t>|</m:t>
        </m:r>
        <m:sSub>
          <m:sSubPr/>
          <m:e>
            <m:r>
              <m:t>θ</m:t>
            </m:r>
          </m:e>
          <m:sub>
            <m:r>
              <m:t>shared</m:t>
            </m:r>
          </m:sub>
        </m:sSub>
        <m:r>
          <m:t>)</m:t>
        </m:r>
        <m:r>
          <m:t>+</m:t>
        </m:r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∑</m:t>
            </m:r>
          </m:e>
        </m:nary>
        <m:r>
          <m:t>L</m:t>
        </m:r>
        <m:r>
          <m:t>(</m:t>
        </m:r>
        <m:sSub>
          <m:sSubPr/>
          <m:e>
            <m:r>
              <m:t>z</m:t>
            </m:r>
          </m:e>
          <m:sub>
            <m:r>
              <m:t>n</m:t>
            </m:r>
          </m:sub>
        </m:sSub>
        <m:r>
          <m:t>|</m:t>
        </m:r>
        <m:r>
          <m:t>θ</m:t>
        </m:r>
        <m:r>
          <m:t>)</m:t>
        </m:r>
      </m:oMath>
      <w:r>
        <w:ptab w:alignment="right" w:relativeTo="margin" w:leader="non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(5.2)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这一结构的作用是把「参数多」由劣势转为优势：字典越厚，需要额外书写的内容可能越少。前提是该能力属于共享先验，而不是为窥视当前数据而临时写入的。</w:t>
      </w:r>
    </w:p>
    <w:p>
      <w:pPr>
        <w:pStyle w:val="Heading2"/>
        <w:keepNext/>
        <w:keepLines/>
        <w:spacing w:after="120" w:before="180"/>
      </w:pPr>
      <w:bookmarkStart w:name="_toc_auto_29" w:id="28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5.4 关键难点：跨表示类的可比性</w:t>
      </w:r>
      <w:bookmarkEnd w:id="28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必须正视一个事实：线性模型与神经网络属于不同的模型类，直接比较两者的描述长度在哲学上缺乏严格依据。可行的替代方案是用码率–失真曲线代替单一标量：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横轴为码率，即用了多少比特；纵轴为失真，即几何重建误差。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调节两者的权重，把每种设置画成一个点并连成曲线。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曲线更靠左下角的表示更优。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这一比较方式在信息论框架内是严格的，也避免了「拿一个数字比较两个不同模型类」的困难。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最后需要提醒：描述长度项必须真正在起作用。若最终效果主要来自重建损失，则整个论证失去意义，必须通过消融实验证明该项目的贡献。</w:t>
      </w:r>
    </w:p>
    <w:p>
      <w:pPr>
        <w:pStyle w:val="Heading1"/>
        <w:keepNext/>
        <w:keepLines/>
        <w:spacing w:after="120" w:before="180"/>
      </w:pPr>
      <w:bookmarkStart w:name="_ch6" w:id="29"/>
      <w:r>
        <w:rPr>
          <w:rFonts w:ascii="Times New Roman" w:cs="Times New Roman" w:eastAsia="SimHei" w:hAnsi="Times New Roman"/>
          <w:b/>
          <w:bCs/>
          <w:color w:val="1F3864"/>
          <w:sz w:val="36"/>
          <w:szCs w:val="36"/>
        </w:rPr>
        <w:t xml:space="preserve">第六章 实操清单</w:t>
      </w:r>
      <w:bookmarkEnd w:id="29"/>
    </w:p>
    <w:p>
      <w:pPr>
        <w:pStyle w:val="Heading2"/>
        <w:keepNext/>
        <w:keepLines/>
        <w:spacing w:after="120" w:before="180"/>
      </w:pPr>
      <w:bookmarkStart w:name="_toc_auto_31" w:id="30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6.1 报告方式：报两个数，不报一个数</w:t>
      </w:r>
      <w:bookmarkEnd w:id="30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不要写「参数量若干兆」，而应写「编码这 N 张脸，模型部分用了多少 KB，样本部分用了多少 KB，合计多少 KB」。合计数才是可以与他人比较的量。</w:t>
      </w:r>
    </w:p>
    <w:p>
      <w:pPr>
        <w:pStyle w:val="Heading2"/>
        <w:keepNext/>
        <w:keepLines/>
        <w:spacing w:after="120" w:before="180"/>
      </w:pPr>
      <w:bookmarkStart w:name="_toc_auto_32" w:id="31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6.2 比较方式：用曲线，不用标量</w:t>
      </w:r>
      <w:bookmarkEnd w:id="31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跨方法比较时报告码率–失真曲线，而不是单一数字。参见第五章第 4 节。</w:t>
      </w:r>
    </w:p>
    <w:p>
      <w:pPr>
        <w:pStyle w:val="Heading2"/>
        <w:keepNext/>
        <w:keepLines/>
        <w:spacing w:after="120" w:before="180"/>
      </w:pPr>
      <w:bookmarkStart w:name="_toc_auto_33" w:id="32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6.3 训练目标的形式</w:t>
      </w:r>
      <w:bookmarkEnd w:id="32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把描述长度由评价指标升级为优化目标时，建议写成：</w:t>
      </w:r>
    </w:p>
    <w:p>
      <w:pPr>
        <w:tabs>
          <w:tab w:val="center" w:pos="4394"/>
          <w:tab w:val="right" w:pos="8787"/>
        </w:tabs>
        <w:spacing w:after="120" w:before="120" w:line="360" w:lineRule="auto"/>
      </w:pPr>
      <w:r>
        <w:ptab w:alignment="center" w:relativeTo="margin" w:leader="none"/>
      </w:r>
      <m:oMath>
        <m:r>
          <m:t>L</m:t>
        </m:r>
        <m:r>
          <m:t>=</m:t>
        </m:r>
        <m:sSub>
          <m:sSubPr/>
          <m:e>
            <m:r>
              <m:t>L</m:t>
            </m:r>
          </m:e>
          <m:sub>
            <m:r>
              <m:t>code</m:t>
            </m:r>
          </m:sub>
        </m:sSub>
        <m:r>
          <m:t>+</m:t>
        </m:r>
        <m:sSub>
          <m:sSubPr/>
          <m:e>
            <m:r>
              <m:t>w</m:t>
            </m:r>
          </m:e>
          <m:sub>
            <m:r>
              <m:t>init</m:t>
            </m:r>
          </m:sub>
        </m:sSub>
        <m:sSub>
          <m:sSubPr/>
          <m:e>
            <m:r>
              <m:t>E</m:t>
            </m:r>
          </m:e>
          <m:sub>
            <m:r>
              <m:t>init</m:t>
            </m:r>
          </m:sub>
        </m:sSub>
        <m:r>
          <m:t>+</m:t>
        </m:r>
        <m:sSub>
          <m:sSubPr/>
          <m:e>
            <m:r>
              <m:t>w</m:t>
            </m:r>
          </m:e>
          <m:sub>
            <m:r>
              <m:t>cov</m:t>
            </m:r>
          </m:sub>
        </m:sSub>
        <m:sSub>
          <m:sSubPr/>
          <m:e>
            <m:r>
              <m:t>E</m:t>
            </m:r>
          </m:e>
          <m:sub>
            <m:r>
              <m:t>coverage</m:t>
            </m:r>
          </m:sub>
        </m:sSub>
        <m:r>
          <m:t>+</m:t>
        </m:r>
        <m:sSub>
          <m:sSubPr/>
          <m:e>
            <m:r>
              <m:t>w</m:t>
            </m:r>
          </m:e>
          <m:sub>
            <m:r>
              <m:t>bnd</m:t>
            </m:r>
          </m:sub>
        </m:sSub>
        <m:sSub>
          <m:sSubPr/>
          <m:e>
            <m:r>
              <m:t>E</m:t>
            </m:r>
          </m:e>
          <m:sub>
            <m:r>
              <m:t>boundary</m:t>
            </m:r>
          </m:sub>
        </m:sSub>
      </m:oMath>
      <w:r>
        <w:ptab w:alignment="right" w:relativeTo="margin" w:leader="non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(6.1)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其中各项含义为：编码代价为主目标；E_init 保证结果不无故偏离初始对应；E_coverage 与 E_boundary 为下面提到的防退化约束。</w:t>
      </w:r>
    </w:p>
    <w:p>
      <w:pPr>
        <w:pStyle w:val="Heading2"/>
        <w:keepNext/>
        <w:keepLines/>
        <w:spacing w:after="120" w:before="180"/>
      </w:pPr>
      <w:bookmarkStart w:name="_toc_auto_34" w:id="33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6.4 必须提前设防：该目标一定会被钻空子</w:t>
      </w:r>
      <w:bookmarkEnd w:id="33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若只要求描述长度变短，优化过程会倾向于把所有点挤到表面变化最小的区域，此时描述长度确实下降，但几何结构被破坏。这类退化不是偶然失效，而是目标函数的必然倾向。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因此覆盖约束与边界约束不是可选项，而是目标函数成立的前提条件。Bolkart 论文中已有对应的约束项，可以直接沿用同一套设计。</w:t>
      </w:r>
    </w:p>
    <w:p>
      <w:pPr>
        <w:pStyle w:val="Heading2"/>
        <w:keepNext/>
        <w:keepLines/>
        <w:spacing w:after="120" w:before="180"/>
      </w:pPr>
      <w:bookmarkStart w:name="_toc_auto_35" w:id="34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6.5 与已有工作的区分</w:t>
      </w:r>
      <w:bookmarkEnd w:id="34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神经表示用于三维人脸对应已有多项工作，差异化必须写清楚。</w:t>
      </w:r>
    </w:p>
    <w:p>
      <w:pPr>
        <w:spacing w:after="60" w:before="200"/>
        <w:jc w:val="center"/>
      </w:pPr>
      <w:r>
        <w:rPr>
          <w:rFonts w:ascii="Times New Roman" w:cs="Times New Roman" w:eastAsia="SimSun" w:hAnsi="Times New Roman"/>
          <w:color w:val="2C3E50"/>
          <w:sz w:val="20"/>
          <w:szCs w:val="20"/>
        </w:rPr>
        <w:t xml:space="preserve">表 6.1  相关工作的机制差异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8"/>
        <w:gridCol w:w="4101"/>
        <w:gridCol w:w="2538"/>
      </w:tblGrid>
      <w:tr>
        <w:tc>
          <w:tcPr>
            <w:tcW w:type="dxa" w:w="2148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b/>
                <w:bCs/>
                <w:color w:val="2C3E50"/>
                <w:sz w:val="20"/>
                <w:szCs w:val="20"/>
              </w:rPr>
              <w:t xml:space="preserve">工作</w:t>
            </w:r>
          </w:p>
        </w:tc>
        <w:tc>
          <w:tcPr>
            <w:tcW w:type="dxa" w:w="4101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b/>
                <w:bCs/>
                <w:color w:val="2C3E50"/>
                <w:sz w:val="20"/>
                <w:szCs w:val="20"/>
              </w:rPr>
              <w:t xml:space="preserve">主要机制</w:t>
            </w:r>
          </w:p>
        </w:tc>
        <w:tc>
          <w:tcPr>
            <w:tcW w:type="dxa" w:w="2538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b/>
                <w:bCs/>
                <w:color w:val="2C3E50"/>
                <w:sz w:val="20"/>
                <w:szCs w:val="20"/>
              </w:rPr>
              <w:t xml:space="preserve">与本笔记方案的区别</w:t>
            </w:r>
          </w:p>
        </w:tc>
      </w:tr>
      <w:tr>
        <w:tc>
          <w:tcPr>
            <w:tcW w:type="dxa" w:w="2148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ImFace / ImFace++</w:t>
            </w:r>
          </w:p>
        </w:tc>
        <w:tc>
          <w:tcPr>
            <w:tcW w:type="dxa" w:w="4101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隐式神经表示，两个解耦形变场分别建模身份与表情，自动学习点对点对应</w:t>
            </w:r>
          </w:p>
        </w:tc>
        <w:tc>
          <w:tcPr>
            <w:tcW w:type="dxa" w:w="2538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以重建损失与解耦监督为主，未以群体描述长度为自监督信号</w:t>
            </w:r>
          </w:p>
        </w:tc>
      </w:tr>
      <w:tr>
        <w:tc>
          <w:tcPr>
            <w:tcW w:type="dxa" w:w="2148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DIF-Net</w:t>
            </w:r>
          </w:p>
        </w:tc>
        <w:tc>
          <w:tcPr>
            <w:tcW w:type="dxa" w:w="4101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模板隐场加形变场与修正场，天然给出稠密对应</w:t>
            </w:r>
          </w:p>
        </w:tc>
        <w:tc>
          <w:tcPr>
            <w:tcW w:type="dxa" w:w="2538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同属隐式表示路线，不涉及编码代价</w:t>
            </w:r>
          </w:p>
        </w:tc>
      </w:tr>
      <w:tr>
        <w:tc>
          <w:tcPr>
            <w:tcW w:type="dxa" w:w="2148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CaDeX</w:t>
            </w:r>
          </w:p>
        </w:tc>
        <w:tc>
          <w:tcPr>
            <w:tcW w:type="dxa" w:w="4101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连续双射构造规范形变坐标空间，保证循环一致性</w:t>
            </w:r>
          </w:p>
        </w:tc>
        <w:tc>
          <w:tcPr>
            <w:tcW w:type="dxa" w:w="2538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侧重形变表示与拓扑保持，不涉及描述长度</w:t>
            </w:r>
          </w:p>
        </w:tc>
      </w:tr>
      <w:tr>
        <w:tc>
          <w:tcPr>
            <w:tcW w:type="dxa" w:w="2148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MOCHI</w:t>
            </w:r>
          </w:p>
        </w:tc>
        <w:tc>
          <w:tcPr>
            <w:tcW w:type="dxa" w:w="4101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免配准多视角人脸稠密对应，以二维关键点与拓扑一致性约束</w:t>
            </w:r>
          </w:p>
        </w:tc>
        <w:tc>
          <w:tcPr>
            <w:tcW w:type="dxa" w:w="2538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解决监督来源问题，评价指标为重建精度</w:t>
            </w:r>
          </w:p>
        </w:tc>
      </w:tr>
    </w:tbl>
    <w:p>
      <w:pPr>
        <w:spacing w:after="0" w:before="200" w:line="20" w:lineRule="exact"/>
      </w:pP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由此可确定本方案的定位：以群体描述长度作为自监督信号来驱动对应的学习，而非以重建损失为主。这一区别必须在实验与写作中始终体现。</w:t>
      </w:r>
    </w:p>
    <w:p>
      <w:pPr>
        <w:pStyle w:val="Heading1"/>
        <w:keepNext/>
        <w:keepLines/>
        <w:spacing w:after="120" w:before="180"/>
      </w:pPr>
      <w:bookmarkStart w:name="_ch7" w:id="35"/>
      <w:r>
        <w:rPr>
          <w:rFonts w:ascii="Times New Roman" w:cs="Times New Roman" w:eastAsia="SimHei" w:hAnsi="Times New Roman"/>
          <w:b/>
          <w:bCs/>
          <w:color w:val="1F3864"/>
          <w:sz w:val="36"/>
          <w:szCs w:val="36"/>
        </w:rPr>
        <w:t xml:space="preserve">第七章 术语表</w:t>
      </w:r>
      <w:bookmarkEnd w:id="35"/>
    </w:p>
    <w:p>
      <w:pPr>
        <w:spacing w:after="60" w:before="200"/>
        <w:jc w:val="center"/>
      </w:pPr>
      <w:r>
        <w:rPr>
          <w:rFonts w:ascii="Times New Roman" w:cs="Times New Roman" w:eastAsia="SimSun" w:hAnsi="Times New Roman"/>
          <w:color w:val="2C3E50"/>
          <w:sz w:val="20"/>
          <w:szCs w:val="20"/>
        </w:rPr>
        <w:t xml:space="preserve">表 7.1  术语速查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4"/>
        <w:gridCol w:w="6053"/>
      </w:tblGrid>
      <w:tr>
        <w:tc>
          <w:tcPr>
            <w:tcW w:type="dxa" w:w="2734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b/>
                <w:bCs/>
                <w:color w:val="2C3E50"/>
                <w:sz w:val="20"/>
                <w:szCs w:val="20"/>
              </w:rPr>
              <w:t xml:space="preserve">术语</w:t>
            </w:r>
          </w:p>
        </w:tc>
        <w:tc>
          <w:tcPr>
            <w:tcW w:type="dxa" w:w="6053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b/>
                <w:bCs/>
                <w:color w:val="2C3E50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734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模型代价</w:t>
            </w:r>
          </w:p>
        </w:tc>
        <w:tc>
          <w:tcPr>
            <w:tcW w:type="dxa" w:w="6053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把规律本身记录下来所需的比特数</w:t>
            </w:r>
          </w:p>
        </w:tc>
      </w:tr>
      <w:tr>
        <w:tc>
          <w:tcPr>
            <w:tcW w:type="dxa" w:w="2734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数据代价</w:t>
            </w:r>
          </w:p>
        </w:tc>
        <w:tc>
          <w:tcPr>
            <w:tcW w:type="dxa" w:w="6053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在已知规律的前提下，描述每个具体样本所需的额外比特数</w:t>
            </w:r>
          </w:p>
        </w:tc>
      </w:tr>
      <w:tr>
        <w:tc>
          <w:tcPr>
            <w:tcW w:type="dxa" w:w="2734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描述长度</w:t>
            </w:r>
          </w:p>
        </w:tc>
        <w:tc>
          <w:tcPr>
            <w:tcW w:type="dxa" w:w="6053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把一份数据无损传达给对方所需的最少比特数</w:t>
            </w:r>
          </w:p>
        </w:tc>
      </w:tr>
      <w:tr>
        <w:tc>
          <w:tcPr>
            <w:tcW w:type="dxa" w:w="2734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MDL</w:t>
            </w:r>
          </w:p>
        </w:tc>
        <w:tc>
          <w:tcPr>
            <w:tcW w:type="dxa" w:w="6053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最小描述长度原则：最好的模型是能让数据被描述得最短的模型</w:t>
            </w:r>
          </w:p>
        </w:tc>
      </w:tr>
      <w:tr>
        <w:tc>
          <w:tcPr>
            <w:tcW w:type="dxa" w:w="2734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量化</w:t>
            </w:r>
          </w:p>
        </w:tc>
        <w:tc>
          <w:tcPr>
            <w:tcW w:type="dxa" w:w="6053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把无限精度小数截断为有限精度，会引入误差</w:t>
            </w:r>
          </w:p>
        </w:tc>
      </w:tr>
      <w:tr>
        <w:tc>
          <w:tcPr>
            <w:tcW w:type="dxa" w:w="2734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熵编码</w:t>
            </w:r>
          </w:p>
        </w:tc>
        <w:tc>
          <w:tcPr>
            <w:tcW w:type="dxa" w:w="6053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高频取值用短码、低频取值用长码的压缩方法</w:t>
            </w:r>
          </w:p>
        </w:tc>
      </w:tr>
      <w:tr>
        <w:tc>
          <w:tcPr>
            <w:tcW w:type="dxa" w:w="2734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微分熵</w:t>
            </w:r>
          </w:p>
        </w:tc>
        <w:tc>
          <w:tcPr>
            <w:tcW w:type="dxa" w:w="6053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连续随机变量不确定性的度量，高斯情形等于二分之一倍的以 2 为底的 2πe 乘方差的对数</w:t>
            </w:r>
          </w:p>
        </w:tc>
      </w:tr>
      <w:tr>
        <w:tc>
          <w:tcPr>
            <w:tcW w:type="dxa" w:w="2734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特征值</w:t>
            </w:r>
          </w:p>
        </w:tc>
        <w:tc>
          <w:tcPr>
            <w:tcW w:type="dxa" w:w="6053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数据在某个主成分方向上的方差，反映该方向的变化幅度</w:t>
            </w:r>
          </w:p>
        </w:tc>
      </w:tr>
      <w:tr>
        <w:tc>
          <w:tcPr>
            <w:tcW w:type="dxa" w:w="2734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紧致度</w:t>
            </w:r>
          </w:p>
        </w:tc>
        <w:tc>
          <w:tcPr>
            <w:tcW w:type="dxa" w:w="6053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统计形状模型指标，衡量解释数据所需的主成分数量</w:t>
            </w:r>
          </w:p>
        </w:tc>
      </w:tr>
      <w:tr>
        <w:tc>
          <w:tcPr>
            <w:tcW w:type="dxa" w:w="2734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两段码</w:t>
            </w:r>
          </w:p>
        </w:tc>
        <w:tc>
          <w:tcPr>
            <w:tcW w:type="dxa" w:w="6053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把预训练模型视为共享字典，只计算额外补充部分的编码方式</w:t>
            </w:r>
          </w:p>
        </w:tc>
      </w:tr>
      <w:tr>
        <w:tc>
          <w:tcPr>
            <w:tcW w:type="dxa" w:w="2734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码率–失真曲线</w:t>
            </w:r>
          </w:p>
        </w:tc>
        <w:tc>
          <w:tcPr>
            <w:tcW w:type="dxa" w:w="6053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以比特数为横轴、重建误差为纵轴的权衡曲线，用于公平比较不同表示</w:t>
            </w:r>
          </w:p>
        </w:tc>
      </w:tr>
      <w:tr>
        <w:tc>
          <w:tcPr>
            <w:tcW w:type="dxa" w:w="2734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隐码</w:t>
            </w:r>
          </w:p>
        </w:tc>
        <w:tc>
          <w:tcPr>
            <w:tcW w:type="dxa" w:w="6053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自编码器类模型中压缩得到的低维表示</w:t>
            </w:r>
          </w:p>
        </w:tc>
      </w:tr>
      <w:tr>
        <w:tc>
          <w:tcPr>
            <w:tcW w:type="dxa" w:w="2734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熵模型</w:t>
            </w:r>
          </w:p>
        </w:tc>
        <w:tc>
          <w:tcPr>
            <w:tcW w:type="dxa" w:w="6053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用于预测隐码分布参数、进而估计码长的辅助网络</w:t>
            </w:r>
          </w:p>
        </w:tc>
      </w:tr>
      <w:tr>
        <w:tc>
          <w:tcPr>
            <w:tcW w:type="dxa" w:w="2734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泛化</w:t>
            </w:r>
          </w:p>
        </w:tc>
        <w:tc>
          <w:tcPr>
            <w:tcW w:type="dxa" w:w="6053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在训练集上学到的规律能否适用于未见数据</w:t>
            </w:r>
          </w:p>
        </w:tc>
      </w:tr>
      <w:tr>
        <w:tc>
          <w:tcPr>
            <w:tcW w:type="dxa" w:w="2734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过参数化</w:t>
            </w:r>
          </w:p>
        </w:tc>
        <w:tc>
          <w:tcPr>
            <w:tcW w:type="dxa" w:w="6053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参数量远超样本数却仍泛化良好，说明参数量不等于有效复杂度</w:t>
            </w:r>
          </w:p>
        </w:tc>
      </w:tr>
    </w:tbl>
    <w:p>
      <w:pPr>
        <w:spacing w:after="0" w:before="200" w:line="20" w:lineRule="exact"/>
      </w:pPr>
    </w:p>
    <w:p>
      <w:pPr>
        <w:pStyle w:val="Heading2"/>
        <w:keepNext/>
        <w:keepLines/>
        <w:spacing w:after="120" w:before="180"/>
      </w:pPr>
      <w:bookmarkStart w:name="_toc_auto_37" w:id="36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核心结论回顾</w:t>
      </w:r>
      <w:bookmarkEnd w:id="36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本笔记的结论可以概括为三句话：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描述长度是两笔账之和，只算一笔必然得出错误结论。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参数量不是描述长度，用参数量衡量紧致度会直接否定神经表示的价值。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E_COMP 在高斯假设下就是数据编码的期望码长，因此「对应越好、描述越短」在数学上是严格的，而非类比。</w:t>
      </w:r>
    </w:p>
    <w:sectPr>
      <w:headerReference w:type="default" r:id="rId9"/>
      <w:footerReference w:type="default" r:id="rId10"/>
      <w:type w:val="nextPage"/>
      <w:pgSz w:w="11906" w:h="16838" w:orient="portrait"/>
      <w:pgMar w:top="1701" w:right="1418" w:bottom="1418" w:left="1701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line="36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line="36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line="360" w:lineRule="auto"/>
      <w:jc w:val="center"/>
    </w:pPr>
    <w:r>
      <w:rPr>
        <w:rFonts w:ascii="Times New Roman" w:cs="Times New Roman" w:eastAsia="SimSun" w:hAnsi="Times New Roman"/>
        <w:color w:val="999999"/>
        <w:sz w:val="18"/>
        <w:szCs w:val="18"/>
      </w:rPr>
      <w:t xml:space="preserve">MDL 与描述长度笔记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line="360" w:lineRule="auto"/>
      <w:jc w:val="center"/>
    </w:pPr>
    <w:r>
      <w:rPr>
        <w:rFonts w:ascii="Times New Roman" w:cs="Times New Roman" w:eastAsia="SimSun" w:hAnsi="Times New Roman"/>
        <w:color w:val="999999"/>
        <w:sz w:val="18"/>
        <w:szCs w:val="18"/>
      </w:rPr>
      <w:t xml:space="preserve">MDL 与描述长度笔记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color w:val="2C3E50"/>
        <w:sz w:val="24"/>
        <w:szCs w:val="24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180"/>
      <w:outlineLvl w:val="0"/>
    </w:pPr>
    <w:rPr>
      <w:rFonts w:ascii="Times New Roman" w:cs="Times New Roman" w:eastAsia="SimHei" w:hAnsi="Times New Roman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180"/>
      <w:outlineLvl w:val="1"/>
    </w:pPr>
    <w:rPr>
      <w:rFonts w:ascii="Times New Roman" w:cs="Times New Roman" w:eastAsia="SimHei" w:hAnsi="Times New Roman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180"/>
      <w:outlineLvl w:val="2"/>
    </w:pPr>
    <w:rPr>
      <w:rFonts w:ascii="Times New Roman" w:cs="Times New Roman" w:eastAsia="SimHei" w:hAnsi="Times New Roman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20" w:before="180"/>
      <w:outlineLvl w:val="3"/>
    </w:pPr>
    <w:rPr>
      <w:rFonts w:ascii="Times New Roman" w:cs="Times New Roman" w:eastAsia="SimHei" w:hAnsi="Times New Roman"/>
      <w:b/>
      <w:bCs/>
      <w:color w:val="1F3864"/>
      <w:sz w:val="24"/>
      <w:szCs w:val="24"/>
    </w:rPr>
  </w:style>
  <w:style xmlns:w="http://schemas.openxmlformats.org/wordprocessingml/2006/main" w:type="paragraph" w:styleId="TOC1">
    <w:name w:val="toc 1"/>
    <w:basedOn w:val="Normal"/>
    <w:uiPriority w:val="39"/>
    <w:pPr>
      <w:spacing w:before="120" w:after="0" w:line="360" w:lineRule="auto"/>
    </w:pPr>
    <w:rPr>
      <w:b/>
      <w:sz w:val="22"/>
      <w:szCs w:val="22"/>
    </w:rPr>
  </w:style>
  <w:style xmlns:w="http://schemas.openxmlformats.org/wordprocessingml/2006/main" w:type="paragraph" w:styleId="TOC2">
    <w:name w:val="toc 2"/>
    <w:basedOn w:val="Normal"/>
    <w:uiPriority w:val="39"/>
    <w:pPr>
      <w:spacing w:before="0" w:after="0" w:line="360" w:lineRule="auto"/>
      <w:ind w:left="420"/>
    </w:pPr>
    <w:rPr>
      <w:sz w:val="21"/>
      <w:szCs w:val="21"/>
    </w:rPr>
  </w:style>
  <w:style xmlns:w="http://schemas.openxmlformats.org/wordprocessingml/2006/main" w:type="paragraph" w:styleId="TOC3">
    <w:name w:val="toc 3"/>
    <w:basedOn w:val="Normal"/>
    <w:uiPriority w:val="39"/>
    <w:pPr>
      <w:spacing w:before="0" w:after="0" w:line="360" w:lineRule="auto"/>
      <w:ind w:left="840"/>
    </w:pPr>
    <w:rPr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2026-10-15T12:02:25.555Z</dcterms:created>
  <dcterms:modified xsi:type="dcterms:W3CDTF">2026-10-15T12:02:25.555Z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