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8"/>
          <w:rFonts w:hint="eastAsia"/>
          <w:lang w:val="en-US" w:eastAsia="zh-CN"/>
        </w:rPr>
      </w:pPr>
      <w:r>
        <w:rPr>
          <w:rStyle w:val="8"/>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0"/>
          <w:rFonts w:hint="eastAsia"/>
          <w:lang w:val="en-US" w:eastAsia="zh-CN"/>
        </w:rPr>
        <w:t>AMD</w:t>
      </w:r>
      <w:r>
        <w:rPr>
          <w:rFonts w:hint="eastAsia"/>
          <w:lang w:val="en-US" w:eastAsia="zh-CN"/>
        </w:rPr>
        <w:t>（异步模块加载，代表：requirejs）、</w:t>
      </w:r>
      <w:r>
        <w:rPr>
          <w:rStyle w:val="10"/>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使用npm的模块时，需要手动把对应的文件放到assets/js目录下（像webpack这些在后端打包的工具可以直接requrie进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6"/>
          <w:rFonts w:hint="eastAsia"/>
          <w:lang w:val="en-US" w:eastAsia="zh-CN"/>
        </w:rPr>
        <w:t>https://github.com/13428282016/amd.git</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npm install</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6"/>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6"/>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pStyle w:val="3"/>
        <w:numPr>
          <w:ilvl w:val="0"/>
          <w:numId w:val="4"/>
        </w:numPr>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ind w:left="420" w:leftChars="0"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num w:numId="1">
    <w:abstractNumId w:val="1456467317"/>
  </w:num>
  <w:num w:numId="2">
    <w:abstractNumId w:val="1456470642"/>
  </w:num>
  <w:num w:numId="3">
    <w:abstractNumId w:val="1456468633"/>
  </w:num>
  <w:num w:numId="4">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1CA445E2"/>
    <w:rsid w:val="590B3875"/>
    <w:rsid w:val="5BCF6233"/>
    <w:rsid w:val="5D5A02F9"/>
    <w:rsid w:val="5DC7425C"/>
    <w:rsid w:val="7B5264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2016-02-26T07:58:02Z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