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FB015">
      <w:pPr>
        <w:spacing w:after="160"/>
        <w:jc w:val="center"/>
      </w:pPr>
      <w:r>
        <w:rPr>
          <w:rFonts w:ascii="宋体" w:hAnsi="宋体" w:eastAsia="宋体"/>
          <w:b/>
          <w:sz w:val="36"/>
        </w:rPr>
        <w:t>明睿×联通·汽车后市场可信数据空间</w:t>
      </w:r>
    </w:p>
    <w:p w14:paraId="7EAC2B8C">
      <w:pPr>
        <w:spacing w:after="160"/>
        <w:jc w:val="center"/>
      </w:pPr>
      <w:r>
        <w:rPr>
          <w:rFonts w:ascii="宋体" w:hAnsi="宋体" w:eastAsia="宋体"/>
          <w:b/>
          <w:sz w:val="32"/>
        </w:rPr>
        <w:t>应用型研究实践报告</w:t>
      </w:r>
    </w:p>
    <w:p w14:paraId="64712112">
      <w:pPr>
        <w:spacing w:after="240" w:line="324" w:lineRule="auto"/>
        <w:jc w:val="center"/>
      </w:pPr>
    </w:p>
    <w:p w14:paraId="0E02C872">
      <w:pPr>
        <w:spacing w:before="200" w:after="100"/>
      </w:pPr>
      <w:r>
        <w:rPr>
          <w:rFonts w:ascii="宋体" w:hAnsi="宋体" w:eastAsia="宋体"/>
          <w:b/>
          <w:sz w:val="30"/>
        </w:rPr>
        <w:t>摘要</w:t>
      </w:r>
    </w:p>
    <w:p w14:paraId="0456FC2A">
      <w:pPr>
        <w:spacing w:after="100" w:line="324" w:lineRule="auto"/>
        <w:ind w:firstLine="420"/>
      </w:pPr>
      <w:r>
        <w:rPr>
          <w:rFonts w:ascii="宋体" w:hAnsi="宋体" w:eastAsia="宋体"/>
          <w:sz w:val="21"/>
        </w:rPr>
        <w:t>汽车后市场的交易、维修和后装服务均依赖车辆履历、实际使用状态和需求判断，但相关信息长期分散在维修企业、检测设备、车联网平台、通信运营商和交易平台中，存在对象不统一、证据难核验和结果难追溯等问题。本报告以可信数据空间为协同载体，围绕明睿维修诊断数据与联通车联网、车主行为数据的互补关系，构建数据治理、可信流通、应用验证和运营转化的一体化方案。</w:t>
      </w:r>
    </w:p>
    <w:p w14:paraId="7D5C6EAD">
      <w:pPr>
        <w:spacing w:after="100" w:line="324" w:lineRule="auto"/>
        <w:ind w:firstLine="420"/>
      </w:pPr>
      <w:r>
        <w:rPr>
          <w:rFonts w:ascii="宋体" w:hAnsi="宋体" w:eastAsia="宋体"/>
          <w:sz w:val="21"/>
        </w:rPr>
        <w:t>公开统计显示，截至2026年6月底，全国汽车保有量为3.71亿辆，新能源汽车保有量为4897万辆（来源：公安部交通管理局公开统计，新华网，2026年7月）；2025年全国二手车交易量为2010.80万辆、交易金额为12897.90亿元（来源：中国汽车流通协会《2025年12月二手车市场简析》）。前期咨询材料显示，明睿侧可提供大规模维修诊断与检测证据，联通侧具备车联网连接和近百维人车行为标签，具体数量仍需项目方核验（来源：《车主生态数据融合咨询报告》，2026年5月，前期咨询口径）。</w:t>
      </w:r>
    </w:p>
    <w:p w14:paraId="6A61D9EC">
      <w:pPr>
        <w:spacing w:after="100" w:line="324" w:lineRule="auto"/>
        <w:ind w:firstLine="420"/>
      </w:pPr>
      <w:r>
        <w:rPr>
          <w:rFonts w:ascii="宋体" w:hAnsi="宋体" w:eastAsia="宋体"/>
          <w:sz w:val="21"/>
        </w:rPr>
        <w:t>方案不以建设“大而全平台”为目标，而以低成本、可解释、可计费的结果服务为切入口。里程一致性核验所需字段较少、规则易复核、业务反馈周期较短，因此优先用于验证客户是否愿意为可信证据付费，再逐步扩展至风险预警、维修必要性、交易凭证和合规触达。技术与模型不预设全部启用，而是根据业务损失、数据敏感度、样本条件、解释要求和运维成本选择：规则或统计基线能够满足需求时不引入复杂组件，只有跨域训练、高敏隔离或多方共同存证成为必要条件时，才启用联邦学习、TEE或许可链等能力。</w:t>
      </w:r>
    </w:p>
    <w:p w14:paraId="6E5CF413">
      <w:pPr>
        <w:spacing w:after="100" w:line="324" w:lineRule="auto"/>
        <w:ind w:firstLine="420"/>
      </w:pPr>
      <w:r>
        <w:rPr>
          <w:rFonts w:ascii="宋体" w:hAnsi="宋体" w:eastAsia="宋体"/>
          <w:sz w:val="21"/>
        </w:rPr>
        <w:t>研究成果包括十章应用型研究报告、可运行的模型原型与网页 Demo、MVP 验证方案、运营规范及商业测算。报告中的价格、调用量、收益和模型效果均属于方案测算或原型验证口径，不能替代真实试点结果。</w:t>
      </w:r>
    </w:p>
    <w:p w14:paraId="1E87ABAC">
      <w:pPr>
        <w:spacing w:after="100" w:line="324" w:lineRule="auto"/>
        <w:ind w:firstLine="420"/>
      </w:pPr>
      <w:r>
        <w:rPr>
          <w:rFonts w:ascii="宋体" w:hAnsi="宋体" w:eastAsia="宋体"/>
          <w:sz w:val="21"/>
        </w:rPr>
        <w:t>报告的产品边界限定为受控的数据服务和决策辅助，不替代车辆司法鉴定、保险核赔、维修质量法定认定或个人信用评价。对于证据不完整、模型置信度不足和争议较高的车辆，系统只提供待复核提示。该边界既保护使用方的决策责任，也避免把算法结果包装成无条件承诺。</w:t>
      </w:r>
    </w:p>
    <w:p w14:paraId="428A7D0B">
      <w:pPr>
        <w:spacing w:after="100" w:line="324" w:lineRule="auto"/>
        <w:ind w:firstLine="420"/>
      </w:pPr>
      <w:r>
        <w:rPr>
          <w:rFonts w:ascii="宋体" w:hAnsi="宋体" w:eastAsia="宋体"/>
          <w:sz w:val="21"/>
        </w:rPr>
        <w:t>研究采用统一的车辆对象、事件时间轴和结果版本。报告中的价格区间、风险等级和推荐优先级，均应能够回到具体输入、处理规则和授权编号；当数据口径发生变化时，先更新字段字典和版本记录，再重新计算受影响结果。</w:t>
      </w:r>
    </w:p>
    <w:p w14:paraId="73CF0438">
      <w:pPr>
        <w:spacing w:before="120" w:after="100"/>
      </w:pPr>
      <w:r>
        <w:rPr>
          <w:rFonts w:ascii="宋体" w:hAnsi="宋体" w:eastAsia="宋体"/>
          <w:b/>
          <w:sz w:val="23"/>
        </w:rPr>
        <w:t>关键词</w:t>
      </w:r>
    </w:p>
    <w:p w14:paraId="5CD7A773">
      <w:pPr>
        <w:spacing w:after="100" w:line="324" w:lineRule="auto"/>
      </w:pPr>
      <w:r>
        <w:rPr>
          <w:rFonts w:ascii="宋体" w:hAnsi="宋体" w:eastAsia="宋体"/>
          <w:sz w:val="21"/>
        </w:rPr>
        <w:t>可信数据空间；汽车后市场；里程核验；二手车风险预警；维修必要性；隐私计算；数据治理；结果服务</w:t>
      </w:r>
    </w:p>
    <w:p w14:paraId="78061816">
      <w:pPr>
        <w:spacing w:before="200" w:after="100"/>
      </w:pPr>
      <w:r>
        <w:rPr>
          <w:rFonts w:ascii="宋体" w:hAnsi="宋体" w:eastAsia="宋体"/>
          <w:b/>
          <w:sz w:val="30"/>
        </w:rPr>
        <w:t>项目概览</w:t>
      </w:r>
    </w:p>
    <w:p w14:paraId="13CFFFFC">
      <w:pPr>
        <w:spacing w:after="100" w:line="324" w:lineRule="auto"/>
        <w:ind w:firstLine="420"/>
      </w:pPr>
      <w:r>
        <w:rPr>
          <w:rFonts w:ascii="宋体" w:hAnsi="宋体" w:eastAsia="宋体"/>
          <w:sz w:val="21"/>
        </w:rPr>
        <w:t>项目以汽车后市场中的信任缺口为切入口，将明睿的维修诊断与检测证据、联通的车联网连接与动态行为特征，以及外部行情和行业统计组织为受控结果服务。产品不以集中汇聚所有数据为前提，而是围绕“数据可用、过程可审计、结果可解释、服务可计费”建立最小闭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7357"/>
      </w:tblGrid>
      <w:tr w14:paraId="0C87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609D2BA">
            <w:r>
              <w:rPr>
                <w:rFonts w:ascii="宋体" w:hAnsi="宋体" w:eastAsia="宋体"/>
                <w:b/>
                <w:sz w:val="18"/>
              </w:rPr>
              <w:t>要素</w:t>
            </w:r>
          </w:p>
        </w:tc>
        <w:tc>
          <w:tcPr>
            <w:tcW w:w="7370" w:type="dxa"/>
            <w:vAlign w:val="center"/>
          </w:tcPr>
          <w:p w14:paraId="771A9A09">
            <w:r>
              <w:rPr>
                <w:rFonts w:ascii="宋体" w:hAnsi="宋体" w:eastAsia="宋体"/>
                <w:b/>
                <w:sz w:val="18"/>
              </w:rPr>
              <w:t>项目设计</w:t>
            </w:r>
          </w:p>
        </w:tc>
      </w:tr>
      <w:tr w14:paraId="48FC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E414E8D">
            <w:pPr>
              <w:spacing w:after="0" w:line="264" w:lineRule="auto"/>
            </w:pPr>
            <w:r>
              <w:rPr>
                <w:rFonts w:ascii="宋体" w:hAnsi="宋体" w:eastAsia="宋体"/>
                <w:sz w:val="17"/>
              </w:rPr>
              <w:t>首个切入口</w:t>
            </w:r>
          </w:p>
        </w:tc>
        <w:tc>
          <w:tcPr>
            <w:tcW w:w="7370" w:type="dxa"/>
            <w:vAlign w:val="center"/>
          </w:tcPr>
          <w:p w14:paraId="1FE4EFFD">
            <w:pPr>
              <w:spacing w:after="0" w:line="264" w:lineRule="auto"/>
            </w:pPr>
            <w:r>
              <w:rPr>
                <w:rFonts w:ascii="宋体" w:hAnsi="宋体" w:eastAsia="宋体"/>
                <w:sz w:val="17"/>
              </w:rPr>
              <w:t>里程一致性核验与改表风险提示；字段较少、规则清楚、容易人工复核</w:t>
            </w:r>
          </w:p>
        </w:tc>
      </w:tr>
      <w:tr w14:paraId="1B97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12982F3">
            <w:pPr>
              <w:spacing w:after="0" w:line="264" w:lineRule="auto"/>
            </w:pPr>
            <w:r>
              <w:rPr>
                <w:rFonts w:ascii="宋体" w:hAnsi="宋体" w:eastAsia="宋体"/>
                <w:sz w:val="17"/>
              </w:rPr>
              <w:t>核心服务链</w:t>
            </w:r>
          </w:p>
        </w:tc>
        <w:tc>
          <w:tcPr>
            <w:tcW w:w="7370" w:type="dxa"/>
            <w:vAlign w:val="center"/>
          </w:tcPr>
          <w:p w14:paraId="25C9FE04">
            <w:pPr>
              <w:spacing w:after="0" w:line="264" w:lineRule="auto"/>
            </w:pPr>
            <w:r>
              <w:rPr>
                <w:rFonts w:ascii="宋体" w:hAnsi="宋体" w:eastAsia="宋体"/>
                <w:sz w:val="17"/>
              </w:rPr>
              <w:t>里程核验 → 可信车况 → 维修必要性 → 交易凭证 → 风险预警与运营订阅</w:t>
            </w:r>
          </w:p>
        </w:tc>
      </w:tr>
      <w:tr w14:paraId="3F05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31B77AF">
            <w:pPr>
              <w:spacing w:after="0" w:line="264" w:lineRule="auto"/>
            </w:pPr>
            <w:r>
              <w:rPr>
                <w:rFonts w:ascii="宋体" w:hAnsi="宋体" w:eastAsia="宋体"/>
                <w:sz w:val="17"/>
              </w:rPr>
              <w:t>主要客户</w:t>
            </w:r>
          </w:p>
        </w:tc>
        <w:tc>
          <w:tcPr>
            <w:tcW w:w="7370" w:type="dxa"/>
            <w:vAlign w:val="center"/>
          </w:tcPr>
          <w:p w14:paraId="305A2DF1">
            <w:pPr>
              <w:spacing w:after="0" w:line="264" w:lineRule="auto"/>
            </w:pPr>
            <w:r>
              <w:rPr>
                <w:rFonts w:ascii="宋体" w:hAnsi="宋体" w:eastAsia="宋体"/>
                <w:sz w:val="17"/>
              </w:rPr>
              <w:t>中小二手车商、检测机构、维修连锁；逐步拓展保险金融、交易平台和后装品牌</w:t>
            </w:r>
          </w:p>
        </w:tc>
      </w:tr>
      <w:tr w14:paraId="0EC5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847DD2B">
            <w:pPr>
              <w:spacing w:after="0" w:line="264" w:lineRule="auto"/>
            </w:pPr>
            <w:r>
              <w:rPr>
                <w:rFonts w:ascii="宋体" w:hAnsi="宋体" w:eastAsia="宋体"/>
                <w:sz w:val="17"/>
              </w:rPr>
              <w:t>核心输出</w:t>
            </w:r>
          </w:p>
        </w:tc>
        <w:tc>
          <w:tcPr>
            <w:tcW w:w="7370" w:type="dxa"/>
            <w:vAlign w:val="center"/>
          </w:tcPr>
          <w:p w14:paraId="57C80492">
            <w:pPr>
              <w:spacing w:after="0" w:line="264" w:lineRule="auto"/>
            </w:pPr>
            <w:r>
              <w:rPr>
                <w:rFonts w:ascii="宋体" w:hAnsi="宋体" w:eastAsia="宋体"/>
                <w:sz w:val="17"/>
              </w:rPr>
              <w:t>核验卡、评分卡、预警卡、维修建议、凭证、接口和运营看板</w:t>
            </w:r>
          </w:p>
        </w:tc>
      </w:tr>
      <w:tr w14:paraId="7723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5CDBB5">
            <w:pPr>
              <w:spacing w:after="0" w:line="264" w:lineRule="auto"/>
            </w:pPr>
            <w:r>
              <w:rPr>
                <w:rFonts w:ascii="宋体" w:hAnsi="宋体" w:eastAsia="宋体"/>
                <w:sz w:val="17"/>
              </w:rPr>
              <w:t>验证原则</w:t>
            </w:r>
          </w:p>
        </w:tc>
        <w:tc>
          <w:tcPr>
            <w:tcW w:w="7370" w:type="dxa"/>
            <w:vAlign w:val="center"/>
          </w:tcPr>
          <w:p w14:paraId="489D183F">
            <w:pPr>
              <w:spacing w:after="0" w:line="264" w:lineRule="auto"/>
            </w:pPr>
            <w:r>
              <w:rPr>
                <w:rFonts w:ascii="宋体" w:hAnsi="宋体" w:eastAsia="宋体"/>
                <w:sz w:val="17"/>
              </w:rPr>
              <w:t>先证明技术可运行和客户愿采用，再验证付费、续费与跨场景复制</w:t>
            </w:r>
          </w:p>
        </w:tc>
      </w:tr>
    </w:tbl>
    <w:p w14:paraId="525310A3">
      <w:pPr>
        <w:spacing w:after="20"/>
      </w:pPr>
    </w:p>
    <w:p w14:paraId="05E1C03B">
      <w:pPr>
        <w:spacing w:after="100" w:line="324" w:lineRule="auto"/>
        <w:ind w:firstLine="420"/>
      </w:pPr>
      <w:r>
        <w:rPr>
          <w:rFonts w:ascii="宋体" w:hAnsi="宋体" w:eastAsia="宋体"/>
          <w:sz w:val="21"/>
        </w:rPr>
        <w:t>项目边界包括车辆和维修相关的决策辅助，不包括未经授权的个人身份识别、位置轨迹直接开放、自动作出保险核赔或维修法定认定。所有外部统计、咨询数字和商业价格均按来源或测算性质区分，真实合作关系与数据规模以主体确认和试点记录为准。</w:t>
      </w:r>
    </w:p>
    <w:p w14:paraId="560E1D8C">
      <w:pPr>
        <w:spacing w:before="200" w:after="100"/>
      </w:pPr>
      <w:r>
        <w:rPr>
          <w:rFonts w:ascii="宋体" w:hAnsi="宋体" w:eastAsia="宋体"/>
          <w:b/>
          <w:sz w:val="30"/>
        </w:rPr>
        <w:t>第一章 绪论（课题定位）</w:t>
      </w:r>
    </w:p>
    <w:p w14:paraId="582EB934">
      <w:pPr>
        <w:spacing w:before="120" w:after="100"/>
      </w:pPr>
      <w:r>
        <w:rPr>
          <w:rFonts w:ascii="宋体" w:hAnsi="宋体" w:eastAsia="宋体"/>
          <w:b/>
          <w:sz w:val="23"/>
        </w:rPr>
        <w:t>1.1 课题背景与研究意义</w:t>
      </w:r>
    </w:p>
    <w:p w14:paraId="2F864324">
      <w:pPr>
        <w:spacing w:after="100" w:line="324" w:lineRule="auto"/>
        <w:ind w:firstLine="420"/>
      </w:pPr>
      <w:r>
        <w:rPr>
          <w:rFonts w:ascii="宋体" w:hAnsi="宋体" w:eastAsia="宋体"/>
          <w:sz w:val="21"/>
        </w:rPr>
        <w:t>汽车后市场正在由经验判断转向证据判断。二手车交易需要连续的车况与价格依据，维修服务需要证明诊断、配件和施工结果，后装营销需要识别车辆状态与真实需求，保险金融则需要稳定的风险分层。数据分别掌握在维修门店、检测设备、车联网平台、通信运营商和交易主体手中，跨主体之间却缺少统一对象、统一口径和可复核的责任链。</w:t>
      </w:r>
    </w:p>
    <w:p w14:paraId="67B1618E">
      <w:pPr>
        <w:spacing w:after="100" w:line="324" w:lineRule="auto"/>
        <w:ind w:firstLine="420"/>
      </w:pPr>
      <w:r>
        <w:rPr>
          <w:rFonts w:ascii="宋体" w:hAnsi="宋体" w:eastAsia="宋体"/>
          <w:sz w:val="21"/>
        </w:rPr>
        <w:t>市场容量使这一问题具有现实价值。2024年中国汽车后市场规模约7.5万亿元（来源：商务部研究院，新华网，2024年12月）；汽车养护与维修市场规模由2020年的约1.42万亿元预计增长至2025年的约1.74万亿元（来源：中国汽车流通协会售后零部件分会测算，人民日报，2024年1月）。规模增长并不会自动消除信息不对称，反而使车况核验、维修证据和合规触达的标准化需求更突出。</w:t>
      </w:r>
    </w:p>
    <w:p w14:paraId="3E3DE785">
      <w:pPr>
        <w:spacing w:after="100" w:line="324" w:lineRule="auto"/>
        <w:ind w:firstLine="420"/>
      </w:pPr>
      <w:r>
        <w:rPr>
          <w:rFonts w:ascii="宋体" w:hAnsi="宋体" w:eastAsia="宋体"/>
          <w:sz w:val="21"/>
        </w:rPr>
        <w:t>明睿与联通具有互补的数据能力。前期咨询口径显示，明睿侧累计诊断报告约13.6亿份，覆盖约1.59亿辆车、52万家维修企业和125万台诊断设备；联通侧覆盖移动与车联网用户，形成近百维人—车—行标签。上述数字属于咨询材料口径，实际接入范围、授权状态和字段粒度仍须以项目核验为准（来源：《车主生态数据融合咨询报告》，2026年5月）。明睿更接近“车况如何”的维修、诊断和检测证据，联通更接近“车辆如何使用、用户如何响应”的动态特征，两者结合可补足单一数据源的盲区。</w:t>
      </w:r>
    </w:p>
    <w:p w14:paraId="338D011B">
      <w:pPr>
        <w:spacing w:after="100" w:line="324" w:lineRule="auto"/>
        <w:ind w:firstLine="420"/>
      </w:pPr>
      <w:r>
        <w:rPr>
          <w:rFonts w:ascii="宋体" w:hAnsi="宋体" w:eastAsia="宋体"/>
          <w:sz w:val="21"/>
        </w:rPr>
        <w:t>课题的研究意义有三点。第一，将二手车、维修和后装服务中的信任问题转化为可核验的证据问题，降低交易双方的判断成本。第二，将原始数据转化为评分、区间、预警、标签和报告等结果服务，避免以直接开放明细作为合作前提。第三，将授权、质量、脱敏、审计、计费和责任分配嵌入同一机制，使数据价值具有持续运营条件。</w:t>
      </w:r>
    </w:p>
    <w:p w14:paraId="6BD0F9B2">
      <w:pPr>
        <w:spacing w:after="100" w:line="324" w:lineRule="auto"/>
        <w:ind w:firstLine="420"/>
      </w:pPr>
      <w:r>
        <w:rPr>
          <w:rFonts w:ascii="宋体" w:hAnsi="宋体" w:eastAsia="宋体"/>
          <w:sz w:val="21"/>
        </w:rPr>
        <w:t>政策环境对项目提出了双重要求：一方面，数据要素市场化和可信数据空间建设要求数据在授权、可控和可追溯的条件下流通；另一方面，汽车数据处理涉及个人信息、车辆识别、位置和行驶行为等敏感边界，不能用一般的信息共享方式处理。项目因此把合规设计放在数据接入之前，将用途、字段、保存期限和结果范围写入任务协议。</w:t>
      </w:r>
    </w:p>
    <w:p w14:paraId="7E43099A">
      <w:pPr>
        <w:spacing w:after="100" w:line="324" w:lineRule="auto"/>
        <w:ind w:firstLine="420"/>
      </w:pPr>
      <w:r>
        <w:rPr>
          <w:rFonts w:ascii="宋体" w:hAnsi="宋体" w:eastAsia="宋体"/>
          <w:sz w:val="21"/>
        </w:rPr>
        <w:t>合作关系的价值不在于简单叠加数据规模，而在于形成可互相验证的证据链。明睿的维修和检测记录可以校验车辆是否经历某类事件，联通的动态使用特征可以补充车辆在记录间隔中的实际状态，外部行情可以检验估值结果是否偏离市场。三类证据同时存在时，结果的解释力和复核效率才有可能提高。</w:t>
      </w:r>
    </w:p>
    <w:p w14:paraId="696885A8">
      <w:pPr>
        <w:spacing w:after="100" w:line="324" w:lineRule="auto"/>
        <w:ind w:firstLine="420"/>
      </w:pPr>
      <w:r>
        <w:rPr>
          <w:rFonts w:ascii="宋体" w:hAnsi="宋体" w:eastAsia="宋体"/>
          <w:sz w:val="21"/>
        </w:rPr>
        <w:t>从企业协同角度看，可信空间还承担“责任分界面”的功能。明睿提供的维修与检测证据需要有来源和版本，联通提供的动态特征需要有授权和时间窗口，运营方需要对任务、权限和结果交付负责，场景客户需要对使用目的和再利用负责。责任分界越清楚，结果服务越容易进入实际采购和复核流程。</w:t>
      </w:r>
    </w:p>
    <w:p w14:paraId="7057702D">
      <w:pPr>
        <w:spacing w:after="100" w:line="324" w:lineRule="auto"/>
        <w:ind w:firstLine="420"/>
      </w:pPr>
      <w:r>
        <w:rPr>
          <w:rFonts w:ascii="宋体" w:hAnsi="宋体" w:eastAsia="宋体"/>
          <w:sz w:val="21"/>
        </w:rPr>
        <w:t>从研究实践角度看，课题把数据治理、算法原型、客户验证和商业测算放在同一条链路上。这样可以在早期暴露数据不可得、字段不一致、客户不愿使用或成本过高等问题，避免先建设复杂系统再寻找应用场景。</w:t>
      </w:r>
    </w:p>
    <w:p w14:paraId="2726CE80">
      <w:pPr>
        <w:spacing w:before="120" w:after="100"/>
      </w:pPr>
      <w:r>
        <w:rPr>
          <w:rFonts w:ascii="宋体" w:hAnsi="宋体" w:eastAsia="宋体"/>
          <w:b/>
          <w:sz w:val="23"/>
        </w:rPr>
        <w:t>1.2 数据要素×汽车后市场：可信空间的价值</w:t>
      </w:r>
    </w:p>
    <w:p w14:paraId="3C2E0282">
      <w:pPr>
        <w:spacing w:after="100" w:line="324" w:lineRule="auto"/>
        <w:ind w:firstLine="420"/>
      </w:pPr>
      <w:r>
        <w:rPr>
          <w:rFonts w:ascii="宋体" w:hAnsi="宋体" w:eastAsia="宋体"/>
          <w:sz w:val="21"/>
        </w:rPr>
        <w:t>汽车数据的价值不是数据量的简单累加，而是数据能否在明确用途下形成稳定结果。咨询材料将诊断数据的价值划分为查询、报告、模型、生态和战略五个层级（来源：《车主生态数据融合咨询报告》，2026年5月）；本项目选择其中最容易验证的结果服务作为起点，将车辆证据、动态使用特征和外部行情转化为可解释的核验与判断。</w:t>
      </w:r>
    </w:p>
    <w:p w14:paraId="7E71A1E1">
      <w:pPr>
        <w:spacing w:after="100" w:line="324" w:lineRule="auto"/>
        <w:ind w:firstLine="420"/>
      </w:pPr>
      <w:r>
        <w:rPr>
          <w:rFonts w:ascii="宋体" w:hAnsi="宋体" w:eastAsia="宋体"/>
          <w:sz w:val="21"/>
        </w:rPr>
        <w:t>交易价值体现为证据对业务决策的直接支持。二手车场景需要核验里程、维修和事故线索，维修场景需要核对故障、配件、工单与价格，后装场景需要判断需求窗口与触达适配度。可信空间以最小必要字段完成交叉计算，向业务方交付风险等级、价格区间、证据摘要或推荐优先级。</w:t>
      </w:r>
    </w:p>
    <w:p w14:paraId="3DD3125D">
      <w:pPr>
        <w:spacing w:after="100" w:line="324" w:lineRule="auto"/>
        <w:ind w:firstLine="420"/>
      </w:pPr>
      <w:r>
        <w:rPr>
          <w:rFonts w:ascii="宋体" w:hAnsi="宋体" w:eastAsia="宋体"/>
          <w:sz w:val="21"/>
        </w:rPr>
        <w:t>治理价值体现为权利和责任的可执行化。车辆识别、维修履历、位置与行驶行为、触达反馈等数据的敏感程度不同，必须分别配置持有控制、加工使用、调用、结果输出和审计责任。分类分级、用途限定、脱敏处理、调用留痕和异常冻结共同构成数据可用的边界。</w:t>
      </w:r>
    </w:p>
    <w:p w14:paraId="4587490F">
      <w:pPr>
        <w:spacing w:after="100" w:line="324" w:lineRule="auto"/>
        <w:ind w:firstLine="420"/>
      </w:pPr>
      <w:r>
        <w:rPr>
          <w:rFonts w:ascii="宋体" w:hAnsi="宋体" w:eastAsia="宋体"/>
          <w:sz w:val="21"/>
        </w:rPr>
        <w:t>协同价值体现为明睿与联通可以交换结果而非交换全部原始数据。明睿侧生成车辆健康、维修异常和配件适配特征，联通侧生成连接活跃、行驶强度和触达响应特征，双方在授权任务中完成联合统计、联合建模或结果聚合。该机制能够同时保护数据控制权和业务协同效率。</w:t>
      </w:r>
    </w:p>
    <w:p w14:paraId="45007950">
      <w:pPr>
        <w:spacing w:after="100" w:line="324" w:lineRule="auto"/>
        <w:ind w:firstLine="420"/>
      </w:pPr>
      <w:r>
        <w:rPr>
          <w:rFonts w:ascii="宋体" w:hAnsi="宋体" w:eastAsia="宋体"/>
          <w:sz w:val="21"/>
        </w:rPr>
        <w:t>可信空间的价值还体现在可计量性。一次核验调用对应一个任务编号、一个结果版本和一条审计记录，批量评分可按车辆数和复核比例结算，持续订阅可按服务周期和可用性结算。数据价值由“拥有多少”转为“解决了什么问题、产生了什么可验证结果”。</w:t>
      </w:r>
    </w:p>
    <w:p w14:paraId="70A8CA7E">
      <w:pPr>
        <w:spacing w:before="120" w:after="100"/>
      </w:pPr>
      <w:r>
        <w:rPr>
          <w:rFonts w:ascii="宋体" w:hAnsi="宋体" w:eastAsia="宋体"/>
          <w:b/>
          <w:sz w:val="23"/>
        </w:rPr>
        <w:t>1.3 研究目标与课题任务分解</w:t>
      </w:r>
    </w:p>
    <w:p w14:paraId="6EE04FD1">
      <w:pPr>
        <w:spacing w:after="100" w:line="324" w:lineRule="auto"/>
        <w:ind w:firstLine="420"/>
      </w:pPr>
      <w:r>
        <w:rPr>
          <w:rFonts w:ascii="宋体" w:hAnsi="宋体" w:eastAsia="宋体"/>
          <w:sz w:val="21"/>
        </w:rPr>
        <w:t>研究目标是形成一套可解释、可验证、可运营的汽车后市场可信数据服务方案，覆盖问题识别、数据治理、可信流通、应用设计、市场验证和运营转化。六个任务模块及其交付重点如下：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969"/>
      </w:tblGrid>
      <w:tr w14:paraId="44D1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B3A3FA5">
            <w:r>
              <w:rPr>
                <w:rFonts w:ascii="宋体" w:hAnsi="宋体" w:eastAsia="宋体"/>
                <w:b/>
                <w:sz w:val="18"/>
              </w:rPr>
              <w:t>任务模块</w:t>
            </w:r>
          </w:p>
        </w:tc>
        <w:tc>
          <w:tcPr>
            <w:tcW w:w="3402" w:type="dxa"/>
            <w:vAlign w:val="center"/>
          </w:tcPr>
          <w:p w14:paraId="1C1AC9A1">
            <w:r>
              <w:rPr>
                <w:rFonts w:ascii="宋体" w:hAnsi="宋体" w:eastAsia="宋体"/>
                <w:b/>
                <w:sz w:val="18"/>
              </w:rPr>
              <w:t>核心问题</w:t>
            </w:r>
          </w:p>
        </w:tc>
        <w:tc>
          <w:tcPr>
            <w:tcW w:w="3969" w:type="dxa"/>
            <w:vAlign w:val="center"/>
          </w:tcPr>
          <w:p w14:paraId="3FDF0BF5">
            <w:r>
              <w:rPr>
                <w:rFonts w:ascii="宋体" w:hAnsi="宋体" w:eastAsia="宋体"/>
                <w:b/>
                <w:sz w:val="18"/>
              </w:rPr>
              <w:t>主要交付</w:t>
            </w:r>
          </w:p>
        </w:tc>
      </w:tr>
      <w:tr w14:paraId="0842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532C860">
            <w:pPr>
              <w:spacing w:after="0" w:line="264" w:lineRule="auto"/>
            </w:pPr>
            <w:r>
              <w:rPr>
                <w:rFonts w:ascii="宋体" w:hAnsi="宋体" w:eastAsia="宋体"/>
                <w:sz w:val="17"/>
              </w:rPr>
              <w:t>课题定位</w:t>
            </w:r>
          </w:p>
        </w:tc>
        <w:tc>
          <w:tcPr>
            <w:tcW w:w="3402" w:type="dxa"/>
            <w:vAlign w:val="center"/>
          </w:tcPr>
          <w:p w14:paraId="4262AA5C">
            <w:pPr>
              <w:spacing w:after="0" w:line="264" w:lineRule="auto"/>
            </w:pPr>
            <w:r>
              <w:rPr>
                <w:rFonts w:ascii="宋体" w:hAnsi="宋体" w:eastAsia="宋体"/>
                <w:sz w:val="17"/>
              </w:rPr>
              <w:t>为什么需要可信协同</w:t>
            </w:r>
          </w:p>
        </w:tc>
        <w:tc>
          <w:tcPr>
            <w:tcW w:w="3969" w:type="dxa"/>
            <w:vAlign w:val="center"/>
          </w:tcPr>
          <w:p w14:paraId="616C7CC6">
            <w:pPr>
              <w:spacing w:after="0" w:line="264" w:lineRule="auto"/>
            </w:pPr>
            <w:r>
              <w:rPr>
                <w:rFonts w:ascii="宋体" w:hAnsi="宋体" w:eastAsia="宋体"/>
                <w:sz w:val="17"/>
              </w:rPr>
              <w:t>背景、价值、研究边界</w:t>
            </w:r>
          </w:p>
        </w:tc>
      </w:tr>
      <w:tr w14:paraId="23D7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A39893">
            <w:pPr>
              <w:spacing w:after="0" w:line="264" w:lineRule="auto"/>
            </w:pPr>
            <w:r>
              <w:rPr>
                <w:rFonts w:ascii="宋体" w:hAnsi="宋体" w:eastAsia="宋体"/>
                <w:sz w:val="17"/>
              </w:rPr>
              <w:t>痛点识别</w:t>
            </w:r>
          </w:p>
        </w:tc>
        <w:tc>
          <w:tcPr>
            <w:tcW w:w="3402" w:type="dxa"/>
            <w:vAlign w:val="center"/>
          </w:tcPr>
          <w:p w14:paraId="0EED8691">
            <w:pPr>
              <w:spacing w:after="0" w:line="264" w:lineRule="auto"/>
            </w:pPr>
            <w:r>
              <w:rPr>
                <w:rFonts w:ascii="宋体" w:hAnsi="宋体" w:eastAsia="宋体"/>
                <w:sz w:val="17"/>
              </w:rPr>
              <w:t>谁承担损失、何处可切入</w:t>
            </w:r>
          </w:p>
        </w:tc>
        <w:tc>
          <w:tcPr>
            <w:tcW w:w="3969" w:type="dxa"/>
            <w:vAlign w:val="center"/>
          </w:tcPr>
          <w:p w14:paraId="3ED6BD77">
            <w:pPr>
              <w:spacing w:after="0" w:line="264" w:lineRule="auto"/>
            </w:pPr>
            <w:r>
              <w:rPr>
                <w:rFonts w:ascii="宋体" w:hAnsi="宋体" w:eastAsia="宋体"/>
                <w:sz w:val="17"/>
              </w:rPr>
              <w:t>二手车、维修、后装问题清单</w:t>
            </w:r>
          </w:p>
        </w:tc>
      </w:tr>
      <w:tr w14:paraId="08EE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A5CED3F">
            <w:pPr>
              <w:spacing w:after="0" w:line="264" w:lineRule="auto"/>
            </w:pPr>
            <w:r>
              <w:rPr>
                <w:rFonts w:ascii="宋体" w:hAnsi="宋体" w:eastAsia="宋体"/>
                <w:sz w:val="17"/>
              </w:rPr>
              <w:t>数据治理</w:t>
            </w:r>
          </w:p>
        </w:tc>
        <w:tc>
          <w:tcPr>
            <w:tcW w:w="3402" w:type="dxa"/>
            <w:vAlign w:val="center"/>
          </w:tcPr>
          <w:p w14:paraId="5AE37E6F">
            <w:pPr>
              <w:spacing w:after="0" w:line="264" w:lineRule="auto"/>
            </w:pPr>
            <w:r>
              <w:rPr>
                <w:rFonts w:ascii="宋体" w:hAnsi="宋体" w:eastAsia="宋体"/>
                <w:sz w:val="17"/>
              </w:rPr>
              <w:t>哪些数据可用、谁负责</w:t>
            </w:r>
          </w:p>
        </w:tc>
        <w:tc>
          <w:tcPr>
            <w:tcW w:w="3969" w:type="dxa"/>
            <w:vAlign w:val="center"/>
          </w:tcPr>
          <w:p w14:paraId="2D4EB2A4">
            <w:pPr>
              <w:spacing w:after="0" w:line="264" w:lineRule="auto"/>
            </w:pPr>
            <w:r>
              <w:rPr>
                <w:rFonts w:ascii="宋体" w:hAnsi="宋体" w:eastAsia="宋体"/>
                <w:sz w:val="17"/>
              </w:rPr>
              <w:t>资源盘点、权责、质量门槛、脱敏规则</w:t>
            </w:r>
          </w:p>
        </w:tc>
      </w:tr>
      <w:tr w14:paraId="1999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8D1FAF0">
            <w:pPr>
              <w:spacing w:after="0" w:line="264" w:lineRule="auto"/>
            </w:pPr>
            <w:r>
              <w:rPr>
                <w:rFonts w:ascii="宋体" w:hAnsi="宋体" w:eastAsia="宋体"/>
                <w:sz w:val="17"/>
              </w:rPr>
              <w:t>可信流通</w:t>
            </w:r>
          </w:p>
        </w:tc>
        <w:tc>
          <w:tcPr>
            <w:tcW w:w="3402" w:type="dxa"/>
            <w:vAlign w:val="center"/>
          </w:tcPr>
          <w:p w14:paraId="37E1C6A6">
            <w:pPr>
              <w:spacing w:after="0" w:line="264" w:lineRule="auto"/>
            </w:pPr>
            <w:r>
              <w:rPr>
                <w:rFonts w:ascii="宋体" w:hAnsi="宋体" w:eastAsia="宋体"/>
                <w:sz w:val="17"/>
              </w:rPr>
              <w:t>如何不暴露原始数据完成协同</w:t>
            </w:r>
          </w:p>
        </w:tc>
        <w:tc>
          <w:tcPr>
            <w:tcW w:w="3969" w:type="dxa"/>
            <w:vAlign w:val="center"/>
          </w:tcPr>
          <w:p w14:paraId="0D44F780">
            <w:pPr>
              <w:spacing w:after="0" w:line="264" w:lineRule="auto"/>
            </w:pPr>
            <w:r>
              <w:rPr>
                <w:rFonts w:ascii="宋体" w:hAnsi="宋体" w:eastAsia="宋体"/>
                <w:sz w:val="17"/>
              </w:rPr>
              <w:t>架构、技术、流程、血缘与存证</w:t>
            </w:r>
          </w:p>
        </w:tc>
      </w:tr>
      <w:tr w14:paraId="5414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466ADB6">
            <w:pPr>
              <w:spacing w:after="0" w:line="264" w:lineRule="auto"/>
            </w:pPr>
            <w:r>
              <w:rPr>
                <w:rFonts w:ascii="宋体" w:hAnsi="宋体" w:eastAsia="宋体"/>
                <w:sz w:val="17"/>
              </w:rPr>
              <w:t>应用验证</w:t>
            </w:r>
          </w:p>
        </w:tc>
        <w:tc>
          <w:tcPr>
            <w:tcW w:w="3402" w:type="dxa"/>
            <w:vAlign w:val="center"/>
          </w:tcPr>
          <w:p w14:paraId="7A15F0CF">
            <w:pPr>
              <w:spacing w:after="0" w:line="264" w:lineRule="auto"/>
            </w:pPr>
            <w:r>
              <w:rPr>
                <w:rFonts w:ascii="宋体" w:hAnsi="宋体" w:eastAsia="宋体"/>
                <w:sz w:val="17"/>
              </w:rPr>
              <w:t>结果是否有用且有人付费</w:t>
            </w:r>
          </w:p>
        </w:tc>
        <w:tc>
          <w:tcPr>
            <w:tcW w:w="3969" w:type="dxa"/>
            <w:vAlign w:val="center"/>
          </w:tcPr>
          <w:p w14:paraId="5C074072">
            <w:pPr>
              <w:spacing w:after="0" w:line="264" w:lineRule="auto"/>
            </w:pPr>
            <w:r>
              <w:rPr>
                <w:rFonts w:ascii="宋体" w:hAnsi="宋体" w:eastAsia="宋体"/>
                <w:sz w:val="17"/>
              </w:rPr>
              <w:t>产品卡、算法原型、MVP、指标</w:t>
            </w:r>
          </w:p>
        </w:tc>
      </w:tr>
      <w:tr w14:paraId="59C5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F1A70F">
            <w:pPr>
              <w:spacing w:after="0" w:line="264" w:lineRule="auto"/>
            </w:pPr>
            <w:r>
              <w:rPr>
                <w:rFonts w:ascii="宋体" w:hAnsi="宋体" w:eastAsia="宋体"/>
                <w:sz w:val="17"/>
              </w:rPr>
              <w:t>运营转化</w:t>
            </w:r>
          </w:p>
        </w:tc>
        <w:tc>
          <w:tcPr>
            <w:tcW w:w="3402" w:type="dxa"/>
            <w:vAlign w:val="center"/>
          </w:tcPr>
          <w:p w14:paraId="50D5D748">
            <w:pPr>
              <w:spacing w:after="0" w:line="264" w:lineRule="auto"/>
            </w:pPr>
            <w:r>
              <w:rPr>
                <w:rFonts w:ascii="宋体" w:hAnsi="宋体" w:eastAsia="宋体"/>
                <w:sz w:val="17"/>
              </w:rPr>
              <w:t>如何持续运行并结算</w:t>
            </w:r>
          </w:p>
        </w:tc>
        <w:tc>
          <w:tcPr>
            <w:tcW w:w="3969" w:type="dxa"/>
            <w:vAlign w:val="center"/>
          </w:tcPr>
          <w:p w14:paraId="28C0E775">
            <w:pPr>
              <w:spacing w:after="0" w:line="264" w:lineRule="auto"/>
            </w:pPr>
            <w:r>
              <w:rPr>
                <w:rFonts w:ascii="宋体" w:hAnsi="宋体" w:eastAsia="宋体"/>
                <w:sz w:val="17"/>
              </w:rPr>
              <w:t>权限、收益、风险、实施计划</w:t>
            </w:r>
          </w:p>
        </w:tc>
      </w:tr>
    </w:tbl>
    <w:p w14:paraId="5EC315DC">
      <w:pPr>
        <w:spacing w:after="20"/>
      </w:pPr>
    </w:p>
    <w:p w14:paraId="715ECCBD">
      <w:pPr>
        <w:spacing w:before="120" w:after="100"/>
      </w:pPr>
      <w:r>
        <w:rPr>
          <w:rFonts w:ascii="宋体" w:hAnsi="宋体" w:eastAsia="宋体"/>
          <w:b/>
          <w:sz w:val="23"/>
        </w:rPr>
        <w:t>1.4 研究方法与技术路线</w:t>
      </w:r>
    </w:p>
    <w:p w14:paraId="29D12D2B">
      <w:pPr>
        <w:spacing w:after="100" w:line="324" w:lineRule="auto"/>
        <w:ind w:firstLine="420"/>
      </w:pPr>
      <w:r>
        <w:rPr>
          <w:rFonts w:ascii="宋体" w:hAnsi="宋体" w:eastAsia="宋体"/>
          <w:sz w:val="21"/>
        </w:rPr>
        <w:t>研究方法由三类不确定性决定：数据能否合法持续获得、跨方记录能否形成同一解释、客户是否愿意为结果付费。文献与政策分析用于界定数据处理边界；场景需求拆解用于定位损失承担者和最小切入口；数据互补分析用于检验明睿车辆证据与联通动态特征是否存在增量价值；机制建模将权责、流程和技术转为可执行规则；验证导向研究以小样本比较结果质量、采用意愿和付费意愿。相较于单纯案例描述或直接训练黑箱模型，这一组合更适合真实样本尚未完整取得、又需要跨主体协作的项目阶段。</w:t>
      </w:r>
    </w:p>
    <w:p w14:paraId="7A9E5072">
      <w:pPr>
        <w:spacing w:after="100" w:line="324" w:lineRule="auto"/>
        <w:ind w:firstLine="420"/>
      </w:pPr>
      <w:r>
        <w:rPr>
          <w:rFonts w:ascii="宋体" w:hAnsi="宋体" w:eastAsia="宋体"/>
          <w:sz w:val="21"/>
        </w:rPr>
        <w:t>技术路线采用分阶段闭环，而非一次性完成数据汇聚、模型建设和市场推广。先确认业务损失与最小数据，再完成权责、质量和流转设计；结果可复核后才进入产品试点，客户采用与成本指标达到门槛后再扩展运营。各阶段分别形成问题清单、字段字典、质量报告、任务协议、产品卡、指标表、权限规则和结算方案，使每次扩展均有可检查的依据。</w:t>
      </w:r>
    </w:p>
    <w:p w14:paraId="30298ADB">
      <w:pPr>
        <w:spacing w:after="100" w:line="324" w:lineRule="auto"/>
        <w:ind w:firstLine="420"/>
      </w:pPr>
      <w:r>
        <w:rPr>
          <w:rFonts w:ascii="宋体" w:hAnsi="宋体" w:eastAsia="宋体"/>
          <w:sz w:val="21"/>
        </w:rPr>
        <w:t>路线中的回退机制同样重要。若对象匹配率不足，退回数据盘点；若质量门槛未达标，退回清洗和补齐；若模型与人工复核偏差过大，退回规则校准；若客户采用率不足，退回场景和产品定价调整。每次回退均保留原因和版本，防止不同阶段形成相互矛盾的结论。</w:t>
      </w:r>
    </w:p>
    <w:p w14:paraId="0F02E8AE">
      <w:pPr>
        <w:spacing w:before="200" w:after="100"/>
      </w:pPr>
      <w:r>
        <w:rPr>
          <w:rFonts w:ascii="宋体" w:hAnsi="宋体" w:eastAsia="宋体"/>
          <w:b/>
          <w:sz w:val="30"/>
        </w:rPr>
        <w:t>第二章 现实痛点与问题提出</w:t>
      </w:r>
    </w:p>
    <w:p w14:paraId="68EE4583">
      <w:pPr>
        <w:spacing w:before="120" w:after="100"/>
      </w:pPr>
      <w:r>
        <w:rPr>
          <w:rFonts w:ascii="宋体" w:hAnsi="宋体" w:eastAsia="宋体"/>
          <w:b/>
          <w:sz w:val="23"/>
        </w:rPr>
        <w:t>2.1 二手车市场痛点（车况不透明 / 估价失真 / 信息不对称）</w:t>
      </w:r>
    </w:p>
    <w:p w14:paraId="6273D903">
      <w:pPr>
        <w:spacing w:after="100" w:line="324" w:lineRule="auto"/>
        <w:ind w:firstLine="420"/>
      </w:pPr>
      <w:r>
        <w:rPr>
          <w:rFonts w:ascii="宋体" w:hAnsi="宋体" w:eastAsia="宋体"/>
          <w:sz w:val="21"/>
        </w:rPr>
        <w:t>2025年全国二手车交易量达到2010.80万辆、交易金额12897.90亿元，2026年上半年交易量为971.32万辆、交易金额6385.30亿元（来源：中国汽车流通协会月度简析及公开转载，2026年7月）。规模越大，单车信息缺口造成的损失越容易在交易、质保和金融环节放大。</w:t>
      </w:r>
    </w:p>
    <w:p w14:paraId="7D42E75D">
      <w:pPr>
        <w:spacing w:after="100" w:line="324" w:lineRule="auto"/>
        <w:ind w:firstLine="420"/>
      </w:pPr>
      <w:r>
        <w:rPr>
          <w:rFonts w:ascii="宋体" w:hAnsi="宋体" w:eastAsia="宋体"/>
          <w:sz w:val="21"/>
        </w:rPr>
        <w:t>车辆历史通常分散于工单、检测、保险、车联网和交易记录，难以形成连续时间轴。里程、事故、泡水、关键部件更换和使用强度只要有一项缺失，估价就可能偏离真实区间。前期咨询材料估计，改表车辆与真实里程车辆的市场价差约为10%—30%，该数字属于咨询测算，需在试点中核验（来源：《车主生态数据融合咨询报告》，2026年5月）。</w:t>
      </w:r>
    </w:p>
    <w:p w14:paraId="3D64BCE4">
      <w:pPr>
        <w:spacing w:after="100" w:line="324" w:lineRule="auto"/>
        <w:ind w:firstLine="420"/>
      </w:pPr>
      <w:r>
        <w:rPr>
          <w:rFonts w:ascii="宋体" w:hAnsi="宋体" w:eastAsia="宋体"/>
          <w:sz w:val="21"/>
        </w:rPr>
        <w:t>信息不对称的直接后果包括收车误判、报价争议、成交周期延长和售后纠纷。低成本切入口是里程一致性核验：以维修工单里程、OBD 读取、检测报告、估值时点和车联网活跃特征建立时间轴，输出风险等级、冲突来源和人工复核建议，不在证据不足时给出确定性结论。</w:t>
      </w:r>
    </w:p>
    <w:p w14:paraId="6233CDC9">
      <w:pPr>
        <w:spacing w:after="100" w:line="324" w:lineRule="auto"/>
        <w:ind w:firstLine="420"/>
      </w:pPr>
      <w:r>
        <w:rPr>
          <w:rFonts w:ascii="宋体" w:hAnsi="宋体" w:eastAsia="宋体"/>
          <w:sz w:val="21"/>
        </w:rPr>
        <w:t>里程核验不等同于判断车辆是否发生过全部事故，也不直接证明交易欺诈。它首先识别数据之间的时间与数值冲突，再由检测人员或车商补充现场检查。对于人工录入频繁、时间戳缺失或车辆长期停驶的样本，系统应降低结论等级并提示补证。该切入口的优势在于字段较少、规则易解释、验证周期短，适合在客户不改变原有业务系统的情况下接入。</w:t>
      </w:r>
    </w:p>
    <w:p w14:paraId="142DCD45">
      <w:pPr>
        <w:spacing w:after="100" w:line="324" w:lineRule="auto"/>
        <w:ind w:firstLine="420"/>
      </w:pPr>
      <w:r>
        <w:rPr>
          <w:rFonts w:ascii="宋体" w:hAnsi="宋体" w:eastAsia="宋体"/>
          <w:sz w:val="21"/>
        </w:rPr>
        <w:t>车商与买家之间的信任还需要交易凭证支撑。核验结果可生成带时间戳、版本号和复核入口的可信车况凭证，车商确认提交的证据范围，买家看到摘要与风险等级，双方不必交换超出交易必要范围的原始记录。凭证不是免责证明，争议发生时仍应回放证据链。</w:t>
      </w:r>
    </w:p>
    <w:p w14:paraId="5E4F3DC2">
      <w:pPr>
        <w:spacing w:before="120" w:after="100"/>
      </w:pPr>
      <w:r>
        <w:rPr>
          <w:rFonts w:ascii="宋体" w:hAnsi="宋体" w:eastAsia="宋体"/>
          <w:b/>
          <w:sz w:val="23"/>
        </w:rPr>
        <w:t>2.2 车辆维修市场痛点（记录碎片化 / 配件以次充好 / 过度维修 / 定价不透明）</w:t>
      </w:r>
    </w:p>
    <w:p w14:paraId="2CF69669">
      <w:pPr>
        <w:spacing w:after="100" w:line="324" w:lineRule="auto"/>
        <w:ind w:firstLine="420"/>
      </w:pPr>
      <w:r>
        <w:rPr>
          <w:rFonts w:ascii="宋体" w:hAnsi="宋体" w:eastAsia="宋体"/>
          <w:sz w:val="21"/>
        </w:rPr>
        <w:t>维修市场的规模与频次为可信记录提供了明确需求。汽车养护与维修市场规模预计由2020年的1.42万亿元增至2025年的1.74万亿元（来源：中国汽车流通协会售后零部件分会测算，人民日报，2024年1月）。一次维修通常包含接车、诊断、报价、施工、配件出库和售后确认，记录若停留在单个节点，便无法判断维修是否必要、配件是否适配、价格是否合理。</w:t>
      </w:r>
    </w:p>
    <w:p w14:paraId="3365058E">
      <w:pPr>
        <w:spacing w:after="100" w:line="324" w:lineRule="auto"/>
        <w:ind w:firstLine="420"/>
      </w:pPr>
      <w:r>
        <w:rPr>
          <w:rFonts w:ascii="宋体" w:hAnsi="宋体" w:eastAsia="宋体"/>
          <w:sz w:val="21"/>
        </w:rPr>
        <w:t>单张工单只能证明某一节点发生过记录，无法同时判断故障、配件、报价和维修结果是否一致，因此项目采用事件链而非单据汇总。维修必要性不使用简单的“该修/不该修”二分类，而划分为必修、建议修、观察和无需修四级：四级结果能够分别对应立即处置、计划处置、补充观察和拒绝不必要项目，也为证据不足保留业务出口。涉及安全、高金额或证据冲突的任务不自动决策，直接进入人工复核。</w:t>
      </w:r>
    </w:p>
    <w:p w14:paraId="675B3BC4">
      <w:pPr>
        <w:spacing w:after="100" w:line="324" w:lineRule="auto"/>
        <w:ind w:firstLine="420"/>
      </w:pPr>
      <w:r>
        <w:rPr>
          <w:rFonts w:ascii="宋体" w:hAnsi="宋体" w:eastAsia="宋体"/>
          <w:sz w:val="21"/>
        </w:rPr>
        <w:t>四级建议是否合理，不能只由维修前的规则命中判断，还要用维修后的复检、短周期复修和车主反馈验证。必修对应安全风险、功能失效或已确认的关键故障；建议修对应性能下降和可预见的恶化；观察用于轻微异常或证据不足；无需修用于检测正常或与症状无关的项目。若建议修长期不能改善复修率或争议率，应调整阈值，而不是继续增加规则。</w:t>
      </w:r>
    </w:p>
    <w:p w14:paraId="4C1359DC">
      <w:pPr>
        <w:spacing w:after="100" w:line="324" w:lineRule="auto"/>
        <w:ind w:firstLine="420"/>
      </w:pPr>
      <w:r>
        <w:rPr>
          <w:rFonts w:ascii="宋体" w:hAnsi="宋体" w:eastAsia="宋体"/>
          <w:sz w:val="21"/>
        </w:rPr>
        <w:t>原型阶段选择“硬规则＋分项评分”，而不直接训练端到端分类模型。安全影响和已确认故障作为硬规则，复发风险、配件适配与成本偏离用于排序；这种方法在标注样本较少时仍可解释，并能把误判定位到具体证据。只有积累了技师复核、维修结果和客户异议等稳定标签，且统计模型相对规则基线能够降低误报和复核成本时，才升级模型；否则保留规则基线。</w:t>
      </w:r>
    </w:p>
    <w:p w14:paraId="64CE84E0">
      <w:pPr>
        <w:spacing w:after="100" w:line="324" w:lineRule="auto"/>
        <w:ind w:firstLine="420"/>
      </w:pPr>
      <w:r>
        <w:rPr>
          <w:rFonts w:ascii="宋体" w:hAnsi="宋体" w:eastAsia="宋体"/>
          <w:sz w:val="21"/>
        </w:rPr>
        <w:t>价格透明不等于所有门店采用同一价格。系统可将工时、配件级别、车型差异、区域行情和服务承诺作为解释变量，输出价格偏离区间和需要补充的报价依据。对门店而言，这种结果比简单标注“贵”或“便宜”更容易转化为服务改进。</w:t>
      </w:r>
    </w:p>
    <w:p w14:paraId="19972978">
      <w:pPr>
        <w:spacing w:before="120" w:after="100"/>
      </w:pPr>
      <w:r>
        <w:rPr>
          <w:rFonts w:ascii="宋体" w:hAnsi="宋体" w:eastAsia="宋体"/>
          <w:b/>
          <w:sz w:val="23"/>
        </w:rPr>
        <w:t>2.3 车辆后装市场痛点（用户画像粗放 / 营销低效 / 合规存疑）</w:t>
      </w:r>
    </w:p>
    <w:p w14:paraId="7EBE67BF">
      <w:pPr>
        <w:spacing w:after="100" w:line="324" w:lineRule="auto"/>
        <w:ind w:firstLine="420"/>
      </w:pPr>
      <w:r>
        <w:rPr>
          <w:rFonts w:ascii="宋体" w:hAnsi="宋体" w:eastAsia="宋体"/>
          <w:sz w:val="21"/>
        </w:rPr>
        <w:t>2023年我国车联网产业规模约2887.2亿元，行业研究预计2025年超过5000亿元（来源：赛迪顾问，四川在线，2024年7月）。后装需求与车辆状态、使用强度、季节和保养周期有关，仅按车型、价格带或单次点击形成标签，难以判断真实需求窗口。</w:t>
      </w:r>
    </w:p>
    <w:p w14:paraId="304B29E5">
      <w:pPr>
        <w:spacing w:after="100" w:line="324" w:lineRule="auto"/>
        <w:ind w:firstLine="420"/>
      </w:pPr>
      <w:r>
        <w:rPr>
          <w:rFonts w:ascii="宋体" w:hAnsi="宋体" w:eastAsia="宋体"/>
          <w:sz w:val="21"/>
        </w:rPr>
        <w:t>画像质量应从覆盖率、粒度、时效性、场景相关性、稳定性、可验证性和转化增益评价。缺少维修与行驶状态，标签只能描述人群，不能解释车辆为什么需要某项服务；标签长期不更新，营销就会出现触达过时、频次过高和推荐错配。</w:t>
      </w:r>
    </w:p>
    <w:p w14:paraId="41C1E2C5">
      <w:pPr>
        <w:spacing w:after="100" w:line="324" w:lineRule="auto"/>
        <w:ind w:firstLine="420"/>
      </w:pPr>
      <w:r>
        <w:rPr>
          <w:rFonts w:ascii="宋体" w:hAnsi="宋体" w:eastAsia="宋体"/>
          <w:sz w:val="21"/>
        </w:rPr>
        <w:t>仅用人口属性构建画像成本较低，却难以判断车辆当期需求；仅用浏览行为又容易把短期兴趣误认为稳定意图。项目因此采用“静态属性—行为特征—车辆状态—需求意图—合规约束”五层结构，将车辆生命周期与触达反馈共同纳入判断。授权、用途、频控和拒绝触达属于前置硬过滤，不参与业务分数加权；未通过过滤的对象不进入个性化排序，也不向营销方交付敏感明细。</w:t>
      </w:r>
    </w:p>
    <w:p w14:paraId="472DF6F6">
      <w:pPr>
        <w:spacing w:after="100" w:line="324" w:lineRule="auto"/>
        <w:ind w:firstLine="420"/>
      </w:pPr>
      <w:r>
        <w:rPr>
          <w:rFonts w:ascii="宋体" w:hAnsi="宋体" w:eastAsia="宋体"/>
          <w:sz w:val="21"/>
        </w:rPr>
        <w:t>后装需求随季节、行驶强度和维修状态变化，固定标签会把历史行为永久化，因此特征必须保留生成时间和有效期，过期后自动降权。试点先用保养周期、故障状态和频控规则形成名单；只有取得稳定触达反馈和对照组后，才比较排序模型相对规则名单的增量转化。增益不足、退订或投诉上升时，回退为规则名单或非个性化展示。</w:t>
      </w:r>
    </w:p>
    <w:p w14:paraId="1F9DA768">
      <w:pPr>
        <w:spacing w:before="120" w:after="100"/>
      </w:pPr>
      <w:r>
        <w:rPr>
          <w:rFonts w:ascii="宋体" w:hAnsi="宋体" w:eastAsia="宋体"/>
          <w:b/>
          <w:sz w:val="23"/>
        </w:rPr>
        <w:t>2.4 痛点根因：数据孤岛 + 无标准 + 跨方不可信</w:t>
      </w:r>
    </w:p>
    <w:p w14:paraId="5ED9283E">
      <w:pPr>
        <w:spacing w:after="100" w:line="324" w:lineRule="auto"/>
        <w:ind w:firstLine="420"/>
      </w:pPr>
      <w:r>
        <w:rPr>
          <w:rFonts w:ascii="宋体" w:hAnsi="宋体" w:eastAsia="宋体"/>
          <w:sz w:val="21"/>
        </w:rPr>
        <w:t>数据孤岛表现为系统、对象和权限同时分散：维修系统记录工单，车联网系统记录连接与行驶，交易系统记录价格，保险系统记录理赔，彼此缺少统一标识。标准不足表现为字段定义、时间粒度、更新频率、异常规则不一致。同一“维修完成”可能指工单关闭、车辆出厂或结算完成；同一“活跃车辆”可能使用7日、30日或90日口径；同一里程可能来自人工录入、OBD读取或平台推断。</w:t>
      </w:r>
    </w:p>
    <w:p w14:paraId="53BE453E">
      <w:pPr>
        <w:spacing w:after="100" w:line="324" w:lineRule="auto"/>
        <w:ind w:firstLine="420"/>
      </w:pPr>
      <w:r>
        <w:rPr>
          <w:rFonts w:ascii="宋体" w:hAnsi="宋体" w:eastAsia="宋体"/>
          <w:sz w:val="21"/>
        </w:rPr>
        <w:t>跨方不可信表现为来源难核验、加工难回放、结果难追溯。企业系统按单点业务建设，供应商接口封闭，跨主体缺少统一对象模型和责任账本。解决路径不是把所有明细集中到一个平台，而是建立对象映射、字段字典、质量门控、受控计算和结果存证，让数据能够被共同解释、有限调用和责任追踪。</w:t>
      </w:r>
    </w:p>
    <w:p w14:paraId="76C58EB6">
      <w:pPr>
        <w:spacing w:after="100" w:line="324" w:lineRule="auto"/>
        <w:ind w:firstLine="420"/>
      </w:pPr>
      <w:r>
        <w:rPr>
          <w:rFonts w:ascii="宋体" w:hAnsi="宋体" w:eastAsia="宋体"/>
          <w:sz w:val="21"/>
        </w:rPr>
        <w:t>三类根因会相互放大：没有统一标准，数据孤岛难以对齐；没有责任账本，标准执行缺少约束；没有可解释结果，主体缺乏共享动力。因此，数据协同的最小闭环应同时包含对象标识、质量状态、用途授权、结果形态和争议处理，缺少任一项都可能使一次性接口对接无法持续。</w:t>
      </w:r>
    </w:p>
    <w:p w14:paraId="042FB6BC">
      <w:pPr>
        <w:spacing w:before="200" w:after="100"/>
      </w:pPr>
      <w:r>
        <w:rPr>
          <w:rFonts w:ascii="宋体" w:hAnsi="宋体" w:eastAsia="宋体"/>
          <w:b/>
          <w:sz w:val="30"/>
        </w:rPr>
        <w:t>第三章 数据资源盘点与治理基础</w:t>
      </w:r>
    </w:p>
    <w:p w14:paraId="7D9B6417">
      <w:pPr>
        <w:spacing w:before="120" w:after="100"/>
      </w:pPr>
      <w:r>
        <w:rPr>
          <w:rFonts w:ascii="宋体" w:hAnsi="宋体" w:eastAsia="宋体"/>
          <w:b/>
          <w:sz w:val="23"/>
        </w:rPr>
        <w:t>3.1 数据资源盘点：明睿维修数据 + 联通车联网数据</w:t>
      </w:r>
    </w:p>
    <w:p w14:paraId="361590FF">
      <w:pPr>
        <w:spacing w:after="100" w:line="324" w:lineRule="auto"/>
        <w:ind w:firstLine="420"/>
      </w:pPr>
      <w:r>
        <w:rPr>
          <w:rFonts w:ascii="宋体" w:hAnsi="宋体" w:eastAsia="宋体"/>
          <w:sz w:val="21"/>
        </w:rPr>
        <w:t>数据资源按车辆、人员、行驶、门店、配件、工单和保险七类对象整理。明睿侧重点是车辆健康证据，包括维修工单、诊断报告、故障码、OBD 读取、检测结果、配件与复修记录、车况报告和估值记录；联通侧重点是车辆连接与动态使用，包括连接活跃、行驶强度、活跃周期、区域行为和触达响应。</w:t>
      </w:r>
    </w:p>
    <w:p w14:paraId="3C396D29">
      <w:pPr>
        <w:spacing w:after="100" w:line="324" w:lineRule="auto"/>
        <w:ind w:firstLine="420"/>
      </w:pPr>
      <w:r>
        <w:rPr>
          <w:rFonts w:ascii="宋体" w:hAnsi="宋体" w:eastAsia="宋体"/>
          <w:sz w:val="21"/>
        </w:rPr>
        <w:t>前期咨询材料给出的明睿规模为诊断报告约13.6亿份、覆盖约1.59亿辆车、52万家维修企业和125万台设备；联通侧约有5亿移动用户，并具备车联网用户连接与标签能力，可提供近百维人—车—行标签。这些数字用于说明资源潜力，不等于本项目已获得全部数据，接入前需逐项确认授权、更新频率和字段范围（来源：《车主生态数据融合咨询报告》，2026年5月，前期咨询口径）。</w:t>
      </w:r>
    </w:p>
    <w:p w14:paraId="56F8EE0E">
      <w:pPr>
        <w:spacing w:after="100" w:line="324" w:lineRule="auto"/>
        <w:ind w:firstLine="420"/>
      </w:pPr>
      <w:r>
        <w:rPr>
          <w:rFonts w:ascii="宋体" w:hAnsi="宋体" w:eastAsia="宋体"/>
          <w:sz w:val="21"/>
        </w:rPr>
        <w:t>咨询材料进一步将联通标签分为人口属性约104项、车辆属性约27项、行驶行为约89项和兴趣与响应约25项。这里的维度数量用于说明标签覆盖面，不代表所有维度都能进入同一业务任务；实际调用仍需经过用途匹配、敏感度评估和最小必要筛选（来源：《车主生态数据融合咨询报告》，2026年5月，标签字典口径）。</w:t>
      </w:r>
    </w:p>
    <w:p w14:paraId="4DD22D06">
      <w:pPr>
        <w:spacing w:after="100" w:line="324" w:lineRule="auto"/>
        <w:ind w:firstLine="420"/>
      </w:pPr>
      <w:r>
        <w:rPr>
          <w:rFonts w:ascii="宋体" w:hAnsi="宋体" w:eastAsia="宋体"/>
          <w:sz w:val="21"/>
        </w:rPr>
        <w:t>资源盘点还要标注数据的时间属性。维修工单和检测报告属于事件型或半静态证据，车联网连接和行驶强度属于连续或周期性特征，行情与政策属于外部参照。不同时间属性决定更新频率、可用期限和模型权重，不能把最新动态数据与多年以前的维修记录直接等权使用。</w:t>
      </w:r>
    </w:p>
    <w:p w14:paraId="26D13DE1">
      <w:pPr>
        <w:spacing w:after="100" w:line="324" w:lineRule="auto"/>
        <w:ind w:firstLine="420"/>
      </w:pPr>
      <w:r>
        <w:rPr>
          <w:rFonts w:ascii="宋体" w:hAnsi="宋体" w:eastAsia="宋体"/>
          <w:sz w:val="21"/>
        </w:rPr>
        <w:t>首期采用“最小字段集＋结果服务”，不建设全量集中数据湖。一次性全量接入虽然便于统一分析，但授权核验、字段映射、存储和撤回成本较高；里程核验只需要多时点里程、事件时间、来源类型和少量动态特征，按场景接入更便于人工复核。只有在授权样本上达到预设的对象匹配、证据覆盖和复核一致门槛后，才增加残值、维修必要性和触达字段；关键字段无法补齐时，任务退回受控计算或人工核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835"/>
        <w:gridCol w:w="2608"/>
        <w:gridCol w:w="2551"/>
      </w:tblGrid>
      <w:tr w14:paraId="191B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11149724">
            <w:r>
              <w:rPr>
                <w:rFonts w:ascii="宋体" w:hAnsi="宋体" w:eastAsia="宋体"/>
                <w:b/>
                <w:sz w:val="18"/>
              </w:rPr>
              <w:t>数据主体</w:t>
            </w:r>
          </w:p>
        </w:tc>
        <w:tc>
          <w:tcPr>
            <w:tcW w:w="2835" w:type="dxa"/>
            <w:vAlign w:val="center"/>
          </w:tcPr>
          <w:p w14:paraId="11B47C51">
            <w:r>
              <w:rPr>
                <w:rFonts w:ascii="宋体" w:hAnsi="宋体" w:eastAsia="宋体"/>
                <w:b/>
                <w:sz w:val="18"/>
              </w:rPr>
              <w:t>代表性资源</w:t>
            </w:r>
          </w:p>
        </w:tc>
        <w:tc>
          <w:tcPr>
            <w:tcW w:w="2608" w:type="dxa"/>
            <w:vAlign w:val="center"/>
          </w:tcPr>
          <w:p w14:paraId="7D981FC9">
            <w:r>
              <w:rPr>
                <w:rFonts w:ascii="宋体" w:hAnsi="宋体" w:eastAsia="宋体"/>
                <w:b/>
                <w:sz w:val="18"/>
              </w:rPr>
              <w:t>可形成的结果</w:t>
            </w:r>
          </w:p>
        </w:tc>
        <w:tc>
          <w:tcPr>
            <w:tcW w:w="2551" w:type="dxa"/>
            <w:vAlign w:val="center"/>
          </w:tcPr>
          <w:p w14:paraId="7AAC4C80">
            <w:r>
              <w:rPr>
                <w:rFonts w:ascii="宋体" w:hAnsi="宋体" w:eastAsia="宋体"/>
                <w:b/>
                <w:sz w:val="18"/>
              </w:rPr>
              <w:t>边界</w:t>
            </w:r>
          </w:p>
        </w:tc>
      </w:tr>
      <w:tr w14:paraId="264C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1D661045">
            <w:pPr>
              <w:spacing w:after="0" w:line="264" w:lineRule="auto"/>
            </w:pPr>
            <w:r>
              <w:rPr>
                <w:rFonts w:ascii="宋体" w:hAnsi="宋体" w:eastAsia="宋体"/>
                <w:sz w:val="17"/>
              </w:rPr>
              <w:t>明睿</w:t>
            </w:r>
          </w:p>
        </w:tc>
        <w:tc>
          <w:tcPr>
            <w:tcW w:w="2835" w:type="dxa"/>
            <w:vAlign w:val="center"/>
          </w:tcPr>
          <w:p w14:paraId="7148EBA3">
            <w:pPr>
              <w:spacing w:after="0" w:line="264" w:lineRule="auto"/>
            </w:pPr>
            <w:r>
              <w:rPr>
                <w:rFonts w:ascii="宋体" w:hAnsi="宋体" w:eastAsia="宋体"/>
                <w:sz w:val="17"/>
              </w:rPr>
              <w:t>工单、诊断、OBD、检测、配件、估值</w:t>
            </w:r>
          </w:p>
        </w:tc>
        <w:tc>
          <w:tcPr>
            <w:tcW w:w="2608" w:type="dxa"/>
            <w:vAlign w:val="center"/>
          </w:tcPr>
          <w:p w14:paraId="7D535F8E">
            <w:pPr>
              <w:spacing w:after="0" w:line="264" w:lineRule="auto"/>
            </w:pPr>
            <w:r>
              <w:rPr>
                <w:rFonts w:ascii="宋体" w:hAnsi="宋体" w:eastAsia="宋体"/>
                <w:sz w:val="17"/>
              </w:rPr>
              <w:t>车况证据、维修风险、里程冲突</w:t>
            </w:r>
          </w:p>
        </w:tc>
        <w:tc>
          <w:tcPr>
            <w:tcW w:w="2551" w:type="dxa"/>
            <w:vAlign w:val="center"/>
          </w:tcPr>
          <w:p w14:paraId="159F514E">
            <w:pPr>
              <w:spacing w:after="0" w:line="264" w:lineRule="auto"/>
            </w:pPr>
            <w:r>
              <w:rPr>
                <w:rFonts w:ascii="宋体" w:hAnsi="宋体" w:eastAsia="宋体"/>
                <w:sz w:val="17"/>
              </w:rPr>
              <w:t>本域治理；按授权输出摘要</w:t>
            </w:r>
          </w:p>
        </w:tc>
      </w:tr>
      <w:tr w14:paraId="1C5F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7A7B3BB">
            <w:pPr>
              <w:spacing w:after="0" w:line="264" w:lineRule="auto"/>
            </w:pPr>
            <w:r>
              <w:rPr>
                <w:rFonts w:ascii="宋体" w:hAnsi="宋体" w:eastAsia="宋体"/>
                <w:sz w:val="17"/>
              </w:rPr>
              <w:t>联通</w:t>
            </w:r>
          </w:p>
        </w:tc>
        <w:tc>
          <w:tcPr>
            <w:tcW w:w="2835" w:type="dxa"/>
            <w:vAlign w:val="center"/>
          </w:tcPr>
          <w:p w14:paraId="6160210B">
            <w:pPr>
              <w:spacing w:after="0" w:line="264" w:lineRule="auto"/>
            </w:pPr>
            <w:r>
              <w:rPr>
                <w:rFonts w:ascii="宋体" w:hAnsi="宋体" w:eastAsia="宋体"/>
                <w:sz w:val="17"/>
              </w:rPr>
              <w:t>连接活跃、行驶强度、区域行为、触达响应</w:t>
            </w:r>
          </w:p>
        </w:tc>
        <w:tc>
          <w:tcPr>
            <w:tcW w:w="2608" w:type="dxa"/>
            <w:vAlign w:val="center"/>
          </w:tcPr>
          <w:p w14:paraId="6927CA3E">
            <w:pPr>
              <w:spacing w:after="0" w:line="264" w:lineRule="auto"/>
            </w:pPr>
            <w:r>
              <w:rPr>
                <w:rFonts w:ascii="宋体" w:hAnsi="宋体" w:eastAsia="宋体"/>
                <w:sz w:val="17"/>
              </w:rPr>
              <w:t>使用强度、异常停驶、需求时机</w:t>
            </w:r>
          </w:p>
        </w:tc>
        <w:tc>
          <w:tcPr>
            <w:tcW w:w="2551" w:type="dxa"/>
            <w:vAlign w:val="center"/>
          </w:tcPr>
          <w:p w14:paraId="4EE9EC92">
            <w:pPr>
              <w:spacing w:after="0" w:line="264" w:lineRule="auto"/>
            </w:pPr>
            <w:r>
              <w:rPr>
                <w:rFonts w:ascii="宋体" w:hAnsi="宋体" w:eastAsia="宋体"/>
                <w:sz w:val="17"/>
              </w:rPr>
              <w:t>不输出通信标识和原始轨迹</w:t>
            </w:r>
          </w:p>
        </w:tc>
      </w:tr>
      <w:tr w14:paraId="3C75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731E6D81">
            <w:pPr>
              <w:spacing w:after="0" w:line="264" w:lineRule="auto"/>
            </w:pPr>
            <w:r>
              <w:rPr>
                <w:rFonts w:ascii="宋体" w:hAnsi="宋体" w:eastAsia="宋体"/>
                <w:sz w:val="17"/>
              </w:rPr>
              <w:t>外部公开</w:t>
            </w:r>
          </w:p>
        </w:tc>
        <w:tc>
          <w:tcPr>
            <w:tcW w:w="2835" w:type="dxa"/>
            <w:vAlign w:val="center"/>
          </w:tcPr>
          <w:p w14:paraId="61AC54C4">
            <w:pPr>
              <w:spacing w:after="0" w:line="264" w:lineRule="auto"/>
            </w:pPr>
            <w:r>
              <w:rPr>
                <w:rFonts w:ascii="宋体" w:hAnsi="宋体" w:eastAsia="宋体"/>
                <w:sz w:val="17"/>
              </w:rPr>
              <w:t>行情、车型参数、行业统计、政策</w:t>
            </w:r>
          </w:p>
        </w:tc>
        <w:tc>
          <w:tcPr>
            <w:tcW w:w="2608" w:type="dxa"/>
            <w:vAlign w:val="center"/>
          </w:tcPr>
          <w:p w14:paraId="4B832C26">
            <w:pPr>
              <w:spacing w:after="0" w:line="264" w:lineRule="auto"/>
            </w:pPr>
            <w:r>
              <w:rPr>
                <w:rFonts w:ascii="宋体" w:hAnsi="宋体" w:eastAsia="宋体"/>
                <w:sz w:val="17"/>
              </w:rPr>
              <w:t>价格基准、口径校验</w:t>
            </w:r>
          </w:p>
        </w:tc>
        <w:tc>
          <w:tcPr>
            <w:tcW w:w="2551" w:type="dxa"/>
            <w:vAlign w:val="center"/>
          </w:tcPr>
          <w:p w14:paraId="2E97E561">
            <w:pPr>
              <w:spacing w:after="0" w:line="264" w:lineRule="auto"/>
            </w:pPr>
            <w:r>
              <w:rPr>
                <w:rFonts w:ascii="宋体" w:hAnsi="宋体" w:eastAsia="宋体"/>
                <w:sz w:val="17"/>
              </w:rPr>
              <w:t>只作参照，不与内部数据混写</w:t>
            </w:r>
          </w:p>
        </w:tc>
      </w:tr>
    </w:tbl>
    <w:p w14:paraId="3840AD34">
      <w:pPr>
        <w:spacing w:after="20"/>
      </w:pPr>
    </w:p>
    <w:p w14:paraId="3D5C89E1">
      <w:pPr>
        <w:spacing w:before="120" w:after="100"/>
      </w:pPr>
      <w:r>
        <w:rPr>
          <w:rFonts w:ascii="宋体" w:hAnsi="宋体" w:eastAsia="宋体"/>
          <w:b/>
          <w:sz w:val="23"/>
        </w:rPr>
        <w:t>3.2 数据确权、质量评估与合规脱敏</w:t>
      </w:r>
    </w:p>
    <w:p w14:paraId="1A73F744">
      <w:pPr>
        <w:spacing w:after="100" w:line="324" w:lineRule="auto"/>
        <w:ind w:firstLine="420"/>
      </w:pPr>
      <w:r>
        <w:rPr>
          <w:rFonts w:ascii="宋体" w:hAnsi="宋体" w:eastAsia="宋体"/>
          <w:sz w:val="21"/>
        </w:rPr>
        <w:t>权责设计至少区分持有与控制、加工使用、调用、结果输出和审计责任。车辆、门店、平台和用户相关数据可能由不同主体控制，不能用“谁产生谁拥有”替代具体授权。每个数据对象应登记来源、处理目的、允许动作、保留期限、结果可见范围和责任主体。</w:t>
      </w:r>
    </w:p>
    <w:p w14:paraId="74355045">
      <w:pPr>
        <w:spacing w:after="100" w:line="324" w:lineRule="auto"/>
        <w:ind w:firstLine="420"/>
      </w:pPr>
      <w:r>
        <w:rPr>
          <w:rFonts w:ascii="宋体" w:hAnsi="宋体" w:eastAsia="宋体"/>
          <w:sz w:val="21"/>
        </w:rPr>
        <w:t>质量控制采用“硬门槛＋场景评分”，不使用一个总分覆盖全部任务。统一100分制便于比较，却可能掩盖关键字段缺失；单纯一票否决又会浪费仍可用于低风险统计的数据。因此，授权编号、主标识、时间戳和来源等关键条件采用硬门槛，非关键字段再按基础质量、业务一致性和使用增益评分。里程核验侧重时间与来源，维修判断侧重故障—检测—配件关联，触达排序首先检查授权与反馈闭环。阈值由授权样本上的匹配率、复核一致率和结果稳定性校准。</w:t>
      </w:r>
    </w:p>
    <w:p w14:paraId="4E942968">
      <w:pPr>
        <w:spacing w:after="100" w:line="324" w:lineRule="auto"/>
        <w:ind w:firstLine="420"/>
      </w:pPr>
      <w:r>
        <w:rPr>
          <w:rFonts w:ascii="宋体" w:hAnsi="宋体" w:eastAsia="宋体"/>
          <w:sz w:val="21"/>
        </w:rPr>
        <w:t>脱敏不设统一算法，而由字段风险、关联任务和输出粒度决定。直接标识符优先使用任务级令牌，以支持同一授权任务内匹配并防止跨任务复用；区域需求只需粗粒度位置时采用网格化和时间延迟；文本先识别姓名、电话和车牌等实体再替换。差分隐私只用于车型、区域等群体统计，单车里程核验需要精确证据时不使用噪声扰动。处理后同时评估重识别、链接和推断风险以及业务效用；效用低于任务门槛时停止外发，改为受控计算。</w:t>
      </w:r>
    </w:p>
    <w:p w14:paraId="25A6FF8E">
      <w:pPr>
        <w:spacing w:after="100" w:line="324" w:lineRule="auto"/>
        <w:ind w:firstLine="420"/>
      </w:pPr>
      <w:r>
        <w:rPr>
          <w:rFonts w:ascii="宋体" w:hAnsi="宋体" w:eastAsia="宋体"/>
          <w:sz w:val="21"/>
        </w:rPr>
        <w:t>治理结果分为直接发布、受限发布、受控计算和退回复核四类。低敏、聚合且质量稳定的结果可以发布；存在用途限制或小样本推断风险时限制对象和粒度；高敏字段或单车明细只允许受控计算；授权、关键质量或留痕任一项缺失时退回复核。分级的目的在于保留低风险数据的使用价值，同时阻断不可解释的跨方交付。</w:t>
      </w:r>
    </w:p>
    <w:p w14:paraId="5698A22B">
      <w:pPr>
        <w:spacing w:after="100" w:line="324" w:lineRule="auto"/>
        <w:ind w:firstLine="420"/>
      </w:pPr>
      <w:r>
        <w:rPr>
          <w:rFonts w:ascii="宋体" w:hAnsi="宋体" w:eastAsia="宋体"/>
          <w:sz w:val="21"/>
        </w:rPr>
        <w:t>场景评分的权重与阈值不预设为固定事实。初始权重来自业务损失和专家复核，随后用误匹配率、人工一致率、模型增益和效用损失校准；模型版本、字段定义或时间窗口改变时重新评估。关键门槛未达标时，不以提高其他维度分数进行抵消，结果只能降级为证据不足或转人工复核。</w:t>
      </w:r>
    </w:p>
    <w:p w14:paraId="6F56E00C">
      <w:pPr>
        <w:spacing w:after="100" w:line="324" w:lineRule="auto"/>
        <w:ind w:firstLine="420"/>
      </w:pPr>
      <w:r>
        <w:rPr>
          <w:rFonts w:ascii="宋体" w:hAnsi="宋体" w:eastAsia="宋体"/>
          <w:sz w:val="21"/>
        </w:rPr>
        <w:t>质量状态持续写入资源目录，记录更新时间、字段覆盖、异常率、匹配率、适用场景和限制条件。采用持续目录而非一次性检查表，是因为车联网特征、授权状态和模型口径会随时间变化；状态过期后，系统自动限制调用或标注结果时效，避免曾经合格的数据被长期沿用。</w:t>
      </w:r>
    </w:p>
    <w:p w14:paraId="5A7D1B25">
      <w:pPr>
        <w:spacing w:before="120" w:after="100"/>
      </w:pPr>
      <w:r>
        <w:rPr>
          <w:rFonts w:ascii="宋体" w:hAnsi="宋体" w:eastAsia="宋体"/>
          <w:b/>
          <w:sz w:val="23"/>
        </w:rPr>
        <w:t>3.3 可信空间总体架构（基础设施 / 数据资源 / 可信技术 / 应用）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3855"/>
      </w:tblGrid>
      <w:tr w14:paraId="7BE6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E5F1F69">
            <w:r>
              <w:rPr>
                <w:rFonts w:ascii="宋体" w:hAnsi="宋体" w:eastAsia="宋体"/>
                <w:b/>
                <w:sz w:val="18"/>
              </w:rPr>
              <w:t>层级</w:t>
            </w:r>
          </w:p>
        </w:tc>
        <w:tc>
          <w:tcPr>
            <w:tcW w:w="3969" w:type="dxa"/>
            <w:vAlign w:val="center"/>
          </w:tcPr>
          <w:p w14:paraId="2F65552C">
            <w:r>
              <w:rPr>
                <w:rFonts w:ascii="宋体" w:hAnsi="宋体" w:eastAsia="宋体"/>
                <w:b/>
                <w:sz w:val="18"/>
              </w:rPr>
              <w:t>核心能力</w:t>
            </w:r>
          </w:p>
        </w:tc>
        <w:tc>
          <w:tcPr>
            <w:tcW w:w="3855" w:type="dxa"/>
            <w:vAlign w:val="center"/>
          </w:tcPr>
          <w:p w14:paraId="284262B5">
            <w:r>
              <w:rPr>
                <w:rFonts w:ascii="宋体" w:hAnsi="宋体" w:eastAsia="宋体"/>
                <w:b/>
                <w:sz w:val="18"/>
              </w:rPr>
              <w:t>本项目对象</w:t>
            </w:r>
          </w:p>
        </w:tc>
      </w:tr>
      <w:tr w14:paraId="7C78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6BB7A33">
            <w:pPr>
              <w:spacing w:after="0" w:line="264" w:lineRule="auto"/>
            </w:pPr>
            <w:r>
              <w:rPr>
                <w:rFonts w:ascii="宋体" w:hAnsi="宋体" w:eastAsia="宋体"/>
                <w:sz w:val="17"/>
              </w:rPr>
              <w:t>基础设施</w:t>
            </w:r>
          </w:p>
        </w:tc>
        <w:tc>
          <w:tcPr>
            <w:tcW w:w="3969" w:type="dxa"/>
            <w:vAlign w:val="center"/>
          </w:tcPr>
          <w:p w14:paraId="04B20805">
            <w:pPr>
              <w:spacing w:after="0" w:line="264" w:lineRule="auto"/>
            </w:pPr>
            <w:r>
              <w:rPr>
                <w:rFonts w:ascii="宋体" w:hAnsi="宋体" w:eastAsia="宋体"/>
                <w:sz w:val="17"/>
              </w:rPr>
              <w:t>算力、网络、存储、身份、密钥、容灾</w:t>
            </w:r>
          </w:p>
        </w:tc>
        <w:tc>
          <w:tcPr>
            <w:tcW w:w="3855" w:type="dxa"/>
            <w:vAlign w:val="center"/>
          </w:tcPr>
          <w:p w14:paraId="43C13668">
            <w:pPr>
              <w:spacing w:after="0" w:line="264" w:lineRule="auto"/>
            </w:pPr>
            <w:r>
              <w:rPr>
                <w:rFonts w:ascii="宋体" w:hAnsi="宋体" w:eastAsia="宋体"/>
                <w:sz w:val="17"/>
              </w:rPr>
              <w:t>稳定运行与边界隔离</w:t>
            </w:r>
          </w:p>
        </w:tc>
      </w:tr>
      <w:tr w14:paraId="58B1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8A29486">
            <w:pPr>
              <w:spacing w:after="0" w:line="264" w:lineRule="auto"/>
            </w:pPr>
            <w:r>
              <w:rPr>
                <w:rFonts w:ascii="宋体" w:hAnsi="宋体" w:eastAsia="宋体"/>
                <w:sz w:val="17"/>
              </w:rPr>
              <w:t>数据资源</w:t>
            </w:r>
          </w:p>
        </w:tc>
        <w:tc>
          <w:tcPr>
            <w:tcW w:w="3969" w:type="dxa"/>
            <w:vAlign w:val="center"/>
          </w:tcPr>
          <w:p w14:paraId="56D8B3DE">
            <w:pPr>
              <w:spacing w:after="0" w:line="264" w:lineRule="auto"/>
            </w:pPr>
            <w:r>
              <w:rPr>
                <w:rFonts w:ascii="宋体" w:hAnsi="宋体" w:eastAsia="宋体"/>
                <w:sz w:val="17"/>
              </w:rPr>
              <w:t>目录、对象模型、字段字典、质量状态</w:t>
            </w:r>
          </w:p>
        </w:tc>
        <w:tc>
          <w:tcPr>
            <w:tcW w:w="3855" w:type="dxa"/>
            <w:vAlign w:val="center"/>
          </w:tcPr>
          <w:p w14:paraId="5007DB0F">
            <w:pPr>
              <w:spacing w:after="0" w:line="264" w:lineRule="auto"/>
            </w:pPr>
            <w:r>
              <w:rPr>
                <w:rFonts w:ascii="宋体" w:hAnsi="宋体" w:eastAsia="宋体"/>
                <w:sz w:val="17"/>
              </w:rPr>
              <w:t>明睿、联通及外部参照</w:t>
            </w:r>
          </w:p>
        </w:tc>
      </w:tr>
      <w:tr w14:paraId="5355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EF4B77A">
            <w:pPr>
              <w:spacing w:after="0" w:line="264" w:lineRule="auto"/>
            </w:pPr>
            <w:r>
              <w:rPr>
                <w:rFonts w:ascii="宋体" w:hAnsi="宋体" w:eastAsia="宋体"/>
                <w:sz w:val="17"/>
              </w:rPr>
              <w:t>可信技术</w:t>
            </w:r>
          </w:p>
        </w:tc>
        <w:tc>
          <w:tcPr>
            <w:tcW w:w="3969" w:type="dxa"/>
            <w:vAlign w:val="center"/>
          </w:tcPr>
          <w:p w14:paraId="5130AF5F">
            <w:pPr>
              <w:spacing w:after="0" w:line="264" w:lineRule="auto"/>
            </w:pPr>
            <w:r>
              <w:rPr>
                <w:rFonts w:ascii="宋体" w:hAnsi="宋体" w:eastAsia="宋体"/>
                <w:sz w:val="17"/>
              </w:rPr>
              <w:t>规则基线；按需启用隐私计算、TEE、联邦学习与摘要存证</w:t>
            </w:r>
          </w:p>
        </w:tc>
        <w:tc>
          <w:tcPr>
            <w:tcW w:w="3855" w:type="dxa"/>
            <w:vAlign w:val="center"/>
          </w:tcPr>
          <w:p w14:paraId="04329BAE">
            <w:pPr>
              <w:spacing w:after="0" w:line="264" w:lineRule="auto"/>
            </w:pPr>
            <w:r>
              <w:rPr>
                <w:rFonts w:ascii="宋体" w:hAnsi="宋体" w:eastAsia="宋体"/>
                <w:sz w:val="17"/>
              </w:rPr>
              <w:t>由敏感度、联合训练需求、延迟和成本门槛选择</w:t>
            </w:r>
          </w:p>
        </w:tc>
      </w:tr>
      <w:tr w14:paraId="7247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CE4D78F">
            <w:pPr>
              <w:spacing w:after="0" w:line="264" w:lineRule="auto"/>
            </w:pPr>
            <w:r>
              <w:rPr>
                <w:rFonts w:ascii="宋体" w:hAnsi="宋体" w:eastAsia="宋体"/>
                <w:sz w:val="17"/>
              </w:rPr>
              <w:t>应用</w:t>
            </w:r>
          </w:p>
        </w:tc>
        <w:tc>
          <w:tcPr>
            <w:tcW w:w="3969" w:type="dxa"/>
            <w:vAlign w:val="center"/>
          </w:tcPr>
          <w:p w14:paraId="29C08E37">
            <w:pPr>
              <w:spacing w:after="0" w:line="264" w:lineRule="auto"/>
            </w:pPr>
            <w:r>
              <w:rPr>
                <w:rFonts w:ascii="宋体" w:hAnsi="宋体" w:eastAsia="宋体"/>
                <w:sz w:val="17"/>
              </w:rPr>
              <w:t>核验、评分、维修判断、触达、风控</w:t>
            </w:r>
          </w:p>
        </w:tc>
        <w:tc>
          <w:tcPr>
            <w:tcW w:w="3855" w:type="dxa"/>
            <w:vAlign w:val="center"/>
          </w:tcPr>
          <w:p w14:paraId="46B83346">
            <w:pPr>
              <w:spacing w:after="0" w:line="264" w:lineRule="auto"/>
            </w:pPr>
            <w:r>
              <w:rPr>
                <w:rFonts w:ascii="宋体" w:hAnsi="宋体" w:eastAsia="宋体"/>
                <w:sz w:val="17"/>
              </w:rPr>
              <w:t>结果服务与产品交付</w:t>
            </w:r>
          </w:p>
        </w:tc>
      </w:tr>
    </w:tbl>
    <w:p w14:paraId="29C476C8">
      <w:pPr>
        <w:spacing w:after="20"/>
      </w:pPr>
    </w:p>
    <w:p w14:paraId="63DE873D">
      <w:pPr>
        <w:spacing w:after="100" w:line="324" w:lineRule="auto"/>
        <w:ind w:firstLine="420"/>
      </w:pPr>
      <w:r>
        <w:rPr>
          <w:rFonts w:ascii="宋体" w:hAnsi="宋体" w:eastAsia="宋体"/>
          <w:sz w:val="21"/>
        </w:rPr>
        <w:t>架构选择比较了集中式数据湖、点对点接口和联邦式可信空间。集中式数据湖便于统一分析，但需要跨主体复制原始数据，授权撤回、敏感信息出域和责任划分成本较高；点对点接口接入较快，却难以统一版本、审计和任务复用。鉴于项目同时涉及维修明细、动态行为与触达授权，采用“原始数据域内保留、空间统一编排任务、应用只接收结果”的联邦式四层结构。基础设施、数据资源、可信技术和应用之间由身份、权限、版本和审计编号关联。单主体或低敏统计任务可先使用受控接口和逻辑目录，达到多方复用与审计需求后再增加可信计算组件。</w:t>
      </w:r>
    </w:p>
    <w:p w14:paraId="150C7027">
      <w:pPr>
        <w:spacing w:before="120" w:after="100"/>
      </w:pPr>
      <w:r>
        <w:rPr>
          <w:rFonts w:ascii="宋体" w:hAnsi="宋体" w:eastAsia="宋体"/>
          <w:b/>
          <w:sz w:val="23"/>
        </w:rPr>
        <w:t>3.4 可信技术底座（隐私计算 / TEE / 联盟链 / 联邦学习）</w:t>
      </w:r>
    </w:p>
    <w:p w14:paraId="029D41F7">
      <w:pPr>
        <w:spacing w:after="100" w:line="324" w:lineRule="auto"/>
        <w:ind w:firstLine="420"/>
      </w:pPr>
      <w:r>
        <w:rPr>
          <w:rFonts w:ascii="宋体" w:hAnsi="宋体" w:eastAsia="宋体"/>
          <w:sz w:val="21"/>
        </w:rPr>
        <w:t>技术底座按数据敏感度、是否需要联合训练、结果留痕要求、可接受延迟和运维能力选择。里程核验属于低复杂度、强解释任务，首选域内规则计算、任务级令牌映射和签名审计日志，不为其预设联邦训练或区块链。需要处理高敏原始字段且普通隔离环境不足时才启用TEE；多个主体拥有同类样本、标签定义一致且数据不能汇聚时，才评估联邦学习。技术名称表示可选能力，不代表项目已全部部署。</w:t>
      </w:r>
    </w:p>
    <w:p w14:paraId="044FB8B6">
      <w:pPr>
        <w:spacing w:after="100" w:line="324" w:lineRule="auto"/>
        <w:ind w:firstLine="420"/>
      </w:pPr>
      <w:r>
        <w:rPr>
          <w:rFonts w:ascii="宋体" w:hAnsi="宋体" w:eastAsia="宋体"/>
          <w:sz w:val="21"/>
        </w:rPr>
        <w:t>TEE的替代方案是令牌化后的普通受控计算；如果中间特征已能完成任务，则不处理高敏原始字段。联邦学习必须与规则或集中样本基线比较，只有模型增益能够覆盖通信、部署和版本协同成本时才启用。许可链仅在多个参与方需要共同验证任务记录时使用，且只保存授权、版本与结果摘要；若节点维护、写入量或查询时延超出预算，则使用具备访问控制、签名和防篡改能力的集中审计日志。</w:t>
      </w:r>
    </w:p>
    <w:p w14:paraId="39CE9FC0">
      <w:pPr>
        <w:spacing w:after="100" w:line="324" w:lineRule="auto"/>
        <w:ind w:firstLine="420"/>
      </w:pPr>
      <w:r>
        <w:rPr>
          <w:rFonts w:ascii="宋体" w:hAnsi="宋体" w:eastAsia="宋体"/>
          <w:sz w:val="21"/>
        </w:rPr>
        <w:t>每项技术先在沙箱检验结果一致性、任务延迟、资源消耗、泄露风险和审计回放。TEE需验证远程证明与密钥轮换，联邦学习需记录参与方、参数版本和收敛情况，摘要存证需验证能否还原任务链。任何方案未达到字段最小化、授权撤回、结果复现或成本门槛时，暂停该路径并回退至规则基线、受控接口或人工复核。</w:t>
      </w:r>
    </w:p>
    <w:p w14:paraId="16699363">
      <w:pPr>
        <w:spacing w:before="120" w:after="100"/>
      </w:pPr>
      <w:r>
        <w:rPr>
          <w:rFonts w:ascii="宋体" w:hAnsi="宋体" w:eastAsia="宋体"/>
          <w:b/>
          <w:sz w:val="23"/>
        </w:rPr>
        <w:t>3.5 行业数据规范设计（接入标准 / 分类分级 / 字段字典 / 质量门槛）</w:t>
      </w:r>
    </w:p>
    <w:p w14:paraId="310DB781">
      <w:pPr>
        <w:spacing w:after="100" w:line="324" w:lineRule="auto"/>
        <w:ind w:firstLine="420"/>
      </w:pPr>
      <w:r>
        <w:rPr>
          <w:rFonts w:ascii="宋体" w:hAnsi="宋体" w:eastAsia="宋体"/>
          <w:sz w:val="21"/>
        </w:rPr>
        <w:t>数据规范采用“最小共同字典＋来源口径保留＋转换字段”，不强制一次性统一所有字段。完全统一便于计算，却可能掩盖不同主体对“维修完成”“活跃车辆”等概念的真实差异；仅保留各自口径又无法比较。因此，接入标准只统一主体认证、字段标识、时间、版本和签名等必要项，分类等级再由敏感度、用途和输出范围决定；授权或质量证据不足时自动降级为受控计算。</w:t>
      </w:r>
    </w:p>
    <w:p w14:paraId="372523C0">
      <w:pPr>
        <w:spacing w:after="100" w:line="324" w:lineRule="auto"/>
        <w:ind w:firstLine="420"/>
      </w:pPr>
      <w:r>
        <w:rPr>
          <w:rFonts w:ascii="宋体" w:hAnsi="宋体" w:eastAsia="宋体"/>
          <w:sz w:val="21"/>
        </w:rPr>
        <w:t>字段字典保留定义、来源、单位、时间口径、异常规则、更新周期和使用限制，重点解决影响计算结果的歧义。里程注明读取方式、时间戳与可信等级，维修完成区分工单关闭、车辆交付和车主确认，活跃车辆注明统计窗口。无法统一的字段保留来源值并生成可审计的转换字段，避免为追求表面一致而改变业务含义。</w:t>
      </w:r>
    </w:p>
    <w:p w14:paraId="482E3AD8">
      <w:pPr>
        <w:spacing w:after="100" w:line="324" w:lineRule="auto"/>
        <w:ind w:firstLine="420"/>
      </w:pPr>
      <w:r>
        <w:rPr>
          <w:rFonts w:ascii="宋体" w:hAnsi="宋体" w:eastAsia="宋体"/>
          <w:sz w:val="21"/>
        </w:rPr>
        <w:t>新版本发布前使用历史样本检验字段映射覆盖率、转换前后结果一致性和旧任务可回放性。测试通过后并行保留旧版本一段观察期；测试失败或结果偏差超过业务容忍范围时，暂停新任务并继续使用旧版本。版本管理增加了维护成本，但能够避免字段变化悄然改变评分、计费和责任判断。</w:t>
      </w:r>
    </w:p>
    <w:p w14:paraId="54E48A23">
      <w:pPr>
        <w:spacing w:before="200" w:after="100"/>
      </w:pPr>
      <w:r>
        <w:rPr>
          <w:rFonts w:ascii="宋体" w:hAnsi="宋体" w:eastAsia="宋体"/>
          <w:b/>
          <w:sz w:val="30"/>
        </w:rPr>
        <w:t>第四章 数据流转与融合机制</w:t>
      </w:r>
    </w:p>
    <w:p w14:paraId="1882C71E">
      <w:pPr>
        <w:spacing w:before="120" w:after="100"/>
      </w:pPr>
      <w:r>
        <w:rPr>
          <w:rFonts w:ascii="宋体" w:hAnsi="宋体" w:eastAsia="宋体"/>
          <w:b/>
          <w:sz w:val="23"/>
        </w:rPr>
        <w:t>4.1 数据流通全流程（接入→清洗→入湖→发布→撮合→交付→计费）</w:t>
      </w:r>
    </w:p>
    <w:p w14:paraId="302D6E0C">
      <w:pPr>
        <w:spacing w:after="100" w:line="324" w:lineRule="auto"/>
        <w:ind w:firstLine="420"/>
      </w:pPr>
      <w:r>
        <w:rPr>
          <w:rFonts w:ascii="宋体" w:hAnsi="宋体" w:eastAsia="宋体"/>
          <w:sz w:val="21"/>
        </w:rPr>
        <w:t>流通流程采用“主体域处理＋空间目录编排＋结果交付”。集中式入湖便于统一加工，却增加原始数据复制、授权撤回和责任审计成本；点对点接口虽部署较快，但缺少统一状态、复用和计费依据。首期因此采用逻辑入湖：原始记录留在主体域，空间登记元数据、质量状态、可执行能力和结果版本。接入、清洗、发布、撮合、交付与计费均由任务编号连接；只有跨任务复用确有必要，且授权、留存和质量责任可验证时，才增加受控缓存。</w:t>
      </w:r>
    </w:p>
    <w:p w14:paraId="7A313A8B">
      <w:pPr>
        <w:spacing w:after="100" w:line="324" w:lineRule="auto"/>
        <w:ind w:firstLine="420"/>
      </w:pPr>
      <w:r>
        <w:rPr>
          <w:rFonts w:ascii="宋体" w:hAnsi="宋体" w:eastAsia="宋体"/>
          <w:sz w:val="21"/>
        </w:rPr>
        <w:t>原始数据不作为默认交易对象，是因为客户实际购买的是核验、评分和异常识别能力，而原始明细会扩大安全、解释和再利用责任。服务目录优先交付风险等级、价格区间、标签或报告；需要复核时再通过授权入口回到证据。授权过期、质量下降、模型异常和计费争议分别触发退回、暂停、人工复核或冻结，异常记录进入血缘链。</w:t>
      </w:r>
    </w:p>
    <w:p w14:paraId="3F5539DF">
      <w:pPr>
        <w:spacing w:after="100" w:line="324" w:lineRule="auto"/>
        <w:ind w:firstLine="420"/>
      </w:pPr>
      <w:r>
        <w:rPr>
          <w:rFonts w:ascii="宋体" w:hAnsi="宋体" w:eastAsia="宋体"/>
          <w:sz w:val="21"/>
        </w:rPr>
        <w:t>数据状态与结果状态分开管理，因为合格数据仍可能生成待复核结果，既有结果也可能因授权撤回或模型版本变化而失效。数据可处于待审核、受限可算、可发布或冻结状态，结果可处于草稿、已复核、已交付、撤回或过期状态。每次转换绑定授权、质量和审计事件；不能解释转换原因的结果不得继续交付。</w:t>
      </w:r>
    </w:p>
    <w:p w14:paraId="4D062E86">
      <w:pPr>
        <w:spacing w:after="100" w:line="324" w:lineRule="auto"/>
        <w:ind w:firstLine="420"/>
      </w:pPr>
      <w:r>
        <w:rPr>
          <w:rFonts w:ascii="宋体" w:hAnsi="宋体" w:eastAsia="宋体"/>
          <w:sz w:val="21"/>
        </w:rPr>
        <w:t>服务等级依据证据覆盖、人工投入和定制程度划分。标准结果由规则或稳定模型生成，适用于高频低争议任务；增强结果增加跨方证据与人工复核，适用于高金额或高争议车辆；专项结果才使用定制字段和联合分析。等级必须同时约定响应时间、有效期、价格和责任范围，实际复核成本持续高于售价时应调整等级或停止交付。</w:t>
      </w:r>
    </w:p>
    <w:p w14:paraId="266863C9">
      <w:pPr>
        <w:spacing w:before="120" w:after="100"/>
      </w:pPr>
      <w:r>
        <w:rPr>
          <w:rFonts w:ascii="宋体" w:hAnsi="宋体" w:eastAsia="宋体"/>
          <w:b/>
          <w:sz w:val="23"/>
        </w:rPr>
        <w:t>4.2 跨方数据融合机制（明睿+联通如何在不暴露原始数据下融合）</w:t>
      </w:r>
    </w:p>
    <w:p w14:paraId="7FE9444C">
      <w:pPr>
        <w:spacing w:after="100" w:line="324" w:lineRule="auto"/>
        <w:ind w:firstLine="420"/>
      </w:pPr>
      <w:r>
        <w:rPr>
          <w:rFonts w:ascii="宋体" w:hAnsi="宋体" w:eastAsia="宋体"/>
          <w:sz w:val="21"/>
        </w:rPr>
        <w:t>融合采用对象、特征和结果三层对齐，是因为直接拼接原始明细会同时引入身份泄露、字段歧义和责任不清。对象匹配首选授权范围内稳定的车辆主标识；不能直接使用时采用任务级带盐令牌或受控映射表，车牌哈希、设备标识和工单号只作为限定任务的辅助证据，禁止跨任务长期复用。特征层把双方记录转为口径一致的中间变量，结果层只交付评分、区间、预警和证据摘要。</w:t>
      </w:r>
    </w:p>
    <w:p w14:paraId="0ECF7C33">
      <w:pPr>
        <w:spacing w:after="100" w:line="324" w:lineRule="auto"/>
        <w:ind w:firstLine="420"/>
      </w:pPr>
      <w:r>
        <w:rPr>
          <w:rFonts w:ascii="宋体" w:hAnsi="宋体" w:eastAsia="宋体"/>
          <w:sz w:val="21"/>
        </w:rPr>
        <w:t>协同方式按任务复杂度递进。车型频次、区域需求等可解释任务优先使用联合统计；不需要共享训练参数的车况核验优先使用结果聚合，成本和运维复杂度最低；只有各方样本量、特征定义、标签质量和模型评估条件均达到门槛时，才采用联合建模。首期以规则基线和结果聚合验证，联合模型相对基线未产生稳定增益时不启用。所有任务由字段白名单和任务编号约束，原始明细保留在各自域内。</w:t>
      </w:r>
    </w:p>
    <w:p w14:paraId="6B304FD1">
      <w:pPr>
        <w:spacing w:after="100" w:line="324" w:lineRule="auto"/>
        <w:ind w:firstLine="420"/>
      </w:pPr>
      <w:r>
        <w:rPr>
          <w:rFonts w:ascii="宋体" w:hAnsi="宋体" w:eastAsia="宋体"/>
          <w:sz w:val="21"/>
        </w:rPr>
        <w:t>融合质量同时考察授权覆盖、主键匹配、时间窗一致、事件顺序、数据新鲜度和人工抽检误匹配。匹配率较高但时间关系不合理，仍不能进入模型；不确定记录进入待复核集合，不通过模糊关联扩大样本。任一关键门槛未达标时，输出证据不足或回退单方结果。联合结果明确区分明睿证据、联通证据和共同推断，防止把相关性表述为事实。</w:t>
      </w:r>
    </w:p>
    <w:p w14:paraId="56EFBF81">
      <w:pPr>
        <w:spacing w:before="120" w:after="100"/>
      </w:pPr>
      <w:r>
        <w:rPr>
          <w:rFonts w:ascii="宋体" w:hAnsi="宋体" w:eastAsia="宋体"/>
          <w:b/>
          <w:sz w:val="23"/>
        </w:rPr>
        <w:t>4.3 数据血缘、溯源与存证</w:t>
      </w:r>
    </w:p>
    <w:p w14:paraId="12D97F45">
      <w:pPr>
        <w:spacing w:after="100" w:line="324" w:lineRule="auto"/>
        <w:ind w:firstLine="420"/>
      </w:pPr>
      <w:r>
        <w:rPr>
          <w:rFonts w:ascii="宋体" w:hAnsi="宋体" w:eastAsia="宋体"/>
          <w:sz w:val="21"/>
        </w:rPr>
        <w:t>存证采用“域内版本日志＋跨方摘要”的分层方式。全部明细上链会扩大敏感信息暴露和节点维护成本，仅使用运营方日志又难以满足多方共同核验。因此，原始数据、清洗结果和证据文件留在主体域内，跨方只保存任务编号、时间戳、授权编号、模型版本和结果摘要。参与方确有共同验证需求且写入量可控时使用许可链，否则采用带签名、访问控制和防篡改能力的审计日志。</w:t>
      </w:r>
    </w:p>
    <w:p w14:paraId="7C1E033E">
      <w:pPr>
        <w:spacing w:after="100" w:line="324" w:lineRule="auto"/>
        <w:ind w:firstLine="420"/>
      </w:pPr>
      <w:r>
        <w:rPr>
          <w:rFonts w:ascii="宋体" w:hAnsi="宋体" w:eastAsia="宋体"/>
          <w:sz w:val="21"/>
        </w:rPr>
        <w:t>存证的验收标准不是记录数量，而是能否按任务回放输入版本、处理规则、授权状态和输出摘要。车况争议回看里程、检测与维修事件，维修争议回看故障、配件和报价，触达争议回看授权、标签生成与拒绝记录。无法完整回放的结果标记为不可复核并冻结争议结算；修正结果保留原版本状态，不能覆盖历史。</w:t>
      </w:r>
    </w:p>
    <w:p w14:paraId="560BF71A">
      <w:pPr>
        <w:spacing w:before="200" w:after="100"/>
      </w:pPr>
      <w:r>
        <w:rPr>
          <w:rFonts w:ascii="宋体" w:hAnsi="宋体" w:eastAsia="宋体"/>
          <w:b/>
          <w:sz w:val="30"/>
        </w:rPr>
        <w:t>第五章 应用体系与算法设计</w:t>
      </w:r>
    </w:p>
    <w:p w14:paraId="5C0DB55B">
      <w:pPr>
        <w:spacing w:before="120" w:after="100"/>
      </w:pPr>
      <w:r>
        <w:rPr>
          <w:rFonts w:ascii="宋体" w:hAnsi="宋体" w:eastAsia="宋体"/>
          <w:b/>
          <w:sz w:val="23"/>
        </w:rPr>
        <w:t>5.1 应用一：二手车残值估价与车况评分</w:t>
      </w:r>
    </w:p>
    <w:p w14:paraId="4528B261">
      <w:pPr>
        <w:spacing w:after="100" w:line="324" w:lineRule="auto"/>
        <w:ind w:firstLine="420"/>
      </w:pPr>
      <w:r>
        <w:rPr>
          <w:rFonts w:ascii="宋体" w:hAnsi="宋体" w:eastAsia="宋体"/>
          <w:sz w:val="21"/>
        </w:rPr>
        <w:t>残值模型的选择取决于成交反馈、样本量、解释要求和调用成本。试点初期采用分车型、分区域的行情中位数与折旧规则作为基线，再用车况、使用强度和证据可信度修正；这一方案在样本有限时比复杂模型更容易复核。当单车型具备连续成交样本、关键字段达到质量门槛，且可解释回归或梯度提升模型相对基线显著降低误差后，才升级模型。产品输出价格区间及可信度，不把估计值等同于实际成交价。</w:t>
      </w:r>
    </w:p>
    <w:p w14:paraId="772699B6">
      <w:pPr>
        <w:spacing w:after="100" w:line="324" w:lineRule="auto"/>
        <w:ind w:firstLine="420"/>
      </w:pPr>
      <w:r>
        <w:rPr>
          <w:rFonts w:ascii="宋体" w:hAnsi="宋体" w:eastAsia="宋体"/>
          <w:sz w:val="21"/>
        </w:rPr>
        <w:t>最小服务链从里程一致性核验开始，并非因为里程能够代表全部车况，而是其字段较少、时间关系清晰、人工复核成本较低。系统按时间排列工单、OBD、检测、估值和动态特征，识别倒退、异常跳变、长期断点及静态动态冲突，输出风险等级、冲突来源和复核项。核验稳定后再增加事故疑似、维修复发和估值偏离，避免首个产品同时承担过多不确定性。</w:t>
      </w:r>
    </w:p>
    <w:p w14:paraId="6647A009">
      <w:pPr>
        <w:spacing w:after="100" w:line="324" w:lineRule="auto"/>
        <w:ind w:firstLine="420"/>
      </w:pPr>
      <w:r>
        <w:rPr>
          <w:rFonts w:ascii="宋体" w:hAnsi="宋体" w:eastAsia="宋体"/>
          <w:sz w:val="21"/>
        </w:rPr>
        <w:t>里程风险分数以倒退、异常跳变、时间断点、动态使用冲突和来源可信度缺口为输入。初始权重用于形成可运行基线，不作为固定行业标准；阈值由带人工结论的样本按车型、读取方式和时间窗口校准，并同时观察漏报、误报与单车复核成本。若加权分数不能稳定优于简单倒退规则，则保留规则基线。分数只用于安排复核优先级，不直接等同于改表事实。</w:t>
      </w:r>
    </w:p>
    <w:p w14:paraId="39F3B360">
      <w:pPr>
        <w:spacing w:after="100" w:line="324" w:lineRule="auto"/>
        <w:ind w:firstLine="420"/>
      </w:pPr>
      <w:r>
        <w:rPr>
          <w:rFonts w:ascii="宋体" w:hAnsi="宋体" w:eastAsia="宋体"/>
          <w:sz w:val="21"/>
        </w:rPr>
        <w:t>二手车预警卡在里程核验基础上增加事故疑似、履历断点、异常使用、维修复发和估值偏离标签。明睿侧证据用于判断维修与检测事实，联通侧动态特征用于识别使用强度、异常停驶和静态记录难以解释的冲突。标签只表示需要复核的风险线索，不直接给出事故责任或交易欺诈结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4819"/>
        <w:gridCol w:w="2721"/>
      </w:tblGrid>
      <w:tr w14:paraId="5D88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14:paraId="0CB5E721">
            <w:r>
              <w:rPr>
                <w:rFonts w:ascii="宋体" w:hAnsi="宋体" w:eastAsia="宋体"/>
                <w:b/>
                <w:sz w:val="18"/>
              </w:rPr>
              <w:t>输出</w:t>
            </w:r>
          </w:p>
        </w:tc>
        <w:tc>
          <w:tcPr>
            <w:tcW w:w="4819" w:type="dxa"/>
            <w:vAlign w:val="center"/>
          </w:tcPr>
          <w:p w14:paraId="3337E734">
            <w:r>
              <w:rPr>
                <w:rFonts w:ascii="宋体" w:hAnsi="宋体" w:eastAsia="宋体"/>
                <w:b/>
                <w:sz w:val="18"/>
              </w:rPr>
              <w:t>内容</w:t>
            </w:r>
          </w:p>
        </w:tc>
        <w:tc>
          <w:tcPr>
            <w:tcW w:w="2721" w:type="dxa"/>
            <w:vAlign w:val="center"/>
          </w:tcPr>
          <w:p w14:paraId="38A48718">
            <w:r>
              <w:rPr>
                <w:rFonts w:ascii="宋体" w:hAnsi="宋体" w:eastAsia="宋体"/>
                <w:b/>
                <w:sz w:val="18"/>
              </w:rPr>
              <w:t>使用对象</w:t>
            </w:r>
          </w:p>
        </w:tc>
      </w:tr>
      <w:tr w14:paraId="6AB3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B0880E9">
            <w:pPr>
              <w:spacing w:after="0" w:line="264" w:lineRule="auto"/>
            </w:pPr>
            <w:r>
              <w:rPr>
                <w:rFonts w:ascii="宋体" w:hAnsi="宋体" w:eastAsia="宋体"/>
                <w:sz w:val="17"/>
              </w:rPr>
              <w:t>里程核验卡</w:t>
            </w:r>
          </w:p>
        </w:tc>
        <w:tc>
          <w:tcPr>
            <w:tcW w:w="4819" w:type="dxa"/>
            <w:vAlign w:val="center"/>
          </w:tcPr>
          <w:p w14:paraId="46E337AF">
            <w:pPr>
              <w:spacing w:after="0" w:line="264" w:lineRule="auto"/>
            </w:pPr>
            <w:r>
              <w:rPr>
                <w:rFonts w:ascii="宋体" w:hAnsi="宋体" w:eastAsia="宋体"/>
                <w:sz w:val="17"/>
              </w:rPr>
              <w:t>时间轴、冲突点、风险等级、复核建议</w:t>
            </w:r>
          </w:p>
        </w:tc>
        <w:tc>
          <w:tcPr>
            <w:tcW w:w="2721" w:type="dxa"/>
            <w:vAlign w:val="center"/>
          </w:tcPr>
          <w:p w14:paraId="0928B236">
            <w:pPr>
              <w:spacing w:after="0" w:line="264" w:lineRule="auto"/>
            </w:pPr>
            <w:r>
              <w:rPr>
                <w:rFonts w:ascii="宋体" w:hAnsi="宋体" w:eastAsia="宋体"/>
                <w:sz w:val="17"/>
              </w:rPr>
              <w:t>二手车商、检测机构</w:t>
            </w:r>
          </w:p>
        </w:tc>
      </w:tr>
      <w:tr w14:paraId="06F9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DCD6173">
            <w:pPr>
              <w:spacing w:after="0" w:line="264" w:lineRule="auto"/>
            </w:pPr>
            <w:r>
              <w:rPr>
                <w:rFonts w:ascii="宋体" w:hAnsi="宋体" w:eastAsia="宋体"/>
                <w:sz w:val="17"/>
              </w:rPr>
              <w:t>可信车况卡</w:t>
            </w:r>
          </w:p>
        </w:tc>
        <w:tc>
          <w:tcPr>
            <w:tcW w:w="4819" w:type="dxa"/>
            <w:vAlign w:val="center"/>
          </w:tcPr>
          <w:p w14:paraId="4A4E8D65">
            <w:pPr>
              <w:spacing w:after="0" w:line="264" w:lineRule="auto"/>
            </w:pPr>
            <w:r>
              <w:rPr>
                <w:rFonts w:ascii="宋体" w:hAnsi="宋体" w:eastAsia="宋体"/>
                <w:sz w:val="17"/>
              </w:rPr>
              <w:t>维度评分、证据摘要、可信度</w:t>
            </w:r>
          </w:p>
        </w:tc>
        <w:tc>
          <w:tcPr>
            <w:tcW w:w="2721" w:type="dxa"/>
            <w:vAlign w:val="center"/>
          </w:tcPr>
          <w:p w14:paraId="140D0299">
            <w:pPr>
              <w:spacing w:after="0" w:line="264" w:lineRule="auto"/>
            </w:pPr>
            <w:r>
              <w:rPr>
                <w:rFonts w:ascii="宋体" w:hAnsi="宋体" w:eastAsia="宋体"/>
                <w:sz w:val="17"/>
              </w:rPr>
              <w:t>交易平台、保险金融</w:t>
            </w:r>
          </w:p>
        </w:tc>
      </w:tr>
      <w:tr w14:paraId="5E2B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374C490">
            <w:pPr>
              <w:spacing w:after="0" w:line="264" w:lineRule="auto"/>
            </w:pPr>
            <w:r>
              <w:rPr>
                <w:rFonts w:ascii="宋体" w:hAnsi="宋体" w:eastAsia="宋体"/>
                <w:sz w:val="17"/>
              </w:rPr>
              <w:t>残值区间</w:t>
            </w:r>
          </w:p>
        </w:tc>
        <w:tc>
          <w:tcPr>
            <w:tcW w:w="4819" w:type="dxa"/>
            <w:vAlign w:val="center"/>
          </w:tcPr>
          <w:p w14:paraId="513E4D5C">
            <w:pPr>
              <w:spacing w:after="0" w:line="264" w:lineRule="auto"/>
            </w:pPr>
            <w:r>
              <w:rPr>
                <w:rFonts w:ascii="宋体" w:hAnsi="宋体" w:eastAsia="宋体"/>
                <w:sz w:val="17"/>
              </w:rPr>
              <w:t>区域与时点修正后的价格带</w:t>
            </w:r>
          </w:p>
        </w:tc>
        <w:tc>
          <w:tcPr>
            <w:tcW w:w="2721" w:type="dxa"/>
            <w:vAlign w:val="center"/>
          </w:tcPr>
          <w:p w14:paraId="09368F55">
            <w:pPr>
              <w:spacing w:after="0" w:line="264" w:lineRule="auto"/>
            </w:pPr>
            <w:r>
              <w:rPr>
                <w:rFonts w:ascii="宋体" w:hAnsi="宋体" w:eastAsia="宋体"/>
                <w:sz w:val="17"/>
              </w:rPr>
              <w:t>车商、金融机构</w:t>
            </w:r>
          </w:p>
        </w:tc>
      </w:tr>
    </w:tbl>
    <w:p w14:paraId="0C7B3D82">
      <w:pPr>
        <w:spacing w:after="20"/>
      </w:pPr>
    </w:p>
    <w:p w14:paraId="30DBFDB2">
      <w:pPr>
        <w:spacing w:after="100" w:line="324" w:lineRule="auto"/>
        <w:ind w:firstLine="420"/>
      </w:pPr>
      <w:r>
        <w:rPr>
          <w:rFonts w:ascii="宋体" w:hAnsi="宋体" w:eastAsia="宋体"/>
          <w:sz w:val="21"/>
        </w:rPr>
        <w:t>记录不足时，产品必须显示证据缺口，不以模型推断替代缺失事实。单车核验、批量车源评分、接口调用和报告订阅均可作为计费对象。</w:t>
      </w:r>
    </w:p>
    <w:p w14:paraId="15BFFC25">
      <w:pPr>
        <w:spacing w:after="100" w:line="324" w:lineRule="auto"/>
        <w:ind w:firstLine="420"/>
      </w:pPr>
      <w:r>
        <w:rPr>
          <w:rFonts w:ascii="宋体" w:hAnsi="宋体" w:eastAsia="宋体"/>
          <w:sz w:val="21"/>
        </w:rPr>
        <w:t>车况评分的解释页应列出影响最大的三至五项证据，并标注证据时点、来源类型和可信等级。价格区间还要显示区域和时点口径，避免客户把算法结果与实际成交价直接等同。对于新能源车辆，电池、电控和充电行为等特征应单列，不能沿用燃油车的权重。</w:t>
      </w:r>
    </w:p>
    <w:p w14:paraId="470C5010">
      <w:pPr>
        <w:spacing w:after="100" w:line="324" w:lineRule="auto"/>
        <w:ind w:firstLine="420"/>
      </w:pPr>
      <w:r>
        <w:rPr>
          <w:rFonts w:ascii="宋体" w:hAnsi="宋体" w:eastAsia="宋体"/>
          <w:sz w:val="21"/>
        </w:rPr>
        <w:t>面向车商的交付页面应同时提供收车、定价和复核三个视图。收车视图突出高风险和证据缺口，定价视图显示区间与影响因素，复核视图提供原始记录所在主体、时间点和补证清单。面向买家的展示只保留与交易相关的摘要和凭证，避免把不必要的个人或门店信息外泄。</w:t>
      </w:r>
    </w:p>
    <w:p w14:paraId="0329D99D">
      <w:pPr>
        <w:spacing w:before="120" w:after="100"/>
      </w:pPr>
      <w:r>
        <w:rPr>
          <w:rFonts w:ascii="宋体" w:hAnsi="宋体" w:eastAsia="宋体"/>
          <w:b/>
          <w:sz w:val="23"/>
        </w:rPr>
        <w:t>5.2 应用二：维保记录可信湖（防骗保/防篡改）</w:t>
      </w:r>
    </w:p>
    <w:p w14:paraId="4EECBC42">
      <w:pPr>
        <w:spacing w:after="100" w:line="324" w:lineRule="auto"/>
        <w:ind w:firstLine="420"/>
      </w:pPr>
      <w:r>
        <w:rPr>
          <w:rFonts w:ascii="宋体" w:hAnsi="宋体" w:eastAsia="宋体"/>
          <w:sz w:val="21"/>
        </w:rPr>
        <w:t>维保可信湖采用规则检测与统计异常检测分层处理。重复理赔、时间倒置、配件不适配等关系可以直接核验，优先使用规则，避免模型增加解释成本；门店异常集中出单、金额偏离等模式需要历史分布和复核标签，样本形成后再使用统计异常检测。车辆、工单、故障、配件、门店、理赔和支付事件保留时间戳、版本与责任主体，异常结果只作为核查线索，不替代保险核赔或维修认定。</w:t>
      </w:r>
    </w:p>
    <w:p w14:paraId="52D37EA7">
      <w:pPr>
        <w:spacing w:after="100" w:line="324" w:lineRule="auto"/>
        <w:ind w:firstLine="420"/>
      </w:pPr>
      <w:r>
        <w:rPr>
          <w:rFonts w:ascii="宋体" w:hAnsi="宋体" w:eastAsia="宋体"/>
          <w:sz w:val="21"/>
        </w:rPr>
        <w:t>维修必</w:t>
      </w:r>
      <w:r>
        <w:rPr>
          <w:rFonts w:hint="eastAsia"/>
          <w:sz w:val="21"/>
          <w:lang w:val="en-US" w:eastAsia="zh-CN"/>
        </w:rPr>
        <w:t xml:space="preserve">   </w:t>
      </w:r>
      <w:r>
        <w:rPr>
          <w:rFonts w:ascii="宋体" w:hAnsi="宋体" w:eastAsia="宋体"/>
          <w:sz w:val="21"/>
        </w:rPr>
        <w:t>采用四级输出，但技术路径按证据成熟度选择：安全影响和明确故障由硬规则判断，复发与价格偏离由统计基线辅助，有稳定标注后再训练分类或排序模型。评价同时观察与技师复核的一致率、误报率和单件复核成本；高风险安全项目、证据不足或高金额项目必须人工复核。车主、门店和保险方分别接收与目的相关的摘要，不共享同一明细集合。</w:t>
      </w:r>
    </w:p>
    <w:p w14:paraId="6E1DE460">
      <w:pPr>
        <w:spacing w:after="100" w:line="324" w:lineRule="auto"/>
        <w:ind w:firstLine="420"/>
      </w:pPr>
      <w:r>
        <w:rPr>
          <w:rFonts w:ascii="宋体" w:hAnsi="宋体" w:eastAsia="宋体"/>
          <w:sz w:val="21"/>
        </w:rPr>
        <w:t>维修防骗与二手车预警可以形成回流链。交易前集中整备、短周期重复维修、异常配件和报价偏离会提高车辆预警等级；交易后的复检、质保赔付、售后争议和车商复核结果，反向更新维修可信湖与门店质量标签。回流数据必须经过质量门控和用途授权，不能因为发生过交易就自动扩大可见范围。</w:t>
      </w:r>
    </w:p>
    <w:p w14:paraId="46E2C220">
      <w:pPr>
        <w:spacing w:after="100" w:line="324" w:lineRule="auto"/>
        <w:ind w:firstLine="420"/>
      </w:pPr>
      <w:r>
        <w:rPr>
          <w:rFonts w:ascii="宋体" w:hAnsi="宋体" w:eastAsia="宋体"/>
          <w:sz w:val="21"/>
        </w:rPr>
        <w:t>维修可信湖的客户价值可分为三个层次：车主得到维修必要性和历史档案，门店得到诊断与复修质量反馈，保险和交易平台得到可审计的异常证据。不同层次不共享同一明细集合，而是根据目的输出不同摘要，形成“同一证据、分级可见”的交付方式。</w:t>
      </w:r>
    </w:p>
    <w:p w14:paraId="654149CF">
      <w:pPr>
        <w:spacing w:before="120" w:after="100"/>
      </w:pPr>
      <w:r>
        <w:rPr>
          <w:rFonts w:ascii="宋体" w:hAnsi="宋体" w:eastAsia="宋体"/>
          <w:b/>
          <w:sz w:val="23"/>
        </w:rPr>
        <w:t>5.3 应用三：车后装精准营销与用户画像</w:t>
      </w:r>
    </w:p>
    <w:p w14:paraId="5D6A1825">
      <w:pPr>
        <w:spacing w:after="100" w:line="324" w:lineRule="auto"/>
        <w:ind w:firstLine="420"/>
      </w:pPr>
      <w:r>
        <w:rPr>
          <w:rFonts w:ascii="宋体" w:hAnsi="宋体" w:eastAsia="宋体"/>
          <w:sz w:val="21"/>
        </w:rPr>
        <w:t>后装画像采用五层结构，是为了区分稳定属性、短期行为、车辆状态、需求推断和不可突破的合规边界。试点初期不追求标签数量，以保养周期、故障状态、使用强度和近期反馈形成规则分层；人口属性仅作辅助，不能单独决定推荐。授权、用途、频控和拒绝触达作为前置门控，不与需求分数相互抵消。</w:t>
      </w:r>
    </w:p>
    <w:p w14:paraId="426BA17E">
      <w:pPr>
        <w:spacing w:after="100" w:line="324" w:lineRule="auto"/>
        <w:ind w:firstLine="420"/>
      </w:pPr>
      <w:r>
        <w:rPr>
          <w:rFonts w:ascii="宋体" w:hAnsi="宋体" w:eastAsia="宋体"/>
          <w:sz w:val="21"/>
        </w:rPr>
        <w:t>排序模型只在具备稳定曝光、响应和购买反馈后启用，并与规则名单比较增量转化、触达成本、退订率和投诉率。合规可用性不是加权变量：缺少授权、用途不匹配或命中拒绝触达时直接退出队列。若模型不能证明相对规则基线的增量价值，或带来明显退订与投诉，则回退为规则名单或非个性化展示。</w:t>
      </w:r>
    </w:p>
    <w:p w14:paraId="3073F2BC">
      <w:pPr>
        <w:spacing w:after="100" w:line="324" w:lineRule="auto"/>
        <w:ind w:firstLine="420"/>
      </w:pPr>
      <w:r>
        <w:rPr>
          <w:rFonts w:ascii="宋体" w:hAnsi="宋体" w:eastAsia="宋体"/>
          <w:sz w:val="21"/>
        </w:rPr>
        <w:t>客户获取可按 ICP 优先级推进：先选择有稳定车源、人工复核成本高且有明确采购人中小车商，再拓展检测机构、区域交易平台、保险金融和维修连锁，后装品牌放在授权和触达链稳定后。线索筛选、样本试算、小批量试点、首单付费和订阅续费构成连续路径，每一步都记录不采用原因。</w:t>
      </w:r>
    </w:p>
    <w:p w14:paraId="197A22F8">
      <w:pPr>
        <w:spacing w:before="120" w:after="100"/>
      </w:pPr>
      <w:r>
        <w:rPr>
          <w:rFonts w:ascii="宋体" w:hAnsi="宋体" w:eastAsia="宋体"/>
          <w:b/>
          <w:sz w:val="23"/>
        </w:rPr>
        <w:t>5.4 算法设计（估价模型 / 评分模型 / 画像标签 / 故障预测的建模与输入输出）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3307"/>
        <w:gridCol w:w="2485"/>
        <w:gridCol w:w="2392"/>
      </w:tblGrid>
      <w:tr w14:paraId="729C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6F14447">
            <w:r>
              <w:rPr>
                <w:rFonts w:ascii="宋体" w:hAnsi="宋体" w:eastAsia="宋体"/>
                <w:b/>
                <w:sz w:val="18"/>
              </w:rPr>
              <w:t>模型</w:t>
            </w:r>
          </w:p>
        </w:tc>
        <w:tc>
          <w:tcPr>
            <w:tcW w:w="3402" w:type="dxa"/>
            <w:vAlign w:val="center"/>
          </w:tcPr>
          <w:p w14:paraId="0E8BBA4D">
            <w:r>
              <w:rPr>
                <w:rFonts w:ascii="宋体" w:hAnsi="宋体" w:eastAsia="宋体"/>
                <w:b/>
                <w:sz w:val="18"/>
              </w:rPr>
              <w:t>基线与启用条件</w:t>
            </w:r>
          </w:p>
        </w:tc>
        <w:tc>
          <w:tcPr>
            <w:tcW w:w="2551" w:type="dxa"/>
            <w:vAlign w:val="center"/>
          </w:tcPr>
          <w:p w14:paraId="160E63B4">
            <w:r>
              <w:rPr>
                <w:rFonts w:ascii="宋体" w:hAnsi="宋体" w:eastAsia="宋体"/>
                <w:b/>
                <w:sz w:val="18"/>
              </w:rPr>
              <w:t>输出</w:t>
            </w:r>
          </w:p>
        </w:tc>
        <w:tc>
          <w:tcPr>
            <w:tcW w:w="2438" w:type="dxa"/>
            <w:vAlign w:val="center"/>
          </w:tcPr>
          <w:p w14:paraId="77D58A96">
            <w:r>
              <w:rPr>
                <w:rFonts w:ascii="宋体" w:hAnsi="宋体" w:eastAsia="宋体"/>
                <w:b/>
                <w:sz w:val="18"/>
              </w:rPr>
              <w:t>评价与回退</w:t>
            </w:r>
          </w:p>
        </w:tc>
      </w:tr>
      <w:tr w14:paraId="6459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05B0827F">
            <w:pPr>
              <w:spacing w:after="0" w:line="264" w:lineRule="auto"/>
            </w:pPr>
            <w:r>
              <w:rPr>
                <w:rFonts w:ascii="宋体" w:hAnsi="宋体" w:eastAsia="宋体"/>
                <w:sz w:val="17"/>
              </w:rPr>
              <w:t>残值估价</w:t>
            </w:r>
          </w:p>
        </w:tc>
        <w:tc>
          <w:tcPr>
            <w:tcW w:w="3402" w:type="dxa"/>
            <w:vAlign w:val="center"/>
          </w:tcPr>
          <w:p w14:paraId="5FB2B7D0">
            <w:pPr>
              <w:spacing w:after="0" w:line="264" w:lineRule="auto"/>
            </w:pPr>
            <w:r>
              <w:rPr>
                <w:rFonts w:ascii="宋体" w:hAnsi="宋体" w:eastAsia="宋体"/>
                <w:sz w:val="17"/>
              </w:rPr>
              <w:t>行情中位数＋折旧规则；连续成交样本成熟后再升级</w:t>
            </w:r>
          </w:p>
        </w:tc>
        <w:tc>
          <w:tcPr>
            <w:tcW w:w="2551" w:type="dxa"/>
            <w:vAlign w:val="center"/>
          </w:tcPr>
          <w:p w14:paraId="55F0B0C7">
            <w:pPr>
              <w:spacing w:after="0" w:line="264" w:lineRule="auto"/>
            </w:pPr>
            <w:r>
              <w:rPr>
                <w:rFonts w:ascii="宋体" w:hAnsi="宋体" w:eastAsia="宋体"/>
                <w:sz w:val="17"/>
              </w:rPr>
              <w:t>价格区间、置信度</w:t>
            </w:r>
          </w:p>
        </w:tc>
        <w:tc>
          <w:tcPr>
            <w:tcW w:w="2438" w:type="dxa"/>
            <w:vAlign w:val="center"/>
          </w:tcPr>
          <w:p w14:paraId="68E52FC1">
            <w:pPr>
              <w:spacing w:after="0" w:line="264" w:lineRule="auto"/>
            </w:pPr>
            <w:r>
              <w:rPr>
                <w:rFonts w:ascii="宋体" w:hAnsi="宋体" w:eastAsia="宋体"/>
                <w:sz w:val="17"/>
              </w:rPr>
              <w:t>MAE/MAPE、区间覆盖；不优于基线则回退</w:t>
            </w:r>
          </w:p>
        </w:tc>
      </w:tr>
      <w:tr w14:paraId="1101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32028B6">
            <w:pPr>
              <w:spacing w:after="0" w:line="264" w:lineRule="auto"/>
            </w:pPr>
            <w:r>
              <w:rPr>
                <w:rFonts w:ascii="宋体" w:hAnsi="宋体" w:eastAsia="宋体"/>
                <w:sz w:val="17"/>
              </w:rPr>
              <w:t>车况评分</w:t>
            </w:r>
          </w:p>
        </w:tc>
        <w:tc>
          <w:tcPr>
            <w:tcW w:w="3402" w:type="dxa"/>
            <w:vAlign w:val="center"/>
          </w:tcPr>
          <w:p w14:paraId="40598D4A">
            <w:pPr>
              <w:spacing w:after="0" w:line="264" w:lineRule="auto"/>
            </w:pPr>
            <w:r>
              <w:rPr>
                <w:rFonts w:ascii="宋体" w:hAnsi="宋体" w:eastAsia="宋体"/>
                <w:sz w:val="17"/>
              </w:rPr>
              <w:t>规则分项；形成稳定复核标签后比较统计模型</w:t>
            </w:r>
          </w:p>
        </w:tc>
        <w:tc>
          <w:tcPr>
            <w:tcW w:w="2551" w:type="dxa"/>
            <w:vAlign w:val="center"/>
          </w:tcPr>
          <w:p w14:paraId="1CCF9663">
            <w:pPr>
              <w:spacing w:after="0" w:line="264" w:lineRule="auto"/>
            </w:pPr>
            <w:r>
              <w:rPr>
                <w:rFonts w:ascii="宋体" w:hAnsi="宋体" w:eastAsia="宋体"/>
                <w:sz w:val="17"/>
              </w:rPr>
              <w:t>六维评分、风险等级</w:t>
            </w:r>
          </w:p>
        </w:tc>
        <w:tc>
          <w:tcPr>
            <w:tcW w:w="2438" w:type="dxa"/>
            <w:vAlign w:val="center"/>
          </w:tcPr>
          <w:p w14:paraId="55013EF3">
            <w:pPr>
              <w:spacing w:after="0" w:line="264" w:lineRule="auto"/>
            </w:pPr>
            <w:r>
              <w:rPr>
                <w:rFonts w:ascii="宋体" w:hAnsi="宋体" w:eastAsia="宋体"/>
                <w:sz w:val="17"/>
              </w:rPr>
              <w:t>分层一致率、校准度；证据不足转人工</w:t>
            </w:r>
          </w:p>
        </w:tc>
      </w:tr>
      <w:tr w14:paraId="0296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579FB88">
            <w:pPr>
              <w:spacing w:after="0" w:line="264" w:lineRule="auto"/>
            </w:pPr>
            <w:r>
              <w:rPr>
                <w:rFonts w:ascii="宋体" w:hAnsi="宋体" w:eastAsia="宋体"/>
                <w:sz w:val="17"/>
              </w:rPr>
              <w:t>里程核验</w:t>
            </w:r>
          </w:p>
        </w:tc>
        <w:tc>
          <w:tcPr>
            <w:tcW w:w="3402" w:type="dxa"/>
            <w:vAlign w:val="center"/>
          </w:tcPr>
          <w:p w14:paraId="7AE403F9">
            <w:pPr>
              <w:spacing w:after="0" w:line="264" w:lineRule="auto"/>
            </w:pPr>
            <w:r>
              <w:rPr>
                <w:rFonts w:ascii="宋体" w:hAnsi="宋体" w:eastAsia="宋体"/>
                <w:sz w:val="17"/>
              </w:rPr>
              <w:t>时间顺序与冲突规则；无需复杂训练</w:t>
            </w:r>
          </w:p>
        </w:tc>
        <w:tc>
          <w:tcPr>
            <w:tcW w:w="2551" w:type="dxa"/>
            <w:vAlign w:val="center"/>
          </w:tcPr>
          <w:p w14:paraId="40E642AA">
            <w:pPr>
              <w:spacing w:after="0" w:line="264" w:lineRule="auto"/>
            </w:pPr>
            <w:r>
              <w:rPr>
                <w:rFonts w:ascii="宋体" w:hAnsi="宋体" w:eastAsia="宋体"/>
                <w:sz w:val="17"/>
              </w:rPr>
              <w:t>冲突等级、时间轴</w:t>
            </w:r>
          </w:p>
        </w:tc>
        <w:tc>
          <w:tcPr>
            <w:tcW w:w="2438" w:type="dxa"/>
            <w:vAlign w:val="center"/>
          </w:tcPr>
          <w:p w14:paraId="4CC733AF">
            <w:pPr>
              <w:spacing w:after="0" w:line="264" w:lineRule="auto"/>
            </w:pPr>
            <w:r>
              <w:rPr>
                <w:rFonts w:ascii="宋体" w:hAnsi="宋体" w:eastAsia="宋体"/>
                <w:sz w:val="17"/>
              </w:rPr>
              <w:t>误报与复核成本；不作改表事实认定</w:t>
            </w:r>
          </w:p>
        </w:tc>
      </w:tr>
      <w:tr w14:paraId="6934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8EDE987">
            <w:pPr>
              <w:spacing w:after="0" w:line="264" w:lineRule="auto"/>
            </w:pPr>
            <w:r>
              <w:rPr>
                <w:rFonts w:ascii="宋体" w:hAnsi="宋体" w:eastAsia="宋体"/>
                <w:sz w:val="17"/>
              </w:rPr>
              <w:t>维修必要性</w:t>
            </w:r>
          </w:p>
        </w:tc>
        <w:tc>
          <w:tcPr>
            <w:tcW w:w="3402" w:type="dxa"/>
            <w:vAlign w:val="center"/>
          </w:tcPr>
          <w:p w14:paraId="43B851B0">
            <w:pPr>
              <w:spacing w:after="0" w:line="264" w:lineRule="auto"/>
            </w:pPr>
            <w:r>
              <w:rPr>
                <w:rFonts w:ascii="宋体" w:hAnsi="宋体" w:eastAsia="宋体"/>
                <w:sz w:val="17"/>
              </w:rPr>
              <w:t>安全硬规则＋分项评分；积累技师标签后升级</w:t>
            </w:r>
          </w:p>
        </w:tc>
        <w:tc>
          <w:tcPr>
            <w:tcW w:w="2551" w:type="dxa"/>
            <w:vAlign w:val="center"/>
          </w:tcPr>
          <w:p w14:paraId="738B6A3A">
            <w:pPr>
              <w:spacing w:after="0" w:line="264" w:lineRule="auto"/>
            </w:pPr>
            <w:r>
              <w:rPr>
                <w:rFonts w:ascii="宋体" w:hAnsi="宋体" w:eastAsia="宋体"/>
                <w:sz w:val="17"/>
              </w:rPr>
              <w:t>四级建议、证据摘要</w:t>
            </w:r>
          </w:p>
        </w:tc>
        <w:tc>
          <w:tcPr>
            <w:tcW w:w="2438" w:type="dxa"/>
            <w:vAlign w:val="center"/>
          </w:tcPr>
          <w:p w14:paraId="369E6597">
            <w:pPr>
              <w:spacing w:after="0" w:line="264" w:lineRule="auto"/>
            </w:pPr>
            <w:r>
              <w:rPr>
                <w:rFonts w:ascii="宋体" w:hAnsi="宋体" w:eastAsia="宋体"/>
                <w:sz w:val="17"/>
              </w:rPr>
              <w:t>技师一致率、异议率；安全项人工复核</w:t>
            </w:r>
          </w:p>
        </w:tc>
      </w:tr>
      <w:tr w14:paraId="592C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AF25585">
            <w:pPr>
              <w:spacing w:after="0" w:line="264" w:lineRule="auto"/>
            </w:pPr>
            <w:r>
              <w:rPr>
                <w:rFonts w:ascii="宋体" w:hAnsi="宋体" w:eastAsia="宋体"/>
                <w:sz w:val="17"/>
              </w:rPr>
              <w:t>触达排序</w:t>
            </w:r>
          </w:p>
        </w:tc>
        <w:tc>
          <w:tcPr>
            <w:tcW w:w="3402" w:type="dxa"/>
            <w:vAlign w:val="center"/>
          </w:tcPr>
          <w:p w14:paraId="4BEEF8DF">
            <w:pPr>
              <w:spacing w:after="0" w:line="264" w:lineRule="auto"/>
            </w:pPr>
            <w:r>
              <w:rPr>
                <w:rFonts w:ascii="宋体" w:hAnsi="宋体" w:eastAsia="宋体"/>
                <w:sz w:val="17"/>
              </w:rPr>
              <w:t>规则名单；具备对照反馈后启用排序模型</w:t>
            </w:r>
          </w:p>
        </w:tc>
        <w:tc>
          <w:tcPr>
            <w:tcW w:w="2551" w:type="dxa"/>
            <w:vAlign w:val="center"/>
          </w:tcPr>
          <w:p w14:paraId="7B68A4B7">
            <w:pPr>
              <w:spacing w:after="0" w:line="264" w:lineRule="auto"/>
            </w:pPr>
            <w:r>
              <w:rPr>
                <w:rFonts w:ascii="宋体" w:hAnsi="宋体" w:eastAsia="宋体"/>
                <w:sz w:val="17"/>
              </w:rPr>
              <w:t>推荐优先级、拒绝标识</w:t>
            </w:r>
          </w:p>
        </w:tc>
        <w:tc>
          <w:tcPr>
            <w:tcW w:w="2438" w:type="dxa"/>
            <w:vAlign w:val="center"/>
          </w:tcPr>
          <w:p w14:paraId="2DDAE31E">
            <w:pPr>
              <w:spacing w:after="0" w:line="264" w:lineRule="auto"/>
            </w:pPr>
            <w:r>
              <w:rPr>
                <w:rFonts w:ascii="宋体" w:hAnsi="宋体" w:eastAsia="宋体"/>
                <w:sz w:val="17"/>
              </w:rPr>
              <w:t>增量转化、退订和投诉；无增益则回退</w:t>
            </w:r>
          </w:p>
        </w:tc>
      </w:tr>
    </w:tbl>
    <w:p w14:paraId="397B2057">
      <w:pPr>
        <w:spacing w:after="20"/>
      </w:pPr>
    </w:p>
    <w:p w14:paraId="427A7DA9">
      <w:pPr>
        <w:spacing w:line="324" w:lineRule="auto"/>
        <w:ind w:firstLine="420"/>
      </w:pPr>
      <w:r>
        <w:rPr>
          <w:rFonts w:ascii="宋体" w:hAnsi="宋体" w:eastAsia="宋体"/>
          <w:sz w:val="21"/>
        </w:rPr>
        <w:t>故障预测先根据业务问题选择模型：需要回答“多长时间内可能发生故障”且存在大量尚未故障样本时，采用生存分析处理时间与截尾信息；标签较完整、特征关系明显非线性且重点是风险排序时，可比较梯度提升模型。样本不足时使用同车型故障率与时间窗规则作为基线。模型输出风险窗口、影响因素和检查建议，高风险结果只用于安排检查优先级，不替代维修人员诊断。</w:t>
      </w:r>
    </w:p>
    <w:p w14:paraId="2A6BAF7E">
      <w:pPr>
        <w:spacing w:after="100" w:line="324" w:lineRule="auto"/>
        <w:ind w:firstLine="420"/>
      </w:pPr>
      <w:r>
        <w:rPr>
          <w:rFonts w:ascii="宋体" w:hAnsi="宋体" w:eastAsia="宋体"/>
          <w:sz w:val="21"/>
        </w:rPr>
        <w:t>所有任务先建立规则或统计基线，再用误差、区分度、校准度、解释性、推理成本和人工复核负担比较候选模型。只有时间外验证相对基线达到预设增益、分层偏差未明显扩大且单位调用成本可接受时，模型才进入试点；否则保留基线。真实样本不足时只报告覆盖率、缺失率、规则命中和人工复核结果，不宣称线上准确率。模型漂移、校准恶化或证据覆盖下降时回滚至上一稳定版本。</w:t>
      </w:r>
    </w:p>
    <w:p w14:paraId="7D87ECCB">
      <w:pPr>
        <w:spacing w:after="100" w:line="324" w:lineRule="auto"/>
        <w:ind w:firstLine="420"/>
      </w:pPr>
      <w:r>
        <w:rPr>
          <w:rFonts w:ascii="宋体" w:hAnsi="宋体" w:eastAsia="宋体"/>
          <w:sz w:val="21"/>
        </w:rPr>
        <w:t>评估指标由业务损失决定。残值估价关注MAE、MAPE和区间覆盖率，因为价格误差直接影响收车与报价；风险模型关注召回率、校准度和误报成本，避免高分却增加大量复核；维修必要性关注技师一致率、过度维修识别率和客户异议率；触达排序关注增量转化、退订和投诉，不以点击率替代商业效果。每项指标同时记录样本分层、置信区间和人工复核边界。</w:t>
      </w:r>
    </w:p>
    <w:p w14:paraId="7080BD7F">
      <w:pPr>
        <w:spacing w:after="100" w:line="324" w:lineRule="auto"/>
        <w:ind w:firstLine="420"/>
      </w:pPr>
      <w:r>
        <w:rPr>
          <w:rFonts w:ascii="宋体" w:hAnsi="宋体" w:eastAsia="宋体"/>
          <w:sz w:val="21"/>
        </w:rPr>
        <w:t>评估以车辆和时间切分为主，防止同一车辆的相邻记录同时进入训练与测试而造成信息泄漏；残值按品牌、能源类型和区域分层，维修判断保留门店差异，触达模型区分授权状态与渠道。验证集只用于选择模型，最终测试集保持独立。不同分层差异过大、时间外性能下降或置信区间过宽时，降低自动化等级并增加人工复核。</w:t>
      </w:r>
    </w:p>
    <w:p w14:paraId="2C7AFF8F">
      <w:pPr>
        <w:spacing w:before="200" w:after="100"/>
      </w:pPr>
      <w:r>
        <w:rPr>
          <w:rFonts w:ascii="宋体" w:hAnsi="宋体" w:eastAsia="宋体"/>
          <w:b/>
          <w:sz w:val="30"/>
        </w:rPr>
        <w:t>第六章 市场验证方案（应用实践）</w:t>
      </w:r>
    </w:p>
    <w:p w14:paraId="6094BECF">
      <w:pPr>
        <w:spacing w:before="120" w:after="100"/>
      </w:pPr>
      <w:r>
        <w:rPr>
          <w:rFonts w:ascii="宋体" w:hAnsi="宋体" w:eastAsia="宋体"/>
          <w:b/>
          <w:sz w:val="23"/>
        </w:rPr>
        <w:t>6.1 验证目标与试点选型</w:t>
      </w:r>
    </w:p>
    <w:p w14:paraId="1003C505">
      <w:pPr>
        <w:spacing w:after="100" w:line="324" w:lineRule="auto"/>
        <w:ind w:firstLine="420"/>
      </w:pPr>
      <w:r>
        <w:rPr>
          <w:rFonts w:ascii="宋体" w:hAnsi="宋体" w:eastAsia="宋体"/>
          <w:sz w:val="21"/>
        </w:rPr>
        <w:t>试点按数据稳定性、授权明确性、反馈周期、损失可观测性、人工复核成本和付费验证难度选择。中小二手车商与检测机构在里程核验中具备车辆样本、人工判断和明确采购人，且不需改造完整业务系统，因此作为首批对象；维修连锁、保险金融和后装品牌需要更长责任链或触达反馈，放在第二阶段。场景只有在业务方确认用途、提供复核反馈并同意讨论价格时，才进入市场试点，否则仅属于技术演示。</w:t>
      </w:r>
    </w:p>
    <w:p w14:paraId="322840D5">
      <w:pPr>
        <w:spacing w:after="100" w:line="324" w:lineRule="auto"/>
        <w:ind w:firstLine="420"/>
      </w:pPr>
      <w:r>
        <w:rPr>
          <w:rFonts w:ascii="宋体" w:hAnsi="宋体" w:eastAsia="宋体"/>
          <w:sz w:val="21"/>
        </w:rPr>
        <w:t>试点样本应覆盖有完整里程链、存在断点、存在静态与动态冲突和证据不足四类车辆。2026年上半年全国汽车转让登记1705万笔（来源：公安部交通管理局公开统计，新华网，2026年7月），说明二手车流转具有足够的业务触点，但试点不以市场总量替代真实客户验证。</w:t>
      </w:r>
    </w:p>
    <w:p w14:paraId="7CC92C63">
      <w:pPr>
        <w:spacing w:after="100" w:line="324" w:lineRule="auto"/>
        <w:ind w:firstLine="420"/>
      </w:pPr>
      <w:r>
        <w:rPr>
          <w:rFonts w:ascii="宋体" w:hAnsi="宋体" w:eastAsia="宋体"/>
          <w:sz w:val="21"/>
        </w:rPr>
        <w:t>客户进入采用“场景负责人—小样本试算—共同复核—首批采购”的路径，是为了分别验证需求真实性、结果可用性和付费意愿。每一步至少形成真实调用、人工复核、业务反馈和价格讨论记录；缺少任一类记录，不将其表述为市场验证。不同客户的损失结构不同，车商关注错收和报价效率，维修连锁关注复修与争议，保险金融关注筛查成本，因此价格、权限和指标口径分别配置。</w:t>
      </w:r>
    </w:p>
    <w:p w14:paraId="20E23F0B">
      <w:pPr>
        <w:spacing w:before="120" w:after="100"/>
      </w:pPr>
      <w:r>
        <w:rPr>
          <w:rFonts w:ascii="宋体" w:hAnsi="宋体" w:eastAsia="宋体"/>
          <w:b/>
          <w:sz w:val="23"/>
        </w:rPr>
        <w:t>6.2 MVP最小可行产品</w:t>
      </w:r>
    </w:p>
    <w:p w14:paraId="4278034D">
      <w:pPr>
        <w:spacing w:after="100" w:line="324" w:lineRule="auto"/>
        <w:ind w:firstLine="420"/>
      </w:pPr>
      <w:r>
        <w:rPr>
          <w:rFonts w:ascii="宋体" w:hAnsi="宋体" w:eastAsia="宋体"/>
          <w:sz w:val="21"/>
        </w:rPr>
        <w:t>MVP选择结果卡而非完整业务平台，是为了以较低接入成本验证证据是否有用。MVP 1.0仅以里程一致性核验卡及其可信车况摘要为核心，交易凭证随已复核结果生成；风险预警在里程规则稳定后扩展。维修必要性判断所需故障、检测、配件、报价和复修数据更多，首期仅作为独立的单场景POC候选，在里程MVP通过、维修数据达到质量门槛且人工复核成本可接受后启动。各结果卡沿用统一的车辆对象、授权编号、模型版本和复核入口。</w:t>
      </w:r>
    </w:p>
    <w:p w14:paraId="4549E1A9">
      <w:pPr>
        <w:spacing w:after="100" w:line="324" w:lineRule="auto"/>
        <w:ind w:firstLine="420"/>
      </w:pPr>
      <w:r>
        <w:rPr>
          <w:rFonts w:ascii="宋体" w:hAnsi="宋体" w:eastAsia="宋体"/>
          <w:sz w:val="21"/>
        </w:rPr>
        <w:t>交互保持“提交任务—校验授权与字段—生成结果—确认或复核—记录计费”的短链路。短链路的选择标准是首次试算无需改造客户全部系统，同时能够复算每次调用成本。调用不可回放、授权不可核验、结果无法解释、人工复核无法在约定时限完成或费用无法计量时，MVP不得进入下一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984"/>
        <w:gridCol w:w="2926"/>
        <w:gridCol w:w="2015"/>
      </w:tblGrid>
      <w:tr w14:paraId="0A43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DE29EA8">
            <w:r>
              <w:rPr>
                <w:rFonts w:ascii="宋体" w:hAnsi="宋体" w:eastAsia="宋体"/>
                <w:b/>
                <w:sz w:val="18"/>
              </w:rPr>
              <w:t>结果卡（阶段定位）</w:t>
            </w:r>
          </w:p>
        </w:tc>
        <w:tc>
          <w:tcPr>
            <w:tcW w:w="3118" w:type="dxa"/>
            <w:vAlign w:val="center"/>
          </w:tcPr>
          <w:p w14:paraId="26F1E93A">
            <w:r>
              <w:rPr>
                <w:rFonts w:ascii="宋体" w:hAnsi="宋体" w:eastAsia="宋体"/>
                <w:b/>
                <w:sz w:val="18"/>
              </w:rPr>
              <w:t>最小输入</w:t>
            </w:r>
          </w:p>
        </w:tc>
        <w:tc>
          <w:tcPr>
            <w:tcW w:w="3061" w:type="dxa"/>
            <w:vAlign w:val="center"/>
          </w:tcPr>
          <w:p w14:paraId="14E8A086">
            <w:r>
              <w:rPr>
                <w:rFonts w:ascii="宋体" w:hAnsi="宋体" w:eastAsia="宋体"/>
                <w:b/>
                <w:sz w:val="18"/>
              </w:rPr>
              <w:t>输出</w:t>
            </w:r>
          </w:p>
        </w:tc>
        <w:tc>
          <w:tcPr>
            <w:tcW w:w="2098" w:type="dxa"/>
            <w:vAlign w:val="center"/>
          </w:tcPr>
          <w:p w14:paraId="1CB6104F">
            <w:r>
              <w:rPr>
                <w:rFonts w:ascii="宋体" w:hAnsi="宋体" w:eastAsia="宋体"/>
                <w:b/>
                <w:sz w:val="18"/>
              </w:rPr>
              <w:t>首批客户</w:t>
            </w:r>
          </w:p>
        </w:tc>
      </w:tr>
      <w:tr w14:paraId="4FF6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DA6B2A5">
            <w:pPr>
              <w:spacing w:after="0" w:line="264" w:lineRule="auto"/>
            </w:pPr>
            <w:r>
              <w:rPr>
                <w:rFonts w:ascii="宋体" w:hAnsi="宋体" w:eastAsia="宋体"/>
                <w:sz w:val="17"/>
              </w:rPr>
              <w:t>里程核验（MVP 1.0）</w:t>
            </w:r>
          </w:p>
        </w:tc>
        <w:tc>
          <w:tcPr>
            <w:tcW w:w="3118" w:type="dxa"/>
            <w:vAlign w:val="center"/>
          </w:tcPr>
          <w:p w14:paraId="063893BD">
            <w:pPr>
              <w:spacing w:after="0" w:line="264" w:lineRule="auto"/>
            </w:pPr>
            <w:r>
              <w:rPr>
                <w:rFonts w:ascii="宋体" w:hAnsi="宋体" w:eastAsia="宋体"/>
                <w:sz w:val="17"/>
              </w:rPr>
              <w:t>工单、OBD、检测、估值、动态特征</w:t>
            </w:r>
          </w:p>
        </w:tc>
        <w:tc>
          <w:tcPr>
            <w:tcW w:w="3061" w:type="dxa"/>
            <w:vAlign w:val="center"/>
          </w:tcPr>
          <w:p w14:paraId="6778B837">
            <w:pPr>
              <w:spacing w:after="0" w:line="264" w:lineRule="auto"/>
            </w:pPr>
            <w:r>
              <w:rPr>
                <w:rFonts w:ascii="宋体" w:hAnsi="宋体" w:eastAsia="宋体"/>
                <w:sz w:val="17"/>
              </w:rPr>
              <w:t>风险等级、冲突来源</w:t>
            </w:r>
          </w:p>
        </w:tc>
        <w:tc>
          <w:tcPr>
            <w:tcW w:w="2098" w:type="dxa"/>
            <w:vAlign w:val="center"/>
          </w:tcPr>
          <w:p w14:paraId="2E2C83BE">
            <w:pPr>
              <w:spacing w:after="0" w:line="264" w:lineRule="auto"/>
            </w:pPr>
            <w:r>
              <w:rPr>
                <w:rFonts w:ascii="宋体" w:hAnsi="宋体" w:eastAsia="宋体"/>
                <w:sz w:val="17"/>
              </w:rPr>
              <w:t>中小车商、检测机构</w:t>
            </w:r>
          </w:p>
        </w:tc>
      </w:tr>
      <w:tr w14:paraId="39386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8326551">
            <w:pPr>
              <w:spacing w:after="0" w:line="264" w:lineRule="auto"/>
            </w:pPr>
            <w:r>
              <w:rPr>
                <w:rFonts w:ascii="宋体" w:hAnsi="宋体" w:eastAsia="宋体"/>
                <w:sz w:val="17"/>
              </w:rPr>
              <w:t>风险预警（MVP通过后扩展）</w:t>
            </w:r>
          </w:p>
        </w:tc>
        <w:tc>
          <w:tcPr>
            <w:tcW w:w="3118" w:type="dxa"/>
            <w:vAlign w:val="center"/>
          </w:tcPr>
          <w:p w14:paraId="4071D6C2">
            <w:pPr>
              <w:spacing w:after="0" w:line="264" w:lineRule="auto"/>
            </w:pPr>
            <w:r>
              <w:rPr>
                <w:rFonts w:ascii="宋体" w:hAnsi="宋体" w:eastAsia="宋体"/>
                <w:sz w:val="17"/>
              </w:rPr>
              <w:t>维修证据＋动态使用</w:t>
            </w:r>
          </w:p>
        </w:tc>
        <w:tc>
          <w:tcPr>
            <w:tcW w:w="3061" w:type="dxa"/>
            <w:vAlign w:val="center"/>
          </w:tcPr>
          <w:p w14:paraId="09495497">
            <w:pPr>
              <w:spacing w:after="0" w:line="264" w:lineRule="auto"/>
            </w:pPr>
            <w:r>
              <w:rPr>
                <w:rFonts w:ascii="宋体" w:hAnsi="宋体" w:eastAsia="宋体"/>
                <w:sz w:val="17"/>
              </w:rPr>
              <w:t>改表、事故疑似、履历断点等标签</w:t>
            </w:r>
          </w:p>
        </w:tc>
        <w:tc>
          <w:tcPr>
            <w:tcW w:w="2098" w:type="dxa"/>
            <w:vAlign w:val="center"/>
          </w:tcPr>
          <w:p w14:paraId="63996AD3">
            <w:pPr>
              <w:spacing w:after="0" w:line="264" w:lineRule="auto"/>
            </w:pPr>
            <w:r>
              <w:rPr>
                <w:rFonts w:ascii="宋体" w:hAnsi="宋体" w:eastAsia="宋体"/>
                <w:sz w:val="17"/>
              </w:rPr>
              <w:t>车商、平台</w:t>
            </w:r>
          </w:p>
        </w:tc>
      </w:tr>
      <w:tr w14:paraId="62EE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F89746C">
            <w:pPr>
              <w:spacing w:after="0" w:line="264" w:lineRule="auto"/>
            </w:pPr>
            <w:r>
              <w:rPr>
                <w:rFonts w:ascii="宋体" w:hAnsi="宋体" w:eastAsia="宋体"/>
                <w:sz w:val="17"/>
              </w:rPr>
              <w:t>维修必要性（独立单场景POC）</w:t>
            </w:r>
          </w:p>
        </w:tc>
        <w:tc>
          <w:tcPr>
            <w:tcW w:w="3118" w:type="dxa"/>
            <w:vAlign w:val="center"/>
          </w:tcPr>
          <w:p w14:paraId="1FCEB7EA">
            <w:pPr>
              <w:spacing w:after="0" w:line="264" w:lineRule="auto"/>
            </w:pPr>
            <w:r>
              <w:rPr>
                <w:rFonts w:ascii="宋体" w:hAnsi="宋体" w:eastAsia="宋体"/>
                <w:sz w:val="17"/>
              </w:rPr>
              <w:t>故障、检测、配件、报价、复修</w:t>
            </w:r>
          </w:p>
        </w:tc>
        <w:tc>
          <w:tcPr>
            <w:tcW w:w="3061" w:type="dxa"/>
            <w:vAlign w:val="center"/>
          </w:tcPr>
          <w:p w14:paraId="69D92623">
            <w:pPr>
              <w:spacing w:after="0" w:line="264" w:lineRule="auto"/>
            </w:pPr>
            <w:r>
              <w:rPr>
                <w:rFonts w:ascii="宋体" w:hAnsi="宋体" w:eastAsia="宋体"/>
                <w:sz w:val="17"/>
              </w:rPr>
              <w:t>四级建议、证据摘要</w:t>
            </w:r>
          </w:p>
        </w:tc>
        <w:tc>
          <w:tcPr>
            <w:tcW w:w="2098" w:type="dxa"/>
            <w:vAlign w:val="center"/>
          </w:tcPr>
          <w:p w14:paraId="79CE0564">
            <w:pPr>
              <w:spacing w:after="0" w:line="264" w:lineRule="auto"/>
            </w:pPr>
            <w:r>
              <w:rPr>
                <w:rFonts w:ascii="宋体" w:hAnsi="宋体" w:eastAsia="宋体"/>
                <w:sz w:val="17"/>
              </w:rPr>
              <w:t>维修连锁、保险</w:t>
            </w:r>
          </w:p>
        </w:tc>
      </w:tr>
      <w:tr w14:paraId="06AA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5FD8BD2">
            <w:pPr>
              <w:spacing w:after="0" w:line="264" w:lineRule="auto"/>
            </w:pPr>
            <w:r>
              <w:rPr>
                <w:rFonts w:ascii="宋体" w:hAnsi="宋体" w:eastAsia="宋体"/>
                <w:sz w:val="17"/>
              </w:rPr>
              <w:t>交易凭证（随已复核结果生成）</w:t>
            </w:r>
          </w:p>
        </w:tc>
        <w:tc>
          <w:tcPr>
            <w:tcW w:w="3118" w:type="dxa"/>
            <w:vAlign w:val="center"/>
          </w:tcPr>
          <w:p w14:paraId="637D4DC0">
            <w:pPr>
              <w:spacing w:after="0" w:line="264" w:lineRule="auto"/>
            </w:pPr>
            <w:r>
              <w:rPr>
                <w:rFonts w:ascii="宋体" w:hAnsi="宋体" w:eastAsia="宋体"/>
                <w:sz w:val="17"/>
              </w:rPr>
              <w:t>核验结果、双方确认、时间戳</w:t>
            </w:r>
          </w:p>
        </w:tc>
        <w:tc>
          <w:tcPr>
            <w:tcW w:w="3061" w:type="dxa"/>
            <w:vAlign w:val="center"/>
          </w:tcPr>
          <w:p w14:paraId="47D2B114">
            <w:pPr>
              <w:spacing w:after="0" w:line="264" w:lineRule="auto"/>
            </w:pPr>
            <w:r>
              <w:rPr>
                <w:rFonts w:ascii="宋体" w:hAnsi="宋体" w:eastAsia="宋体"/>
                <w:sz w:val="17"/>
              </w:rPr>
              <w:t>可验证凭证、复核入口</w:t>
            </w:r>
          </w:p>
        </w:tc>
        <w:tc>
          <w:tcPr>
            <w:tcW w:w="2098" w:type="dxa"/>
            <w:vAlign w:val="center"/>
          </w:tcPr>
          <w:p w14:paraId="035A9825">
            <w:pPr>
              <w:spacing w:after="0" w:line="264" w:lineRule="auto"/>
            </w:pPr>
            <w:r>
              <w:rPr>
                <w:rFonts w:ascii="宋体" w:hAnsi="宋体" w:eastAsia="宋体"/>
                <w:sz w:val="17"/>
              </w:rPr>
              <w:t>车商、买家</w:t>
            </w:r>
          </w:p>
        </w:tc>
      </w:tr>
    </w:tbl>
    <w:p w14:paraId="5CE5EA3D">
      <w:pPr>
        <w:spacing w:after="20"/>
      </w:pPr>
    </w:p>
    <w:p w14:paraId="692189B4">
      <w:pPr>
        <w:spacing w:before="120" w:after="100"/>
      </w:pPr>
      <w:r>
        <w:rPr>
          <w:rFonts w:ascii="宋体" w:hAnsi="宋体" w:eastAsia="宋体"/>
          <w:b/>
          <w:sz w:val="23"/>
        </w:rPr>
        <w:t>6.3 验证指标与数据采集</w:t>
      </w:r>
    </w:p>
    <w:p w14:paraId="27E516A2">
      <w:pPr>
        <w:spacing w:after="100" w:line="324" w:lineRule="auto"/>
        <w:ind w:firstLine="420"/>
      </w:pPr>
      <w:r>
        <w:rPr>
          <w:rFonts w:ascii="宋体" w:hAnsi="宋体" w:eastAsia="宋体"/>
          <w:sz w:val="21"/>
        </w:rPr>
        <w:t>验证指标按阶段收敛，不在技术POC同时追求全部业务结果。POC先检查对象匹配、授权校验、结果复现、响应时间和日志完整；单场景试点再比较人工复核一致率、处理耗时和争议变化；形成真实调用后才评估付费率、转订阅率和单位毛利。每项指标必须注明分母、样本范围、时间窗口、现行流程基线、目标值和失败回退动作；未经真实成交或复核反馈验证的指标只作为过程指标。</w:t>
      </w:r>
    </w:p>
    <w:p w14:paraId="7C3916C2">
      <w:pPr>
        <w:spacing w:after="100" w:line="324" w:lineRule="auto"/>
        <w:ind w:firstLine="420"/>
      </w:pPr>
      <w:r>
        <w:rPr>
          <w:rFonts w:ascii="宋体" w:hAnsi="宋体" w:eastAsia="宋体"/>
          <w:sz w:val="21"/>
        </w:rPr>
        <w:t>对照验证优先于单独报告模型指标。同一批车辆分别由现行人工流程和结果服务判断，比较收车退回、报价调整、复核耗时和争议；维修建议与技师结论对照，后装触达在具备条件时使用对照组评估增量。合规硬门槛要求无授权调用为零，技术硬门槛要求任务可回放和日志完整，业务门槛要求至少在时间、成本或争议中形成可测改善；具体数值由试点前基线测量确定。</w:t>
      </w:r>
    </w:p>
    <w:p w14:paraId="6AD6FA8F">
      <w:pPr>
        <w:spacing w:after="100" w:line="324" w:lineRule="auto"/>
        <w:ind w:firstLine="420"/>
      </w:pPr>
      <w:r>
        <w:rPr>
          <w:rFonts w:ascii="宋体" w:hAnsi="宋体" w:eastAsia="宋体"/>
          <w:sz w:val="21"/>
        </w:rPr>
        <w:t>阶段通过采用“继续、回退或终止”判断，门槛在试点开始前根据现行流程基线确定。技术POC至少检验授权零越界、任务可复现、日志可回放和响应成本；单场景试点比较对象匹配、人工复核一致性、处理时长和单位成本，并取得真实使用与价格讨论记录；跨场景阶段检验授权复用、对账和争议是否引入新的失控风险。技术可运行但客户不采用时调整交付形式，复核成本高于基线时缩减字段和结果等级，没有付费意愿时重新测试定价；任一硬门槛不满足即停止扩展并回退至对应环节。</w:t>
      </w:r>
    </w:p>
    <w:p w14:paraId="1B98FC60">
      <w:pPr>
        <w:spacing w:after="100" w:line="324" w:lineRule="auto"/>
        <w:ind w:firstLine="420"/>
      </w:pPr>
      <w:r>
        <w:rPr>
          <w:rFonts w:ascii="宋体" w:hAnsi="宋体" w:eastAsia="宋体"/>
          <w:sz w:val="21"/>
        </w:rPr>
        <w:t>试点记录至少包括任务编号、客户类型、样本来源、字段覆盖、模型版本、人工结论、客户反馈、调用次数、单位成本和费用状态。技术POC、业务试用和付费验证分别统计，车辆核验、维修事件与触达任务也不合并成功率。分开记录能够识别失败来自技术、产品还是商业条件，避免用总体平均掩盖某一场景失效。</w:t>
      </w:r>
    </w:p>
    <w:p w14:paraId="40BBE662">
      <w:pPr>
        <w:spacing w:before="120" w:after="100"/>
      </w:pPr>
      <w:r>
        <w:rPr>
          <w:rFonts w:ascii="宋体" w:hAnsi="宋体" w:eastAsia="宋体"/>
          <w:b/>
          <w:sz w:val="23"/>
        </w:rPr>
        <w:t>6.4 分阶段验证计划（技术POC→单场景→跨场景）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2766"/>
        <w:gridCol w:w="3124"/>
        <w:gridCol w:w="2151"/>
      </w:tblGrid>
      <w:tr w14:paraId="0EB7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B9D9356">
            <w:r>
              <w:rPr>
                <w:rFonts w:ascii="宋体" w:hAnsi="宋体" w:eastAsia="宋体"/>
                <w:b/>
                <w:sz w:val="18"/>
              </w:rPr>
              <w:t>阶段</w:t>
            </w:r>
          </w:p>
        </w:tc>
        <w:tc>
          <w:tcPr>
            <w:tcW w:w="3005" w:type="dxa"/>
            <w:vAlign w:val="center"/>
          </w:tcPr>
          <w:p w14:paraId="4B991514">
            <w:r>
              <w:rPr>
                <w:rFonts w:ascii="宋体" w:hAnsi="宋体" w:eastAsia="宋体"/>
                <w:b/>
                <w:sz w:val="18"/>
              </w:rPr>
              <w:t>进入条件</w:t>
            </w:r>
          </w:p>
        </w:tc>
        <w:tc>
          <w:tcPr>
            <w:tcW w:w="3402" w:type="dxa"/>
            <w:vAlign w:val="center"/>
          </w:tcPr>
          <w:p w14:paraId="39A62883">
            <w:r>
              <w:rPr>
                <w:rFonts w:ascii="宋体" w:hAnsi="宋体" w:eastAsia="宋体"/>
                <w:b/>
                <w:sz w:val="18"/>
              </w:rPr>
              <w:t>重点工作</w:t>
            </w:r>
          </w:p>
        </w:tc>
        <w:tc>
          <w:tcPr>
            <w:tcW w:w="2324" w:type="dxa"/>
            <w:vAlign w:val="center"/>
          </w:tcPr>
          <w:p w14:paraId="6103C477">
            <w:r>
              <w:rPr>
                <w:rFonts w:ascii="宋体" w:hAnsi="宋体" w:eastAsia="宋体"/>
                <w:b/>
                <w:sz w:val="18"/>
              </w:rPr>
              <w:t>通过/回退条件</w:t>
            </w:r>
          </w:p>
        </w:tc>
      </w:tr>
      <w:tr w14:paraId="1253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8BF9B9">
            <w:pPr>
              <w:spacing w:after="0" w:line="264" w:lineRule="auto"/>
            </w:pPr>
            <w:r>
              <w:rPr>
                <w:rFonts w:ascii="宋体" w:hAnsi="宋体" w:eastAsia="宋体"/>
                <w:sz w:val="17"/>
              </w:rPr>
              <w:t>技术 POC</w:t>
            </w:r>
          </w:p>
        </w:tc>
        <w:tc>
          <w:tcPr>
            <w:tcW w:w="3005" w:type="dxa"/>
            <w:vAlign w:val="center"/>
          </w:tcPr>
          <w:p w14:paraId="2D09F633">
            <w:pPr>
              <w:spacing w:after="0" w:line="264" w:lineRule="auto"/>
            </w:pPr>
            <w:r>
              <w:rPr>
                <w:rFonts w:ascii="宋体" w:hAnsi="宋体" w:eastAsia="宋体"/>
                <w:sz w:val="17"/>
              </w:rPr>
              <w:t>样本授权、字段字典可用</w:t>
            </w:r>
          </w:p>
        </w:tc>
        <w:tc>
          <w:tcPr>
            <w:tcW w:w="3402" w:type="dxa"/>
            <w:vAlign w:val="center"/>
          </w:tcPr>
          <w:p w14:paraId="1524F02B">
            <w:pPr>
              <w:spacing w:after="0" w:line="264" w:lineRule="auto"/>
            </w:pPr>
            <w:r>
              <w:rPr>
                <w:rFonts w:ascii="宋体" w:hAnsi="宋体" w:eastAsia="宋体"/>
                <w:sz w:val="17"/>
              </w:rPr>
              <w:t>跑通对象映射、规则和日志</w:t>
            </w:r>
          </w:p>
        </w:tc>
        <w:tc>
          <w:tcPr>
            <w:tcW w:w="2324" w:type="dxa"/>
            <w:vAlign w:val="center"/>
          </w:tcPr>
          <w:p w14:paraId="64B68996">
            <w:pPr>
              <w:spacing w:after="0" w:line="264" w:lineRule="auto"/>
            </w:pPr>
            <w:r>
              <w:rPr>
                <w:rFonts w:ascii="宋体" w:hAnsi="宋体" w:eastAsia="宋体"/>
                <w:sz w:val="17"/>
              </w:rPr>
              <w:t>授权零越界，复现率、日志完整率和响应成本达到POC前目标；否则退回接入与治理</w:t>
            </w:r>
          </w:p>
        </w:tc>
      </w:tr>
      <w:tr w14:paraId="3006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825AB48">
            <w:pPr>
              <w:spacing w:after="0" w:line="264" w:lineRule="auto"/>
            </w:pPr>
            <w:r>
              <w:rPr>
                <w:rFonts w:ascii="宋体" w:hAnsi="宋体" w:eastAsia="宋体"/>
                <w:sz w:val="17"/>
              </w:rPr>
              <w:t>单场景试点</w:t>
            </w:r>
          </w:p>
        </w:tc>
        <w:tc>
          <w:tcPr>
            <w:tcW w:w="3005" w:type="dxa"/>
            <w:vAlign w:val="center"/>
          </w:tcPr>
          <w:p w14:paraId="64B23075">
            <w:pPr>
              <w:spacing w:after="0" w:line="264" w:lineRule="auto"/>
            </w:pPr>
            <w:r>
              <w:rPr>
                <w:rFonts w:ascii="宋体" w:hAnsi="宋体" w:eastAsia="宋体"/>
                <w:sz w:val="17"/>
              </w:rPr>
              <w:t>POC指标达标</w:t>
            </w:r>
          </w:p>
        </w:tc>
        <w:tc>
          <w:tcPr>
            <w:tcW w:w="3402" w:type="dxa"/>
            <w:vAlign w:val="center"/>
          </w:tcPr>
          <w:p w14:paraId="5555F0EE">
            <w:pPr>
              <w:spacing w:after="0" w:line="264" w:lineRule="auto"/>
            </w:pPr>
            <w:r>
              <w:rPr>
                <w:rFonts w:ascii="宋体" w:hAnsi="宋体" w:eastAsia="宋体"/>
                <w:sz w:val="17"/>
              </w:rPr>
              <w:t>车商里程核验、维修判断</w:t>
            </w:r>
          </w:p>
        </w:tc>
        <w:tc>
          <w:tcPr>
            <w:tcW w:w="2324" w:type="dxa"/>
            <w:vAlign w:val="center"/>
          </w:tcPr>
          <w:p w14:paraId="2610AD02">
            <w:pPr>
              <w:spacing w:after="0" w:line="264" w:lineRule="auto"/>
            </w:pPr>
            <w:r>
              <w:rPr>
                <w:rFonts w:ascii="宋体" w:hAnsi="宋体" w:eastAsia="宋体"/>
                <w:sz w:val="17"/>
              </w:rPr>
              <w:t>匹配率、复核一致性、处理时长和单位成本优于或达到试点前基线，并形成价格讨论；否则调整产品或规则</w:t>
            </w:r>
          </w:p>
        </w:tc>
      </w:tr>
      <w:tr w14:paraId="1CBE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048B53">
            <w:pPr>
              <w:spacing w:after="0" w:line="264" w:lineRule="auto"/>
            </w:pPr>
            <w:r>
              <w:rPr>
                <w:rFonts w:ascii="宋体" w:hAnsi="宋体" w:eastAsia="宋体"/>
                <w:sz w:val="17"/>
              </w:rPr>
              <w:t>跨场景联动</w:t>
            </w:r>
          </w:p>
        </w:tc>
        <w:tc>
          <w:tcPr>
            <w:tcW w:w="3005" w:type="dxa"/>
            <w:vAlign w:val="center"/>
          </w:tcPr>
          <w:p w14:paraId="378A0B18">
            <w:pPr>
              <w:spacing w:after="0" w:line="264" w:lineRule="auto"/>
            </w:pPr>
            <w:r>
              <w:rPr>
                <w:rFonts w:ascii="宋体" w:hAnsi="宋体" w:eastAsia="宋体"/>
                <w:sz w:val="17"/>
              </w:rPr>
              <w:t>单场景有付费意愿</w:t>
            </w:r>
          </w:p>
        </w:tc>
        <w:tc>
          <w:tcPr>
            <w:tcW w:w="3402" w:type="dxa"/>
            <w:vAlign w:val="center"/>
          </w:tcPr>
          <w:p w14:paraId="086DA0BC">
            <w:pPr>
              <w:spacing w:after="0" w:line="264" w:lineRule="auto"/>
            </w:pPr>
            <w:r>
              <w:rPr>
                <w:rFonts w:ascii="宋体" w:hAnsi="宋体" w:eastAsia="宋体"/>
                <w:sz w:val="17"/>
              </w:rPr>
              <w:t>风险预警、维修防骗、触达联动</w:t>
            </w:r>
          </w:p>
        </w:tc>
        <w:tc>
          <w:tcPr>
            <w:tcW w:w="2324" w:type="dxa"/>
            <w:vAlign w:val="center"/>
          </w:tcPr>
          <w:p w14:paraId="7D4B1024">
            <w:pPr>
              <w:spacing w:after="0" w:line="264" w:lineRule="auto"/>
            </w:pPr>
            <w:r>
              <w:rPr>
                <w:rFonts w:ascii="宋体" w:hAnsi="宋体" w:eastAsia="宋体"/>
                <w:sz w:val="17"/>
              </w:rPr>
              <w:t>对象与授权可复用、计费可复算、无新增重大争议；任一硬门槛失败即停止扩展</w:t>
            </w:r>
          </w:p>
        </w:tc>
      </w:tr>
    </w:tbl>
    <w:p w14:paraId="0D88F9C2">
      <w:pPr>
        <w:spacing w:after="20"/>
      </w:pPr>
    </w:p>
    <w:p w14:paraId="29196D89">
      <w:pPr>
        <w:spacing w:before="200" w:after="100"/>
      </w:pPr>
      <w:r>
        <w:rPr>
          <w:rFonts w:ascii="宋体" w:hAnsi="宋体" w:eastAsia="宋体"/>
          <w:b/>
          <w:sz w:val="30"/>
        </w:rPr>
        <w:t>第七章 空间运营规范设计</w:t>
      </w:r>
    </w:p>
    <w:p w14:paraId="10DC2278">
      <w:pPr>
        <w:spacing w:before="120" w:after="100"/>
      </w:pPr>
      <w:r>
        <w:rPr>
          <w:rFonts w:ascii="宋体" w:hAnsi="宋体" w:eastAsia="宋体"/>
          <w:b/>
          <w:sz w:val="23"/>
        </w:rPr>
        <w:t>7.1 运营主体与角色分工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2824"/>
        <w:gridCol w:w="2986"/>
        <w:gridCol w:w="2287"/>
      </w:tblGrid>
      <w:tr w14:paraId="3429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2648DC5">
            <w:r>
              <w:rPr>
                <w:rFonts w:ascii="宋体" w:hAnsi="宋体" w:eastAsia="宋体"/>
                <w:b/>
                <w:sz w:val="18"/>
              </w:rPr>
              <w:t>主体</w:t>
            </w:r>
          </w:p>
        </w:tc>
        <w:tc>
          <w:tcPr>
            <w:tcW w:w="2948" w:type="dxa"/>
            <w:vAlign w:val="center"/>
          </w:tcPr>
          <w:p w14:paraId="45D30155">
            <w:r>
              <w:rPr>
                <w:rFonts w:ascii="宋体" w:hAnsi="宋体" w:eastAsia="宋体"/>
                <w:b/>
                <w:sz w:val="18"/>
              </w:rPr>
              <w:t>可运营范围</w:t>
            </w:r>
          </w:p>
        </w:tc>
        <w:tc>
          <w:tcPr>
            <w:tcW w:w="3118" w:type="dxa"/>
            <w:vAlign w:val="center"/>
          </w:tcPr>
          <w:p w14:paraId="7482487A">
            <w:r>
              <w:rPr>
                <w:rFonts w:ascii="宋体" w:hAnsi="宋体" w:eastAsia="宋体"/>
                <w:b/>
                <w:sz w:val="18"/>
              </w:rPr>
              <w:t>不可触碰范围</w:t>
            </w:r>
          </w:p>
        </w:tc>
        <w:tc>
          <w:tcPr>
            <w:tcW w:w="2381" w:type="dxa"/>
            <w:vAlign w:val="center"/>
          </w:tcPr>
          <w:p w14:paraId="79018F46">
            <w:r>
              <w:rPr>
                <w:rFonts w:ascii="宋体" w:hAnsi="宋体" w:eastAsia="宋体"/>
                <w:b/>
                <w:sz w:val="18"/>
              </w:rPr>
              <w:t>主要责任</w:t>
            </w:r>
          </w:p>
        </w:tc>
      </w:tr>
      <w:tr w14:paraId="04C6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587" w:type="dxa"/>
            <w:vAlign w:val="center"/>
          </w:tcPr>
          <w:p w14:paraId="687B3E4A">
            <w:pPr>
              <w:spacing w:after="0" w:line="264" w:lineRule="auto"/>
            </w:pPr>
            <w:r>
              <w:rPr>
                <w:rFonts w:ascii="宋体" w:hAnsi="宋体" w:eastAsia="宋体"/>
                <w:sz w:val="17"/>
              </w:rPr>
              <w:t>明睿</w:t>
            </w:r>
          </w:p>
        </w:tc>
        <w:tc>
          <w:tcPr>
            <w:tcW w:w="2948" w:type="dxa"/>
            <w:vAlign w:val="center"/>
          </w:tcPr>
          <w:p w14:paraId="243AD032">
            <w:pPr>
              <w:spacing w:after="0" w:line="264" w:lineRule="auto"/>
            </w:pPr>
            <w:r>
              <w:rPr>
                <w:rFonts w:ascii="宋体" w:hAnsi="宋体" w:eastAsia="宋体"/>
                <w:sz w:val="17"/>
              </w:rPr>
              <w:t>维修、诊断、检测、配件、估值证据</w:t>
            </w:r>
          </w:p>
        </w:tc>
        <w:tc>
          <w:tcPr>
            <w:tcW w:w="3118" w:type="dxa"/>
            <w:vAlign w:val="center"/>
          </w:tcPr>
          <w:p w14:paraId="4251C77B">
            <w:pPr>
              <w:spacing w:after="0" w:line="264" w:lineRule="auto"/>
            </w:pPr>
            <w:r>
              <w:rPr>
                <w:rFonts w:ascii="宋体" w:hAnsi="宋体" w:eastAsia="宋体"/>
                <w:sz w:val="17"/>
              </w:rPr>
              <w:t>联通原始通信标识和位置轨迹</w:t>
            </w:r>
          </w:p>
        </w:tc>
        <w:tc>
          <w:tcPr>
            <w:tcW w:w="2381" w:type="dxa"/>
            <w:vAlign w:val="center"/>
          </w:tcPr>
          <w:p w14:paraId="796F4419">
            <w:pPr>
              <w:spacing w:after="0" w:line="264" w:lineRule="auto"/>
            </w:pPr>
            <w:r>
              <w:rPr>
                <w:rFonts w:ascii="宋体" w:hAnsi="宋体" w:eastAsia="宋体"/>
                <w:sz w:val="17"/>
              </w:rPr>
              <w:t>来源、字段、质量、版本</w:t>
            </w:r>
          </w:p>
        </w:tc>
      </w:tr>
      <w:tr w14:paraId="5E7C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2B7D952">
            <w:pPr>
              <w:spacing w:after="0" w:line="264" w:lineRule="auto"/>
            </w:pPr>
            <w:r>
              <w:rPr>
                <w:rFonts w:ascii="宋体" w:hAnsi="宋体" w:eastAsia="宋体"/>
                <w:sz w:val="17"/>
              </w:rPr>
              <w:t>联通</w:t>
            </w:r>
          </w:p>
        </w:tc>
        <w:tc>
          <w:tcPr>
            <w:tcW w:w="2948" w:type="dxa"/>
            <w:vAlign w:val="center"/>
          </w:tcPr>
          <w:p w14:paraId="04A06534">
            <w:pPr>
              <w:spacing w:after="0" w:line="264" w:lineRule="auto"/>
            </w:pPr>
            <w:r>
              <w:rPr>
                <w:rFonts w:ascii="宋体" w:hAnsi="宋体" w:eastAsia="宋体"/>
                <w:sz w:val="17"/>
              </w:rPr>
              <w:t>连接、动态行为、触达和标签能力</w:t>
            </w:r>
          </w:p>
        </w:tc>
        <w:tc>
          <w:tcPr>
            <w:tcW w:w="3118" w:type="dxa"/>
            <w:vAlign w:val="center"/>
          </w:tcPr>
          <w:p w14:paraId="36D39920">
            <w:pPr>
              <w:spacing w:after="0" w:line="264" w:lineRule="auto"/>
            </w:pPr>
            <w:r>
              <w:rPr>
                <w:rFonts w:ascii="宋体" w:hAnsi="宋体" w:eastAsia="宋体"/>
                <w:sz w:val="17"/>
              </w:rPr>
              <w:t>明睿工单明细和未授权车况数据</w:t>
            </w:r>
          </w:p>
        </w:tc>
        <w:tc>
          <w:tcPr>
            <w:tcW w:w="2381" w:type="dxa"/>
            <w:vAlign w:val="center"/>
          </w:tcPr>
          <w:p w14:paraId="47A5782F">
            <w:pPr>
              <w:spacing w:after="0" w:line="264" w:lineRule="auto"/>
            </w:pPr>
            <w:r>
              <w:rPr>
                <w:rFonts w:ascii="宋体" w:hAnsi="宋体" w:eastAsia="宋体"/>
                <w:sz w:val="17"/>
              </w:rPr>
              <w:t>连接、标签、授权、动态特征</w:t>
            </w:r>
          </w:p>
        </w:tc>
      </w:tr>
      <w:tr w14:paraId="7AD0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4F085F2">
            <w:pPr>
              <w:spacing w:after="0" w:line="264" w:lineRule="auto"/>
            </w:pPr>
            <w:r>
              <w:rPr>
                <w:rFonts w:ascii="宋体" w:hAnsi="宋体" w:eastAsia="宋体"/>
                <w:sz w:val="17"/>
              </w:rPr>
              <w:t>空间运营方</w:t>
            </w:r>
          </w:p>
        </w:tc>
        <w:tc>
          <w:tcPr>
            <w:tcW w:w="2948" w:type="dxa"/>
            <w:vAlign w:val="center"/>
          </w:tcPr>
          <w:p w14:paraId="53FABB98">
            <w:pPr>
              <w:spacing w:after="0" w:line="264" w:lineRule="auto"/>
            </w:pPr>
            <w:r>
              <w:rPr>
                <w:rFonts w:ascii="宋体" w:hAnsi="宋体" w:eastAsia="宋体"/>
                <w:sz w:val="17"/>
              </w:rPr>
              <w:t>目录、权限、任务、计费和审计</w:t>
            </w:r>
          </w:p>
        </w:tc>
        <w:tc>
          <w:tcPr>
            <w:tcW w:w="3118" w:type="dxa"/>
            <w:vAlign w:val="center"/>
          </w:tcPr>
          <w:p w14:paraId="12286DE3">
            <w:pPr>
              <w:spacing w:after="0" w:line="264" w:lineRule="auto"/>
            </w:pPr>
            <w:r>
              <w:rPr>
                <w:rFonts w:ascii="宋体" w:hAnsi="宋体" w:eastAsia="宋体"/>
                <w:sz w:val="17"/>
              </w:rPr>
              <w:t>未经授权读取原始明细</w:t>
            </w:r>
          </w:p>
        </w:tc>
        <w:tc>
          <w:tcPr>
            <w:tcW w:w="2381" w:type="dxa"/>
            <w:vAlign w:val="center"/>
          </w:tcPr>
          <w:p w14:paraId="637E2A53">
            <w:pPr>
              <w:spacing w:after="0" w:line="264" w:lineRule="auto"/>
            </w:pPr>
            <w:r>
              <w:rPr>
                <w:rFonts w:ascii="宋体" w:hAnsi="宋体" w:eastAsia="宋体"/>
                <w:sz w:val="17"/>
              </w:rPr>
              <w:t>准入、留痕、交付、结算</w:t>
            </w:r>
          </w:p>
        </w:tc>
      </w:tr>
      <w:tr w14:paraId="752D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48C01AB">
            <w:pPr>
              <w:spacing w:after="0" w:line="264" w:lineRule="auto"/>
            </w:pPr>
            <w:r>
              <w:rPr>
                <w:rFonts w:ascii="宋体" w:hAnsi="宋体" w:eastAsia="宋体"/>
                <w:sz w:val="17"/>
              </w:rPr>
              <w:t>模型服务方</w:t>
            </w:r>
          </w:p>
        </w:tc>
        <w:tc>
          <w:tcPr>
            <w:tcW w:w="2948" w:type="dxa"/>
            <w:vAlign w:val="center"/>
          </w:tcPr>
          <w:p w14:paraId="6BAFF237">
            <w:pPr>
              <w:spacing w:after="0" w:line="264" w:lineRule="auto"/>
            </w:pPr>
            <w:r>
              <w:rPr>
                <w:rFonts w:ascii="宋体" w:hAnsi="宋体" w:eastAsia="宋体"/>
                <w:sz w:val="17"/>
              </w:rPr>
              <w:t>受控环境内的特征和模型计算</w:t>
            </w:r>
          </w:p>
        </w:tc>
        <w:tc>
          <w:tcPr>
            <w:tcW w:w="3118" w:type="dxa"/>
            <w:vAlign w:val="center"/>
          </w:tcPr>
          <w:p w14:paraId="14B5769A">
            <w:pPr>
              <w:spacing w:after="0" w:line="264" w:lineRule="auto"/>
            </w:pPr>
            <w:r>
              <w:rPr>
                <w:rFonts w:ascii="宋体" w:hAnsi="宋体" w:eastAsia="宋体"/>
                <w:sz w:val="17"/>
              </w:rPr>
              <w:t>复制、留存、对外出售原始数据</w:t>
            </w:r>
          </w:p>
        </w:tc>
        <w:tc>
          <w:tcPr>
            <w:tcW w:w="2381" w:type="dxa"/>
            <w:vAlign w:val="center"/>
          </w:tcPr>
          <w:p w14:paraId="4102B0E0">
            <w:pPr>
              <w:spacing w:after="0" w:line="264" w:lineRule="auto"/>
            </w:pPr>
            <w:r>
              <w:rPr>
                <w:rFonts w:ascii="宋体" w:hAnsi="宋体" w:eastAsia="宋体"/>
                <w:sz w:val="17"/>
              </w:rPr>
              <w:t>版本、指标、复核边界</w:t>
            </w:r>
          </w:p>
        </w:tc>
      </w:tr>
      <w:tr w14:paraId="0125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73580D3">
            <w:pPr>
              <w:spacing w:after="0" w:line="264" w:lineRule="auto"/>
            </w:pPr>
            <w:r>
              <w:rPr>
                <w:rFonts w:ascii="宋体" w:hAnsi="宋体" w:eastAsia="宋体"/>
                <w:sz w:val="17"/>
              </w:rPr>
              <w:t>场景使用方</w:t>
            </w:r>
          </w:p>
        </w:tc>
        <w:tc>
          <w:tcPr>
            <w:tcW w:w="2948" w:type="dxa"/>
            <w:vAlign w:val="center"/>
          </w:tcPr>
          <w:p w14:paraId="7C64B2D8">
            <w:pPr>
              <w:spacing w:after="0" w:line="264" w:lineRule="auto"/>
            </w:pPr>
            <w:r>
              <w:rPr>
                <w:rFonts w:ascii="宋体" w:hAnsi="宋体" w:eastAsia="宋体"/>
                <w:sz w:val="17"/>
              </w:rPr>
              <w:t>授权结果、报告和接口</w:t>
            </w:r>
          </w:p>
        </w:tc>
        <w:tc>
          <w:tcPr>
            <w:tcW w:w="3118" w:type="dxa"/>
            <w:vAlign w:val="center"/>
          </w:tcPr>
          <w:p w14:paraId="4111C84B">
            <w:pPr>
              <w:spacing w:after="0" w:line="264" w:lineRule="auto"/>
            </w:pPr>
            <w:r>
              <w:rPr>
                <w:rFonts w:ascii="宋体" w:hAnsi="宋体" w:eastAsia="宋体"/>
                <w:sz w:val="17"/>
              </w:rPr>
              <w:t>再识别、超范围再利用</w:t>
            </w:r>
          </w:p>
        </w:tc>
        <w:tc>
          <w:tcPr>
            <w:tcW w:w="2381" w:type="dxa"/>
            <w:vAlign w:val="center"/>
          </w:tcPr>
          <w:p w14:paraId="1662A322">
            <w:pPr>
              <w:spacing w:after="0" w:line="264" w:lineRule="auto"/>
            </w:pPr>
            <w:r>
              <w:rPr>
                <w:rFonts w:ascii="宋体" w:hAnsi="宋体" w:eastAsia="宋体"/>
                <w:sz w:val="17"/>
              </w:rPr>
              <w:t>用途、反馈、争议配合</w:t>
            </w:r>
          </w:p>
        </w:tc>
      </w:tr>
    </w:tbl>
    <w:p w14:paraId="4A4883CA">
      <w:pPr>
        <w:spacing w:after="20"/>
      </w:pPr>
    </w:p>
    <w:p w14:paraId="14CD7EAF">
      <w:pPr>
        <w:spacing w:before="120" w:after="100"/>
      </w:pPr>
      <w:r>
        <w:rPr>
          <w:rFonts w:ascii="宋体" w:hAnsi="宋体" w:eastAsia="宋体"/>
          <w:b/>
          <w:sz w:val="23"/>
        </w:rPr>
        <w:t>7.2 数据接入/审核/发布/撮合/交付/计费全流程规范</w:t>
      </w:r>
    </w:p>
    <w:p w14:paraId="3ACDB0EB">
      <w:pPr>
        <w:spacing w:after="100" w:line="324" w:lineRule="auto"/>
        <w:ind w:firstLine="420"/>
      </w:pPr>
      <w:r>
        <w:rPr>
          <w:rFonts w:ascii="宋体" w:hAnsi="宋体" w:eastAsia="宋体"/>
          <w:sz w:val="21"/>
        </w:rPr>
        <w:t>运营采用数据目录、能力目录和结果目录分离，而不使用一个总目录。数据目录说明资源与限制，能力目录说明可执行任务，结果目录说明交付等级与价格；三类对象的审核责任和更新频率不同，分离后才能在不开放原始数据的情况下撮合服务。主体准入、字段映射、授权核验和安全测试构成接入门槛，任务编号进一步固定用途、字段白名单、模型版本、输出形态和保留期限。</w:t>
      </w:r>
    </w:p>
    <w:p w14:paraId="288D21FD">
      <w:pPr>
        <w:spacing w:after="100" w:line="324" w:lineRule="auto"/>
        <w:ind w:firstLine="420"/>
      </w:pPr>
      <w:r>
        <w:rPr>
          <w:rFonts w:ascii="宋体" w:hAnsi="宋体" w:eastAsia="宋体"/>
          <w:sz w:val="21"/>
        </w:rPr>
        <w:t>计费方式由使用频率、结果标准化程度和人工复核成本决定：低频单车任务按次计费，稳定批量任务按车量或调用量计费，持续看板在服务内容和月度用量稳定后转订阅。每笔费用必须能够由调用、结果等级、复核工时和价格版本复算；无法复算或存在授权、质量、模型异常时，中止交付并冻结计费。</w:t>
      </w:r>
    </w:p>
    <w:p w14:paraId="47759841">
      <w:pPr>
        <w:spacing w:after="100" w:line="324" w:lineRule="auto"/>
        <w:ind w:firstLine="420"/>
      </w:pPr>
      <w:r>
        <w:rPr>
          <w:rFonts w:ascii="宋体" w:hAnsi="宋体" w:eastAsia="宋体"/>
          <w:sz w:val="21"/>
        </w:rPr>
        <w:t>运营看板应至少显示接入成功率、质量退回率、任务平均耗时、人工复核占比、结果撤回数、客户调用次数和争议关闭时间。指标与责任主体绑定，才能区分数据质量问题、模型问题、接口问题和客户使用问题。</w:t>
      </w:r>
    </w:p>
    <w:p w14:paraId="004E0CEB">
      <w:pPr>
        <w:spacing w:after="100" w:line="324" w:lineRule="auto"/>
        <w:ind w:firstLine="420"/>
      </w:pPr>
      <w:r>
        <w:rPr>
          <w:rFonts w:ascii="宋体" w:hAnsi="宋体" w:eastAsia="宋体"/>
          <w:sz w:val="21"/>
        </w:rPr>
        <w:t>运营方还需维护客户和数据的双向台账。客户台账记录场景、联系人、试点车辆、调用频率、复核意见和付费状态；数据台账记录来源主体、授权、版本、质量、可用服务和退出状态。两张台账通过任务编号关联，能够支持客户投诉、收益清分和资源撤回。</w:t>
      </w:r>
    </w:p>
    <w:p w14:paraId="5C622B97">
      <w:pPr>
        <w:spacing w:before="120" w:after="100"/>
      </w:pPr>
      <w:r>
        <w:rPr>
          <w:rFonts w:ascii="宋体" w:hAnsi="宋体" w:eastAsia="宋体"/>
          <w:b/>
          <w:sz w:val="23"/>
        </w:rPr>
        <w:t>7.3 准入退出、纠纷仲裁与安全审计机制</w:t>
      </w:r>
    </w:p>
    <w:p w14:paraId="5EBE1B88">
      <w:pPr>
        <w:spacing w:after="100" w:line="324" w:lineRule="auto"/>
        <w:ind w:firstLine="420"/>
      </w:pPr>
      <w:r>
        <w:rPr>
          <w:rFonts w:ascii="宋体" w:hAnsi="宋体" w:eastAsia="宋体"/>
          <w:sz w:val="21"/>
        </w:rPr>
        <w:t>准入与审计采用风险分级，而非所有任务使用同一强度。主体信用、字段敏感度、外发范围和历史异常共同决定可调用字段、结果形态、审计频率与人工复核要求；低风险标准结果可自动交付，高风险任务只允许受控计算。退出时撤销权限、停止新任务并完成对账；越权、授权失效或证据冲突时自动冻结，按来源、授权、质量、模型版本和存证回放后方可恢复。</w:t>
      </w:r>
    </w:p>
    <w:p w14:paraId="01D79509">
      <w:pPr>
        <w:spacing w:after="100" w:line="324" w:lineRule="auto"/>
        <w:ind w:firstLine="420"/>
      </w:pPr>
      <w:r>
        <w:rPr>
          <w:rFonts w:ascii="宋体" w:hAnsi="宋体" w:eastAsia="宋体"/>
          <w:sz w:val="21"/>
        </w:rPr>
        <w:t>纠纷处理中，结果冻结不等于删除记录。系统应保留争议版本、复核材料和责任判断，并在修正后标记原结果状态。涉及个人信息、敏感轨迹或高风险模型的事件，应提高审计等级并限制扩散范围；重复发生的异常进入准入评分和退出评估。</w:t>
      </w:r>
    </w:p>
    <w:p w14:paraId="622702C1">
      <w:pPr>
        <w:spacing w:before="200" w:after="100"/>
      </w:pPr>
      <w:r>
        <w:rPr>
          <w:rFonts w:ascii="宋体" w:hAnsi="宋体" w:eastAsia="宋体"/>
          <w:b/>
          <w:sz w:val="30"/>
        </w:rPr>
        <w:t>第八章 收益分配与投入产出分析</w:t>
      </w:r>
    </w:p>
    <w:p w14:paraId="200CA08A">
      <w:pPr>
        <w:spacing w:before="120" w:after="100"/>
      </w:pPr>
      <w:r>
        <w:rPr>
          <w:rFonts w:ascii="宋体" w:hAnsi="宋体" w:eastAsia="宋体"/>
          <w:b/>
          <w:sz w:val="23"/>
        </w:rPr>
        <w:t>8.1 营收模式</w:t>
      </w:r>
    </w:p>
    <w:p w14:paraId="655D7C67">
      <w:pPr>
        <w:spacing w:after="100" w:line="324" w:lineRule="auto"/>
        <w:ind w:firstLine="420"/>
      </w:pPr>
      <w:r>
        <w:rPr>
          <w:rFonts w:ascii="宋体" w:hAnsi="宋体" w:eastAsia="宋体"/>
          <w:sz w:val="21"/>
        </w:rPr>
        <w:t>营收以结果服务为核心，早期优先采用按次或按批收费，以验证单次价值、单位成本和客户付款意愿；当调用频率稳定、交付内容标准化且客户预算按周期管理时，再转为订阅。联合建模与专项治理具有较高沟通和运维成本，按项目收费；只有业务结果能够归因且反馈链完整时，才考虑效果分成。原始数据不作为直接出售对象。</w:t>
      </w:r>
    </w:p>
    <w:p w14:paraId="6DF16182">
      <w:pPr>
        <w:spacing w:after="100" w:line="324" w:lineRule="auto"/>
        <w:ind w:firstLine="420"/>
      </w:pPr>
      <w:r>
        <w:rPr>
          <w:rFonts w:ascii="宋体" w:hAnsi="宋体" w:eastAsia="宋体"/>
          <w:sz w:val="21"/>
        </w:rPr>
        <w:t>前期咨询材料提出查询、报告、模型和生态服务的分层价值（来源：《车主生态数据融合咨询报告》，2026年5月），但服务升级不能由概念层级直接推导。试点价格先以客户当前核验成本、结果带来的损失减少和单次交付成本形成区间，再由访谈、样本试算和首批订单校准。缺少调用量、回款和续用记录时，不将咨询预测写成收入承诺。</w:t>
      </w:r>
    </w:p>
    <w:p w14:paraId="65F450FD">
      <w:pPr>
        <w:spacing w:after="100" w:line="324" w:lineRule="auto"/>
        <w:ind w:firstLine="420"/>
      </w:pPr>
      <w:r>
        <w:rPr>
          <w:rFonts w:ascii="宋体" w:hAnsi="宋体" w:eastAsia="宋体"/>
          <w:sz w:val="21"/>
        </w:rPr>
        <w:t>价格分层对应可核算的成本差异：标准核验交付风险等级和证据摘要，增强核验增加动态特征与人工复核，批量服务增加接口、看板和版本管理，联合建模计入项目周期与计算资源。每种模式记录客户数、调用量、客单价、交付成本、续用率和回款周期；价格变化同步调整服务等级、收益分配和客户承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843"/>
        <w:gridCol w:w="2402"/>
        <w:gridCol w:w="2301"/>
      </w:tblGrid>
      <w:tr w14:paraId="453F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B0862C0">
            <w:r>
              <w:rPr>
                <w:rFonts w:ascii="宋体" w:hAnsi="宋体" w:eastAsia="宋体"/>
                <w:b/>
                <w:sz w:val="18"/>
              </w:rPr>
              <w:t>计费对象</w:t>
            </w:r>
          </w:p>
        </w:tc>
        <w:tc>
          <w:tcPr>
            <w:tcW w:w="2948" w:type="dxa"/>
            <w:vAlign w:val="center"/>
          </w:tcPr>
          <w:p w14:paraId="75B0B69F">
            <w:r>
              <w:rPr>
                <w:rFonts w:ascii="宋体" w:hAnsi="宋体" w:eastAsia="宋体"/>
                <w:b/>
                <w:sz w:val="18"/>
              </w:rPr>
              <w:t>目标客户</w:t>
            </w:r>
          </w:p>
        </w:tc>
        <w:tc>
          <w:tcPr>
            <w:tcW w:w="2494" w:type="dxa"/>
            <w:vAlign w:val="center"/>
          </w:tcPr>
          <w:p w14:paraId="0352C502">
            <w:r>
              <w:rPr>
                <w:rFonts w:ascii="宋体" w:hAnsi="宋体" w:eastAsia="宋体"/>
                <w:b/>
                <w:sz w:val="18"/>
              </w:rPr>
              <w:t>试点方式</w:t>
            </w:r>
          </w:p>
        </w:tc>
        <w:tc>
          <w:tcPr>
            <w:tcW w:w="2381" w:type="dxa"/>
            <w:vAlign w:val="center"/>
          </w:tcPr>
          <w:p w14:paraId="16BF1201">
            <w:r>
              <w:rPr>
                <w:rFonts w:ascii="宋体" w:hAnsi="宋体" w:eastAsia="宋体"/>
                <w:b/>
                <w:sz w:val="18"/>
              </w:rPr>
              <w:t>验证重点</w:t>
            </w:r>
          </w:p>
        </w:tc>
      </w:tr>
      <w:tr w14:paraId="46EF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6B493DF">
            <w:pPr>
              <w:spacing w:after="0" w:line="264" w:lineRule="auto"/>
            </w:pPr>
            <w:r>
              <w:rPr>
                <w:rFonts w:ascii="宋体" w:hAnsi="宋体" w:eastAsia="宋体"/>
                <w:sz w:val="17"/>
              </w:rPr>
              <w:t>单车里程核验</w:t>
            </w:r>
          </w:p>
        </w:tc>
        <w:tc>
          <w:tcPr>
            <w:tcW w:w="2948" w:type="dxa"/>
            <w:vAlign w:val="center"/>
          </w:tcPr>
          <w:p w14:paraId="7683088B">
            <w:pPr>
              <w:spacing w:after="0" w:line="264" w:lineRule="auto"/>
            </w:pPr>
            <w:r>
              <w:rPr>
                <w:rFonts w:ascii="宋体" w:hAnsi="宋体" w:eastAsia="宋体"/>
                <w:sz w:val="17"/>
              </w:rPr>
              <w:t>中小车商、检测机构</w:t>
            </w:r>
          </w:p>
        </w:tc>
        <w:tc>
          <w:tcPr>
            <w:tcW w:w="2494" w:type="dxa"/>
            <w:vAlign w:val="center"/>
          </w:tcPr>
          <w:p w14:paraId="2E3F168A">
            <w:pPr>
              <w:spacing w:after="0" w:line="264" w:lineRule="auto"/>
            </w:pPr>
            <w:r>
              <w:rPr>
                <w:rFonts w:ascii="宋体" w:hAnsi="宋体" w:eastAsia="宋体"/>
                <w:sz w:val="17"/>
              </w:rPr>
              <w:t>按次或包量</w:t>
            </w:r>
          </w:p>
        </w:tc>
        <w:tc>
          <w:tcPr>
            <w:tcW w:w="2381" w:type="dxa"/>
            <w:vAlign w:val="center"/>
          </w:tcPr>
          <w:p w14:paraId="744B3DC2">
            <w:pPr>
              <w:spacing w:after="0" w:line="264" w:lineRule="auto"/>
            </w:pPr>
            <w:r>
              <w:rPr>
                <w:rFonts w:ascii="宋体" w:hAnsi="宋体" w:eastAsia="宋体"/>
                <w:sz w:val="17"/>
              </w:rPr>
              <w:t>复购与付费率</w:t>
            </w:r>
          </w:p>
        </w:tc>
      </w:tr>
      <w:tr w14:paraId="0059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321B3A0">
            <w:pPr>
              <w:spacing w:after="0" w:line="264" w:lineRule="auto"/>
            </w:pPr>
            <w:r>
              <w:rPr>
                <w:rFonts w:ascii="宋体" w:hAnsi="宋体" w:eastAsia="宋体"/>
                <w:sz w:val="17"/>
              </w:rPr>
              <w:t>风险预警/车况卡</w:t>
            </w:r>
          </w:p>
        </w:tc>
        <w:tc>
          <w:tcPr>
            <w:tcW w:w="2948" w:type="dxa"/>
            <w:vAlign w:val="center"/>
          </w:tcPr>
          <w:p w14:paraId="3C3C75AF">
            <w:pPr>
              <w:spacing w:after="0" w:line="264" w:lineRule="auto"/>
            </w:pPr>
            <w:r>
              <w:rPr>
                <w:rFonts w:ascii="宋体" w:hAnsi="宋体" w:eastAsia="宋体"/>
                <w:sz w:val="17"/>
              </w:rPr>
              <w:t>车商、平台、金融</w:t>
            </w:r>
          </w:p>
        </w:tc>
        <w:tc>
          <w:tcPr>
            <w:tcW w:w="2494" w:type="dxa"/>
            <w:vAlign w:val="center"/>
          </w:tcPr>
          <w:p w14:paraId="7B1058D8">
            <w:pPr>
              <w:spacing w:after="0" w:line="264" w:lineRule="auto"/>
            </w:pPr>
            <w:r>
              <w:rPr>
                <w:rFonts w:ascii="宋体" w:hAnsi="宋体" w:eastAsia="宋体"/>
                <w:sz w:val="17"/>
              </w:rPr>
              <w:t>按车或接口</w:t>
            </w:r>
          </w:p>
        </w:tc>
        <w:tc>
          <w:tcPr>
            <w:tcW w:w="2381" w:type="dxa"/>
            <w:vAlign w:val="center"/>
          </w:tcPr>
          <w:p w14:paraId="3D0B693E">
            <w:pPr>
              <w:spacing w:after="0" w:line="264" w:lineRule="auto"/>
            </w:pPr>
            <w:r>
              <w:rPr>
                <w:rFonts w:ascii="宋体" w:hAnsi="宋体" w:eastAsia="宋体"/>
                <w:sz w:val="17"/>
              </w:rPr>
              <w:t>误报、采用率</w:t>
            </w:r>
          </w:p>
        </w:tc>
      </w:tr>
      <w:tr w14:paraId="4F14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CB34178">
            <w:pPr>
              <w:spacing w:after="0" w:line="264" w:lineRule="auto"/>
            </w:pPr>
            <w:r>
              <w:rPr>
                <w:rFonts w:ascii="宋体" w:hAnsi="宋体" w:eastAsia="宋体"/>
                <w:sz w:val="17"/>
              </w:rPr>
              <w:t>维修必要性报告</w:t>
            </w:r>
          </w:p>
        </w:tc>
        <w:tc>
          <w:tcPr>
            <w:tcW w:w="2948" w:type="dxa"/>
            <w:vAlign w:val="center"/>
          </w:tcPr>
          <w:p w14:paraId="70C08FB1">
            <w:pPr>
              <w:spacing w:after="0" w:line="264" w:lineRule="auto"/>
            </w:pPr>
            <w:r>
              <w:rPr>
                <w:rFonts w:ascii="宋体" w:hAnsi="宋体" w:eastAsia="宋体"/>
                <w:sz w:val="17"/>
              </w:rPr>
              <w:t>维修连锁、保险</w:t>
            </w:r>
          </w:p>
        </w:tc>
        <w:tc>
          <w:tcPr>
            <w:tcW w:w="2494" w:type="dxa"/>
            <w:vAlign w:val="center"/>
          </w:tcPr>
          <w:p w14:paraId="74005F08">
            <w:pPr>
              <w:spacing w:after="0" w:line="264" w:lineRule="auto"/>
            </w:pPr>
            <w:r>
              <w:rPr>
                <w:rFonts w:ascii="宋体" w:hAnsi="宋体" w:eastAsia="宋体"/>
                <w:sz w:val="17"/>
              </w:rPr>
              <w:t>按报告/订阅</w:t>
            </w:r>
          </w:p>
        </w:tc>
        <w:tc>
          <w:tcPr>
            <w:tcW w:w="2381" w:type="dxa"/>
            <w:vAlign w:val="center"/>
          </w:tcPr>
          <w:p w14:paraId="695EF465">
            <w:pPr>
              <w:spacing w:after="0" w:line="264" w:lineRule="auto"/>
            </w:pPr>
            <w:r>
              <w:rPr>
                <w:rFonts w:ascii="宋体" w:hAnsi="宋体" w:eastAsia="宋体"/>
                <w:sz w:val="17"/>
              </w:rPr>
              <w:t>复核一致率</w:t>
            </w:r>
          </w:p>
        </w:tc>
      </w:tr>
      <w:tr w14:paraId="5216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46CC9F1">
            <w:pPr>
              <w:spacing w:after="0" w:line="264" w:lineRule="auto"/>
            </w:pPr>
            <w:r>
              <w:rPr>
                <w:rFonts w:ascii="宋体" w:hAnsi="宋体" w:eastAsia="宋体"/>
                <w:sz w:val="17"/>
              </w:rPr>
              <w:t>标签与质控订阅</w:t>
            </w:r>
          </w:p>
        </w:tc>
        <w:tc>
          <w:tcPr>
            <w:tcW w:w="2948" w:type="dxa"/>
            <w:vAlign w:val="center"/>
          </w:tcPr>
          <w:p w14:paraId="56EEA30E">
            <w:pPr>
              <w:spacing w:after="0" w:line="264" w:lineRule="auto"/>
            </w:pPr>
            <w:r>
              <w:rPr>
                <w:rFonts w:ascii="宋体" w:hAnsi="宋体" w:eastAsia="宋体"/>
                <w:sz w:val="17"/>
              </w:rPr>
              <w:t>后装品牌、门店</w:t>
            </w:r>
          </w:p>
        </w:tc>
        <w:tc>
          <w:tcPr>
            <w:tcW w:w="2494" w:type="dxa"/>
            <w:vAlign w:val="center"/>
          </w:tcPr>
          <w:p w14:paraId="159BF97E">
            <w:pPr>
              <w:spacing w:after="0" w:line="264" w:lineRule="auto"/>
            </w:pPr>
            <w:r>
              <w:rPr>
                <w:rFonts w:ascii="宋体" w:hAnsi="宋体" w:eastAsia="宋体"/>
                <w:sz w:val="17"/>
              </w:rPr>
              <w:t>按月/按调用</w:t>
            </w:r>
          </w:p>
        </w:tc>
        <w:tc>
          <w:tcPr>
            <w:tcW w:w="2381" w:type="dxa"/>
            <w:vAlign w:val="center"/>
          </w:tcPr>
          <w:p w14:paraId="3FEC5228">
            <w:pPr>
              <w:spacing w:after="0" w:line="264" w:lineRule="auto"/>
            </w:pPr>
            <w:r>
              <w:rPr>
                <w:rFonts w:ascii="宋体" w:hAnsi="宋体" w:eastAsia="宋体"/>
                <w:sz w:val="17"/>
              </w:rPr>
              <w:t>增量转化、退订率</w:t>
            </w:r>
          </w:p>
        </w:tc>
      </w:tr>
    </w:tbl>
    <w:p w14:paraId="09627178">
      <w:pPr>
        <w:spacing w:after="20"/>
      </w:pPr>
    </w:p>
    <w:p w14:paraId="3A10B373">
      <w:pPr>
        <w:spacing w:before="120" w:after="100"/>
      </w:pPr>
      <w:r>
        <w:rPr>
          <w:rFonts w:ascii="宋体" w:hAnsi="宋体" w:eastAsia="宋体"/>
          <w:b/>
          <w:sz w:val="23"/>
        </w:rPr>
        <w:t>8.2 收益分配机制</w:t>
      </w:r>
    </w:p>
    <w:p w14:paraId="57C49140">
      <w:pPr>
        <w:spacing w:after="100" w:line="324" w:lineRule="auto"/>
        <w:ind w:firstLine="420"/>
      </w:pPr>
      <w:r>
        <w:rPr>
          <w:rFonts w:ascii="宋体" w:hAnsi="宋体" w:eastAsia="宋体"/>
          <w:sz w:val="21"/>
        </w:rPr>
        <w:t>收益分配不以原始数据量设定固定比例，而以可核验调用、模型增益、维护工时、运营成本和渠道转化形成初始权重。明睿的维修、诊断和检测证据在车况与维修服务中贡献较高，联通的连接、动态行为和触达能力在预警与营销服务中贡献较高；具体比例在结算周期结束后按记录复核。风险责任不作为正向加分项，而通过扣减、保证金或争议准备金体现，避免形成责任越高收益越高的激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2694"/>
        <w:gridCol w:w="2685"/>
        <w:gridCol w:w="2585"/>
      </w:tblGrid>
      <w:tr w14:paraId="1F5F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65B88BF">
            <w:r>
              <w:rPr>
                <w:rFonts w:ascii="宋体" w:hAnsi="宋体" w:eastAsia="宋体"/>
                <w:b/>
                <w:sz w:val="18"/>
              </w:rPr>
              <w:t>场景</w:t>
            </w:r>
          </w:p>
        </w:tc>
        <w:tc>
          <w:tcPr>
            <w:tcW w:w="2948" w:type="dxa"/>
            <w:vAlign w:val="center"/>
          </w:tcPr>
          <w:p w14:paraId="46E917DE">
            <w:r>
              <w:rPr>
                <w:rFonts w:ascii="宋体" w:hAnsi="宋体" w:eastAsia="宋体"/>
                <w:b/>
                <w:sz w:val="18"/>
              </w:rPr>
              <w:t>明睿贡献</w:t>
            </w:r>
          </w:p>
        </w:tc>
        <w:tc>
          <w:tcPr>
            <w:tcW w:w="2948" w:type="dxa"/>
            <w:vAlign w:val="center"/>
          </w:tcPr>
          <w:p w14:paraId="44767469">
            <w:r>
              <w:rPr>
                <w:rFonts w:ascii="宋体" w:hAnsi="宋体" w:eastAsia="宋体"/>
                <w:b/>
                <w:sz w:val="18"/>
              </w:rPr>
              <w:t>联通贡献</w:t>
            </w:r>
          </w:p>
        </w:tc>
        <w:tc>
          <w:tcPr>
            <w:tcW w:w="2835" w:type="dxa"/>
            <w:vAlign w:val="center"/>
          </w:tcPr>
          <w:p w14:paraId="0D557563">
            <w:r>
              <w:rPr>
                <w:rFonts w:ascii="宋体" w:hAnsi="宋体" w:eastAsia="宋体"/>
                <w:b/>
                <w:sz w:val="18"/>
              </w:rPr>
              <w:t>动态调整依据</w:t>
            </w:r>
          </w:p>
        </w:tc>
      </w:tr>
      <w:tr w14:paraId="3830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40654C5">
            <w:pPr>
              <w:spacing w:after="0" w:line="264" w:lineRule="auto"/>
            </w:pPr>
            <w:r>
              <w:rPr>
                <w:rFonts w:ascii="宋体" w:hAnsi="宋体" w:eastAsia="宋体"/>
                <w:sz w:val="17"/>
              </w:rPr>
              <w:t>里程核验</w:t>
            </w:r>
          </w:p>
        </w:tc>
        <w:tc>
          <w:tcPr>
            <w:tcW w:w="2948" w:type="dxa"/>
            <w:vAlign w:val="center"/>
          </w:tcPr>
          <w:p w14:paraId="6B7492AE">
            <w:pPr>
              <w:spacing w:after="0" w:line="264" w:lineRule="auto"/>
            </w:pPr>
            <w:r>
              <w:rPr>
                <w:rFonts w:ascii="宋体" w:hAnsi="宋体" w:eastAsia="宋体"/>
                <w:sz w:val="17"/>
              </w:rPr>
              <w:t>工单、OBD、检测、估值时点</w:t>
            </w:r>
          </w:p>
        </w:tc>
        <w:tc>
          <w:tcPr>
            <w:tcW w:w="2948" w:type="dxa"/>
            <w:vAlign w:val="center"/>
          </w:tcPr>
          <w:p w14:paraId="5B26920D">
            <w:pPr>
              <w:spacing w:after="0" w:line="264" w:lineRule="auto"/>
            </w:pPr>
            <w:r>
              <w:rPr>
                <w:rFonts w:ascii="宋体" w:hAnsi="宋体" w:eastAsia="宋体"/>
                <w:sz w:val="17"/>
              </w:rPr>
              <w:t>连接活跃、停驶与使用冲突</w:t>
            </w:r>
          </w:p>
        </w:tc>
        <w:tc>
          <w:tcPr>
            <w:tcW w:w="2835" w:type="dxa"/>
            <w:vAlign w:val="center"/>
          </w:tcPr>
          <w:p w14:paraId="2829FC1C">
            <w:pPr>
              <w:spacing w:after="0" w:line="264" w:lineRule="auto"/>
            </w:pPr>
            <w:r>
              <w:rPr>
                <w:rFonts w:ascii="宋体" w:hAnsi="宋体" w:eastAsia="宋体"/>
                <w:sz w:val="17"/>
              </w:rPr>
              <w:t>异常更依赖哪一侧证据</w:t>
            </w:r>
          </w:p>
        </w:tc>
      </w:tr>
      <w:tr w14:paraId="0151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0F55014">
            <w:pPr>
              <w:spacing w:after="0" w:line="264" w:lineRule="auto"/>
            </w:pPr>
            <w:r>
              <w:rPr>
                <w:rFonts w:ascii="宋体" w:hAnsi="宋体" w:eastAsia="宋体"/>
                <w:sz w:val="17"/>
              </w:rPr>
              <w:t>风险预警</w:t>
            </w:r>
          </w:p>
        </w:tc>
        <w:tc>
          <w:tcPr>
            <w:tcW w:w="2948" w:type="dxa"/>
            <w:vAlign w:val="center"/>
          </w:tcPr>
          <w:p w14:paraId="505BCE22">
            <w:pPr>
              <w:spacing w:after="0" w:line="264" w:lineRule="auto"/>
            </w:pPr>
            <w:r>
              <w:rPr>
                <w:rFonts w:ascii="宋体" w:hAnsi="宋体" w:eastAsia="宋体"/>
                <w:sz w:val="17"/>
              </w:rPr>
              <w:t>维修与车况证据</w:t>
            </w:r>
          </w:p>
        </w:tc>
        <w:tc>
          <w:tcPr>
            <w:tcW w:w="2948" w:type="dxa"/>
            <w:vAlign w:val="center"/>
          </w:tcPr>
          <w:p w14:paraId="793571C5">
            <w:pPr>
              <w:spacing w:after="0" w:line="264" w:lineRule="auto"/>
            </w:pPr>
            <w:r>
              <w:rPr>
                <w:rFonts w:ascii="宋体" w:hAnsi="宋体" w:eastAsia="宋体"/>
                <w:sz w:val="17"/>
              </w:rPr>
              <w:t>动态行为与标签</w:t>
            </w:r>
          </w:p>
        </w:tc>
        <w:tc>
          <w:tcPr>
            <w:tcW w:w="2835" w:type="dxa"/>
            <w:vAlign w:val="center"/>
          </w:tcPr>
          <w:p w14:paraId="15496919">
            <w:pPr>
              <w:spacing w:after="0" w:line="264" w:lineRule="auto"/>
            </w:pPr>
            <w:r>
              <w:rPr>
                <w:rFonts w:ascii="宋体" w:hAnsi="宋体" w:eastAsia="宋体"/>
                <w:sz w:val="17"/>
              </w:rPr>
              <w:t>预警增益、复核责任</w:t>
            </w:r>
          </w:p>
        </w:tc>
      </w:tr>
      <w:tr w14:paraId="7CF8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567E36B">
            <w:pPr>
              <w:spacing w:after="0" w:line="264" w:lineRule="auto"/>
            </w:pPr>
            <w:r>
              <w:rPr>
                <w:rFonts w:ascii="宋体" w:hAnsi="宋体" w:eastAsia="宋体"/>
                <w:sz w:val="17"/>
              </w:rPr>
              <w:t>维修判断</w:t>
            </w:r>
          </w:p>
        </w:tc>
        <w:tc>
          <w:tcPr>
            <w:tcW w:w="2948" w:type="dxa"/>
            <w:vAlign w:val="center"/>
          </w:tcPr>
          <w:p w14:paraId="531383EA">
            <w:pPr>
              <w:spacing w:after="0" w:line="264" w:lineRule="auto"/>
            </w:pPr>
            <w:r>
              <w:rPr>
                <w:rFonts w:ascii="宋体" w:hAnsi="宋体" w:eastAsia="宋体"/>
                <w:sz w:val="17"/>
              </w:rPr>
              <w:t>故障、配件、复修记录</w:t>
            </w:r>
          </w:p>
        </w:tc>
        <w:tc>
          <w:tcPr>
            <w:tcW w:w="2948" w:type="dxa"/>
            <w:vAlign w:val="center"/>
          </w:tcPr>
          <w:p w14:paraId="57CA496C">
            <w:pPr>
              <w:spacing w:after="0" w:line="264" w:lineRule="auto"/>
            </w:pPr>
            <w:r>
              <w:rPr>
                <w:rFonts w:ascii="宋体" w:hAnsi="宋体" w:eastAsia="宋体"/>
                <w:sz w:val="17"/>
              </w:rPr>
              <w:t>使用强度和触达反馈</w:t>
            </w:r>
          </w:p>
        </w:tc>
        <w:tc>
          <w:tcPr>
            <w:tcW w:w="2835" w:type="dxa"/>
            <w:vAlign w:val="center"/>
          </w:tcPr>
          <w:p w14:paraId="6B31F880">
            <w:pPr>
              <w:spacing w:after="0" w:line="264" w:lineRule="auto"/>
            </w:pPr>
            <w:r>
              <w:rPr>
                <w:rFonts w:ascii="宋体" w:hAnsi="宋体" w:eastAsia="宋体"/>
                <w:sz w:val="17"/>
              </w:rPr>
              <w:t>必要性一致率、客户价值</w:t>
            </w:r>
          </w:p>
        </w:tc>
      </w:tr>
      <w:tr w14:paraId="76A6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31E0D17">
            <w:pPr>
              <w:spacing w:after="0" w:line="264" w:lineRule="auto"/>
            </w:pPr>
            <w:r>
              <w:rPr>
                <w:rFonts w:ascii="宋体" w:hAnsi="宋体" w:eastAsia="宋体"/>
                <w:sz w:val="17"/>
              </w:rPr>
              <w:t>后装触达</w:t>
            </w:r>
          </w:p>
        </w:tc>
        <w:tc>
          <w:tcPr>
            <w:tcW w:w="2948" w:type="dxa"/>
            <w:vAlign w:val="center"/>
          </w:tcPr>
          <w:p w14:paraId="107CA08A">
            <w:pPr>
              <w:spacing w:after="0" w:line="264" w:lineRule="auto"/>
            </w:pPr>
            <w:r>
              <w:rPr>
                <w:rFonts w:ascii="宋体" w:hAnsi="宋体" w:eastAsia="宋体"/>
                <w:sz w:val="17"/>
              </w:rPr>
              <w:t>车辆状态与保养周期</w:t>
            </w:r>
          </w:p>
        </w:tc>
        <w:tc>
          <w:tcPr>
            <w:tcW w:w="2948" w:type="dxa"/>
            <w:vAlign w:val="center"/>
          </w:tcPr>
          <w:p w14:paraId="5730D7D7">
            <w:pPr>
              <w:spacing w:after="0" w:line="264" w:lineRule="auto"/>
            </w:pPr>
            <w:r>
              <w:rPr>
                <w:rFonts w:ascii="宋体" w:hAnsi="宋体" w:eastAsia="宋体"/>
                <w:sz w:val="17"/>
              </w:rPr>
              <w:t>触达渠道与响应</w:t>
            </w:r>
          </w:p>
        </w:tc>
        <w:tc>
          <w:tcPr>
            <w:tcW w:w="2835" w:type="dxa"/>
            <w:vAlign w:val="center"/>
          </w:tcPr>
          <w:p w14:paraId="0F4C9A3F">
            <w:pPr>
              <w:spacing w:after="0" w:line="264" w:lineRule="auto"/>
            </w:pPr>
            <w:r>
              <w:rPr>
                <w:rFonts w:ascii="宋体" w:hAnsi="宋体" w:eastAsia="宋体"/>
                <w:sz w:val="17"/>
              </w:rPr>
              <w:t>增量转化、合规成本</w:t>
            </w:r>
          </w:p>
        </w:tc>
      </w:tr>
    </w:tbl>
    <w:p w14:paraId="001F7741">
      <w:pPr>
        <w:spacing w:after="20"/>
      </w:pPr>
    </w:p>
    <w:p w14:paraId="67296F83">
      <w:pPr>
        <w:spacing w:after="100" w:line="324" w:lineRule="auto"/>
        <w:ind w:firstLine="420"/>
      </w:pPr>
      <w:r>
        <w:rPr>
          <w:rFonts w:ascii="宋体" w:hAnsi="宋体" w:eastAsia="宋体"/>
          <w:sz w:val="21"/>
        </w:rPr>
        <w:t>分配前预留平台运维、审计和风险准备金。每笔结算必须回到调用记录、成本记录、贡献证据和争议状态；提供方对来源与授权负责，模型方对版本与输出负责，运营方对目录、计量与审计负责，使用方对用途与再利用负责。权重变化须由相关方确认并保留版本，不能把方案比例写成既定协议。</w:t>
      </w:r>
    </w:p>
    <w:p w14:paraId="021F9783">
      <w:pPr>
        <w:spacing w:before="120" w:after="100"/>
      </w:pPr>
      <w:r>
        <w:rPr>
          <w:rFonts w:ascii="宋体" w:hAnsi="宋体" w:eastAsia="宋体"/>
          <w:b/>
          <w:sz w:val="23"/>
        </w:rPr>
        <w:t>8.3 投入产出分析</w:t>
      </w:r>
    </w:p>
    <w:p w14:paraId="73FD92D1">
      <w:pPr>
        <w:spacing w:after="100" w:line="324" w:lineRule="auto"/>
        <w:ind w:firstLine="420"/>
      </w:pPr>
      <w:r>
        <w:rPr>
          <w:rFonts w:ascii="宋体" w:hAnsi="宋体" w:eastAsia="宋体"/>
          <w:sz w:val="21"/>
        </w:rPr>
        <w:t>投入产出采用自下而上测算，而不由市场总规模直接推算收入。固定建设覆盖接口、治理、模型与试点，月度运营覆盖云资源、人员、客服和审计，边际成本包含单次计算、接口与人工复核；收入由客户数、每客户调用量、单价和续费率计算。月度净收益＝月营收－月运营成本，月度净收益大于零时才计算回本周期；24个月ROI还需纳入获客、回款周期和坏账影响。</w:t>
      </w:r>
    </w:p>
    <w:p w14:paraId="4EB769EE">
      <w:pPr>
        <w:spacing w:after="100" w:line="324" w:lineRule="auto"/>
        <w:ind w:firstLine="420"/>
      </w:pPr>
      <w:r>
        <w:rPr>
          <w:rFonts w:ascii="宋体" w:hAnsi="宋体" w:eastAsia="宋体"/>
          <w:sz w:val="21"/>
        </w:rPr>
        <w:t>固定投入150万元、月运营成本12万元仅为示例假设，用于测试成本边界，不代表已发生投入或既定预算。保守、基准和扩展情景必须分别列明客户数、调用量、单价、人工复核比例和续费率；获得连续结算周期的真实调用、成本与回款后重新计算盈亏平衡调用量、月度现金流和回本区间。</w:t>
      </w:r>
    </w:p>
    <w:p w14:paraId="378800A9">
      <w:pPr>
        <w:spacing w:after="100" w:line="324" w:lineRule="auto"/>
        <w:ind w:firstLine="420"/>
      </w:pPr>
      <w:r>
        <w:rPr>
          <w:rFonts w:ascii="宋体" w:hAnsi="宋体" w:eastAsia="宋体"/>
          <w:sz w:val="21"/>
        </w:rPr>
        <w:t>敏感性分析至少改变调用量、单次价格、人工复核比例、接口维护成本和续费率，观察盈亏平衡点是否稳定。里程核验可以低单价、高频次承担获客入口；维修订阅只有在复核成本随标准化下降时才具有规模效应；后装触达出现退订或投诉上升时先调整授权与频控。任一情景月度净收益不为正，不表述为可以回本。</w:t>
      </w:r>
    </w:p>
    <w:p w14:paraId="317F2175">
      <w:pPr>
        <w:spacing w:after="100" w:line="324" w:lineRule="auto"/>
        <w:ind w:firstLine="420"/>
      </w:pPr>
      <w:r>
        <w:rPr>
          <w:rFonts w:ascii="宋体" w:hAnsi="宋体" w:eastAsia="宋体"/>
          <w:sz w:val="21"/>
        </w:rPr>
        <w:t>商业验证同时观察客户收益和项目现金流。车商错收是否减少、维修争议是否下降、保险核查是否缩短、后装是否产生增量转化，应换算为可核验的时间、成本或收入变化，并与服务价格比较。只有客户价值、单位贡献毛利和回款可持续同时成立，价格才具有续约基础。</w:t>
      </w:r>
    </w:p>
    <w:p w14:paraId="3E09D5A0">
      <w:pPr>
        <w:spacing w:after="100" w:line="324" w:lineRule="auto"/>
        <w:ind w:firstLine="420"/>
      </w:pPr>
      <w:r>
        <w:rPr>
          <w:rFonts w:ascii="宋体" w:hAnsi="宋体" w:eastAsia="宋体"/>
          <w:sz w:val="21"/>
        </w:rPr>
        <w:t>收益映射按场景分别计算，避免一套比例覆盖全部产品。明睿证据主要影响核验与维修结果，联通动态能力主要影响预警和触达增量，运营、模型与渠道方分别承担交付、版本和客户转化成本。分配权重以实际调用、模型消融或基线对照、工时和转化记录校准，不固定套用咨询材料中的比例建议（来源：《车主生态数据融合咨询报告》，2026年5月）。</w:t>
      </w:r>
    </w:p>
    <w:p w14:paraId="708A73FF">
      <w:pPr>
        <w:spacing w:before="200" w:after="100"/>
      </w:pPr>
      <w:r>
        <w:rPr>
          <w:rFonts w:ascii="宋体" w:hAnsi="宋体" w:eastAsia="宋体"/>
          <w:b/>
          <w:sz w:val="30"/>
        </w:rPr>
        <w:t>第九章 风险管理</w:t>
      </w:r>
    </w:p>
    <w:p w14:paraId="0E504871">
      <w:pPr>
        <w:spacing w:before="120" w:after="100"/>
      </w:pPr>
      <w:r>
        <w:rPr>
          <w:rFonts w:ascii="宋体" w:hAnsi="宋体" w:eastAsia="宋体"/>
          <w:b/>
          <w:sz w:val="23"/>
        </w:rPr>
        <w:t>9.1 风险范围</w:t>
      </w:r>
    </w:p>
    <w:p w14:paraId="76D6F2E5">
      <w:pPr>
        <w:spacing w:after="100" w:line="324" w:lineRule="auto"/>
        <w:ind w:firstLine="420"/>
      </w:pPr>
      <w:r>
        <w:rPr>
          <w:rFonts w:ascii="宋体" w:hAnsi="宋体" w:eastAsia="宋体"/>
          <w:sz w:val="21"/>
        </w:rPr>
        <w:t>风险不只按数据、模型、运营、商业、安全和合规分类，还以具体事件登记。每项事件记录触发信号、影响对象、责任主体、控制动作、残余风险和复盘期限。来源不明、授权失效、敏感信息外泄、越权调用和结果无法回放属于不可接受风险；模型偏差、服务中断、付费不足等风险则依据业务损失和恢复能力排序。</w:t>
      </w:r>
    </w:p>
    <w:p w14:paraId="10D2A38B">
      <w:pPr>
        <w:spacing w:before="120" w:after="100"/>
      </w:pPr>
      <w:r>
        <w:rPr>
          <w:rFonts w:ascii="宋体" w:hAnsi="宋体" w:eastAsia="宋体"/>
          <w:b/>
          <w:sz w:val="23"/>
        </w:rPr>
        <w:t>9.2 风险评估与分级</w:t>
      </w:r>
    </w:p>
    <w:p w14:paraId="4D7447A2">
      <w:pPr>
        <w:spacing w:after="100" w:line="324" w:lineRule="auto"/>
        <w:ind w:firstLine="420"/>
      </w:pPr>
      <w:r>
        <w:rPr>
          <w:rFonts w:ascii="宋体" w:hAnsi="宋体" w:eastAsia="宋体"/>
          <w:sz w:val="21"/>
        </w:rPr>
        <w:t>风险评分用于安排资源，不替代硬性判断。概率、影响、可探测性和恢复成本分别采用有明确定义的离散等级，并由历史事件、测试结果或业务—技术联合评审给出证据；低、中、高阈值在试点前校准，重大事件后复核。授权失效、越权调用、敏感信息外泄和结果无法回放实行一票否决，即使综合分值较低也立即停服。缺乏样本支撑时不设置看似精确的固定阈值。</w:t>
      </w:r>
    </w:p>
    <w:p w14:paraId="6364104A">
      <w:pPr>
        <w:spacing w:before="120" w:after="100"/>
      </w:pPr>
      <w:r>
        <w:rPr>
          <w:rFonts w:ascii="宋体" w:hAnsi="宋体" w:eastAsia="宋体"/>
          <w:b/>
          <w:sz w:val="23"/>
        </w:rPr>
        <w:t>9.3 风险控制机制</w:t>
      </w:r>
    </w:p>
    <w:p w14:paraId="436EC32C">
      <w:pPr>
        <w:spacing w:after="100" w:line="324" w:lineRule="auto"/>
        <w:ind w:firstLine="420"/>
      </w:pPr>
      <w:r>
        <w:rPr>
          <w:rFonts w:ascii="宋体" w:hAnsi="宋体" w:eastAsia="宋体"/>
          <w:sz w:val="21"/>
        </w:rPr>
        <w:t>控制强度由敏感度、外发范围、客户影响和恢复成本决定。低风险事件采用告警、限流和自动降级，中风险事件增加人工复核，高风险事件自动停服并保全证据。每项控制同时规定触发条件、执行责任、响应时限、恢复条件和有效性指标；模型漂移或证据覆盖下降时回退规则基线，授权失效、越权调用或来源不可证实时立即停止任务。</w:t>
      </w:r>
    </w:p>
    <w:p w14:paraId="1806A9F5">
      <w:pPr>
        <w:spacing w:after="100" w:line="324" w:lineRule="auto"/>
        <w:ind w:firstLine="420"/>
      </w:pPr>
      <w:r>
        <w:rPr>
          <w:rFonts w:ascii="宋体" w:hAnsi="宋体" w:eastAsia="宋体"/>
          <w:sz w:val="21"/>
        </w:rPr>
        <w:t>业务连续性方案只在结果仍具备有效期和责任边界时使用最近有效版本；接口中断时标注时效，数据停止更新时暂停相关模型，投诉集中时冻结受影响结果，供应商退出时撤销权限并归档证据。恢复后重新验证数据质量、授权状态和模型版本。告警命中率、冻结时延、回滚成功率、恢复时长和重复事件率用于判断控制措施是否有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2706"/>
        <w:gridCol w:w="2605"/>
        <w:gridCol w:w="2589"/>
      </w:tblGrid>
      <w:tr w14:paraId="29AC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6B1DAE9">
            <w:r>
              <w:rPr>
                <w:rFonts w:ascii="宋体" w:hAnsi="宋体" w:eastAsia="宋体"/>
                <w:b/>
                <w:sz w:val="18"/>
              </w:rPr>
              <w:t>风险事件</w:t>
            </w:r>
          </w:p>
        </w:tc>
        <w:tc>
          <w:tcPr>
            <w:tcW w:w="2948" w:type="dxa"/>
            <w:vAlign w:val="center"/>
          </w:tcPr>
          <w:p w14:paraId="29599915">
            <w:r>
              <w:rPr>
                <w:rFonts w:ascii="宋体" w:hAnsi="宋体" w:eastAsia="宋体"/>
                <w:b/>
                <w:sz w:val="18"/>
              </w:rPr>
              <w:t>触发信号</w:t>
            </w:r>
          </w:p>
        </w:tc>
        <w:tc>
          <w:tcPr>
            <w:tcW w:w="2835" w:type="dxa"/>
            <w:vAlign w:val="center"/>
          </w:tcPr>
          <w:p w14:paraId="66E41070">
            <w:r>
              <w:rPr>
                <w:rFonts w:ascii="宋体" w:hAnsi="宋体" w:eastAsia="宋体"/>
                <w:b/>
                <w:sz w:val="18"/>
              </w:rPr>
              <w:t>立即动作</w:t>
            </w:r>
          </w:p>
        </w:tc>
        <w:tc>
          <w:tcPr>
            <w:tcW w:w="2835" w:type="dxa"/>
            <w:vAlign w:val="center"/>
          </w:tcPr>
          <w:p w14:paraId="373C671B">
            <w:r>
              <w:rPr>
                <w:rFonts w:ascii="宋体" w:hAnsi="宋体" w:eastAsia="宋体"/>
                <w:b/>
                <w:sz w:val="18"/>
              </w:rPr>
              <w:t>恢复条件</w:t>
            </w:r>
          </w:p>
        </w:tc>
      </w:tr>
      <w:tr w14:paraId="2382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4AAD4BC">
            <w:pPr>
              <w:spacing w:after="0" w:line="264" w:lineRule="auto"/>
            </w:pPr>
            <w:r>
              <w:rPr>
                <w:rFonts w:ascii="宋体" w:hAnsi="宋体" w:eastAsia="宋体"/>
                <w:sz w:val="17"/>
              </w:rPr>
              <w:t>数据授权失效</w:t>
            </w:r>
          </w:p>
        </w:tc>
        <w:tc>
          <w:tcPr>
            <w:tcW w:w="2948" w:type="dxa"/>
            <w:vAlign w:val="center"/>
          </w:tcPr>
          <w:p w14:paraId="49043A9B">
            <w:pPr>
              <w:spacing w:after="0" w:line="264" w:lineRule="auto"/>
            </w:pPr>
            <w:r>
              <w:rPr>
                <w:rFonts w:ascii="宋体" w:hAnsi="宋体" w:eastAsia="宋体"/>
                <w:sz w:val="17"/>
              </w:rPr>
              <w:t>授权过期、用途变化</w:t>
            </w:r>
          </w:p>
        </w:tc>
        <w:tc>
          <w:tcPr>
            <w:tcW w:w="2835" w:type="dxa"/>
            <w:vAlign w:val="center"/>
          </w:tcPr>
          <w:p w14:paraId="5F05B3AE">
            <w:pPr>
              <w:spacing w:after="0" w:line="264" w:lineRule="auto"/>
            </w:pPr>
            <w:r>
              <w:rPr>
                <w:rFonts w:ascii="宋体" w:hAnsi="宋体" w:eastAsia="宋体"/>
                <w:sz w:val="17"/>
              </w:rPr>
              <w:t>暂停任务、冻结结果</w:t>
            </w:r>
          </w:p>
        </w:tc>
        <w:tc>
          <w:tcPr>
            <w:tcW w:w="2835" w:type="dxa"/>
            <w:vAlign w:val="center"/>
          </w:tcPr>
          <w:p w14:paraId="7135F50F">
            <w:pPr>
              <w:spacing w:after="0" w:line="264" w:lineRule="auto"/>
            </w:pPr>
            <w:r>
              <w:rPr>
                <w:rFonts w:ascii="宋体" w:hAnsi="宋体" w:eastAsia="宋体"/>
                <w:sz w:val="17"/>
              </w:rPr>
              <w:t>重新授权并完成影响评估</w:t>
            </w:r>
          </w:p>
        </w:tc>
      </w:tr>
      <w:tr w14:paraId="5DDE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4326E4E">
            <w:pPr>
              <w:spacing w:after="0" w:line="264" w:lineRule="auto"/>
            </w:pPr>
            <w:r>
              <w:rPr>
                <w:rFonts w:ascii="宋体" w:hAnsi="宋体" w:eastAsia="宋体"/>
                <w:sz w:val="17"/>
              </w:rPr>
              <w:t>对象匹配异常</w:t>
            </w:r>
          </w:p>
        </w:tc>
        <w:tc>
          <w:tcPr>
            <w:tcW w:w="2948" w:type="dxa"/>
            <w:vAlign w:val="center"/>
          </w:tcPr>
          <w:p w14:paraId="712F5E58">
            <w:pPr>
              <w:spacing w:after="0" w:line="264" w:lineRule="auto"/>
            </w:pPr>
            <w:r>
              <w:rPr>
                <w:rFonts w:ascii="宋体" w:hAnsi="宋体" w:eastAsia="宋体"/>
                <w:sz w:val="17"/>
              </w:rPr>
              <w:t>匹配率下降、冲突集中</w:t>
            </w:r>
          </w:p>
        </w:tc>
        <w:tc>
          <w:tcPr>
            <w:tcW w:w="2835" w:type="dxa"/>
            <w:vAlign w:val="center"/>
          </w:tcPr>
          <w:p w14:paraId="765B984F">
            <w:pPr>
              <w:spacing w:after="0" w:line="264" w:lineRule="auto"/>
            </w:pPr>
            <w:r>
              <w:rPr>
                <w:rFonts w:ascii="宋体" w:hAnsi="宋体" w:eastAsia="宋体"/>
                <w:sz w:val="17"/>
              </w:rPr>
              <w:t>降级为证据不足</w:t>
            </w:r>
          </w:p>
        </w:tc>
        <w:tc>
          <w:tcPr>
            <w:tcW w:w="2835" w:type="dxa"/>
            <w:vAlign w:val="center"/>
          </w:tcPr>
          <w:p w14:paraId="2C920730">
            <w:pPr>
              <w:spacing w:after="0" w:line="264" w:lineRule="auto"/>
            </w:pPr>
            <w:r>
              <w:rPr>
                <w:rFonts w:ascii="宋体" w:hAnsi="宋体" w:eastAsia="宋体"/>
                <w:sz w:val="17"/>
              </w:rPr>
              <w:t>修订映射规则并复核样本</w:t>
            </w:r>
          </w:p>
        </w:tc>
      </w:tr>
      <w:tr w14:paraId="66CB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7B62F60">
            <w:pPr>
              <w:spacing w:after="0" w:line="264" w:lineRule="auto"/>
            </w:pPr>
            <w:r>
              <w:rPr>
                <w:rFonts w:ascii="宋体" w:hAnsi="宋体" w:eastAsia="宋体"/>
                <w:sz w:val="17"/>
              </w:rPr>
              <w:t>模型漂移</w:t>
            </w:r>
          </w:p>
        </w:tc>
        <w:tc>
          <w:tcPr>
            <w:tcW w:w="2948" w:type="dxa"/>
            <w:vAlign w:val="center"/>
          </w:tcPr>
          <w:p w14:paraId="3144144C">
            <w:pPr>
              <w:spacing w:after="0" w:line="264" w:lineRule="auto"/>
            </w:pPr>
            <w:r>
              <w:rPr>
                <w:rFonts w:ascii="宋体" w:hAnsi="宋体" w:eastAsia="宋体"/>
                <w:sz w:val="17"/>
              </w:rPr>
              <w:t>误报或分层指标恶化</w:t>
            </w:r>
          </w:p>
        </w:tc>
        <w:tc>
          <w:tcPr>
            <w:tcW w:w="2835" w:type="dxa"/>
            <w:vAlign w:val="center"/>
          </w:tcPr>
          <w:p w14:paraId="7E35D435">
            <w:pPr>
              <w:spacing w:after="0" w:line="264" w:lineRule="auto"/>
            </w:pPr>
            <w:r>
              <w:rPr>
                <w:rFonts w:ascii="宋体" w:hAnsi="宋体" w:eastAsia="宋体"/>
                <w:sz w:val="17"/>
              </w:rPr>
              <w:t>回滚版本、增加人工复核</w:t>
            </w:r>
          </w:p>
        </w:tc>
        <w:tc>
          <w:tcPr>
            <w:tcW w:w="2835" w:type="dxa"/>
            <w:vAlign w:val="center"/>
          </w:tcPr>
          <w:p w14:paraId="5D5E2323">
            <w:pPr>
              <w:spacing w:after="0" w:line="264" w:lineRule="auto"/>
            </w:pPr>
            <w:r>
              <w:rPr>
                <w:rFonts w:ascii="宋体" w:hAnsi="宋体" w:eastAsia="宋体"/>
                <w:sz w:val="17"/>
              </w:rPr>
              <w:t>重新训练并通过分层评估</w:t>
            </w:r>
          </w:p>
        </w:tc>
      </w:tr>
      <w:tr w14:paraId="1139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2C1A748">
            <w:pPr>
              <w:spacing w:after="0" w:line="264" w:lineRule="auto"/>
            </w:pPr>
            <w:r>
              <w:rPr>
                <w:rFonts w:ascii="宋体" w:hAnsi="宋体" w:eastAsia="宋体"/>
                <w:sz w:val="17"/>
              </w:rPr>
              <w:t>越权或泄露</w:t>
            </w:r>
          </w:p>
        </w:tc>
        <w:tc>
          <w:tcPr>
            <w:tcW w:w="2948" w:type="dxa"/>
            <w:vAlign w:val="center"/>
          </w:tcPr>
          <w:p w14:paraId="3AC3FF40">
            <w:pPr>
              <w:spacing w:after="0" w:line="264" w:lineRule="auto"/>
            </w:pPr>
            <w:r>
              <w:rPr>
                <w:rFonts w:ascii="宋体" w:hAnsi="宋体" w:eastAsia="宋体"/>
                <w:sz w:val="17"/>
              </w:rPr>
              <w:t>异常下载、接口告警</w:t>
            </w:r>
          </w:p>
        </w:tc>
        <w:tc>
          <w:tcPr>
            <w:tcW w:w="2835" w:type="dxa"/>
            <w:vAlign w:val="center"/>
          </w:tcPr>
          <w:p w14:paraId="10136055">
            <w:pPr>
              <w:spacing w:after="0" w:line="264" w:lineRule="auto"/>
            </w:pPr>
            <w:r>
              <w:rPr>
                <w:rFonts w:ascii="宋体" w:hAnsi="宋体" w:eastAsia="宋体"/>
                <w:sz w:val="17"/>
              </w:rPr>
              <w:t>撤销权限、保全日志</w:t>
            </w:r>
          </w:p>
        </w:tc>
        <w:tc>
          <w:tcPr>
            <w:tcW w:w="2835" w:type="dxa"/>
            <w:vAlign w:val="center"/>
          </w:tcPr>
          <w:p w14:paraId="1CC0752E">
            <w:pPr>
              <w:spacing w:after="0" w:line="264" w:lineRule="auto"/>
            </w:pPr>
            <w:r>
              <w:rPr>
                <w:rFonts w:ascii="宋体" w:hAnsi="宋体" w:eastAsia="宋体"/>
                <w:sz w:val="17"/>
              </w:rPr>
              <w:t>完成安全排查和责任复核</w:t>
            </w:r>
          </w:p>
        </w:tc>
      </w:tr>
      <w:tr w14:paraId="22C9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22A77D3">
            <w:pPr>
              <w:spacing w:after="0" w:line="264" w:lineRule="auto"/>
            </w:pPr>
            <w:r>
              <w:rPr>
                <w:rFonts w:ascii="宋体" w:hAnsi="宋体" w:eastAsia="宋体"/>
                <w:sz w:val="17"/>
              </w:rPr>
              <w:t>客户争议集中</w:t>
            </w:r>
          </w:p>
        </w:tc>
        <w:tc>
          <w:tcPr>
            <w:tcW w:w="2948" w:type="dxa"/>
            <w:vAlign w:val="center"/>
          </w:tcPr>
          <w:p w14:paraId="6BF7653C">
            <w:pPr>
              <w:spacing w:after="0" w:line="264" w:lineRule="auto"/>
            </w:pPr>
            <w:r>
              <w:rPr>
                <w:rFonts w:ascii="宋体" w:hAnsi="宋体" w:eastAsia="宋体"/>
                <w:sz w:val="17"/>
              </w:rPr>
              <w:t>退订、投诉、复核不一致</w:t>
            </w:r>
          </w:p>
        </w:tc>
        <w:tc>
          <w:tcPr>
            <w:tcW w:w="2835" w:type="dxa"/>
            <w:vAlign w:val="center"/>
          </w:tcPr>
          <w:p w14:paraId="5F4D2DEF">
            <w:pPr>
              <w:spacing w:after="0" w:line="264" w:lineRule="auto"/>
            </w:pPr>
            <w:r>
              <w:rPr>
                <w:rFonts w:ascii="宋体" w:hAnsi="宋体" w:eastAsia="宋体"/>
                <w:sz w:val="17"/>
              </w:rPr>
              <w:t>冻结相关结果</w:t>
            </w:r>
          </w:p>
        </w:tc>
        <w:tc>
          <w:tcPr>
            <w:tcW w:w="2835" w:type="dxa"/>
            <w:vAlign w:val="center"/>
          </w:tcPr>
          <w:p w14:paraId="765FC69B">
            <w:pPr>
              <w:spacing w:after="0" w:line="264" w:lineRule="auto"/>
            </w:pPr>
            <w:r>
              <w:rPr>
                <w:rFonts w:ascii="宋体" w:hAnsi="宋体" w:eastAsia="宋体"/>
                <w:sz w:val="17"/>
              </w:rPr>
              <w:t>完成证据回放和规则修正</w:t>
            </w:r>
          </w:p>
        </w:tc>
      </w:tr>
    </w:tbl>
    <w:p w14:paraId="71FF50A6">
      <w:pPr>
        <w:spacing w:after="20"/>
      </w:pPr>
    </w:p>
    <w:p w14:paraId="419B1946">
      <w:pPr>
        <w:spacing w:before="200" w:after="100"/>
      </w:pPr>
      <w:r>
        <w:rPr>
          <w:rFonts w:ascii="宋体" w:hAnsi="宋体" w:eastAsia="宋体"/>
          <w:b/>
          <w:sz w:val="30"/>
        </w:rPr>
        <w:t>第十章 课题实施计划与预期成果</w:t>
      </w:r>
    </w:p>
    <w:p w14:paraId="60B274A1">
      <w:pPr>
        <w:spacing w:before="120" w:after="100"/>
      </w:pPr>
      <w:r>
        <w:rPr>
          <w:rFonts w:ascii="宋体" w:hAnsi="宋体" w:eastAsia="宋体"/>
          <w:b/>
          <w:sz w:val="23"/>
        </w:rPr>
        <w:t>10.1 任务分解</w:t>
      </w:r>
    </w:p>
    <w:p w14:paraId="45B82970">
      <w:pPr>
        <w:spacing w:after="100" w:line="324" w:lineRule="auto"/>
        <w:ind w:firstLine="420"/>
      </w:pPr>
      <w:r>
        <w:rPr>
          <w:rFonts w:ascii="宋体" w:hAnsi="宋体" w:eastAsia="宋体"/>
          <w:sz w:val="21"/>
        </w:rPr>
        <w:t>研究、数据、算法和运营四条工作线并行推进。研究线负责问题边界、来源和文本；数据线负责对象、字段、权责和质量；算法线负责规则基线、模型原型和指标；运营线负责试点客户、交付、计费和反馈。四条工作线由统一任务编号、版本和验收标准连接。</w:t>
      </w:r>
    </w:p>
    <w:p w14:paraId="1E90D6DE">
      <w:pPr>
        <w:spacing w:before="120" w:after="100"/>
      </w:pPr>
      <w:r>
        <w:rPr>
          <w:rFonts w:ascii="宋体" w:hAnsi="宋体" w:eastAsia="宋体"/>
          <w:b/>
          <w:sz w:val="23"/>
        </w:rPr>
        <w:t>10.2 里程碑与时间计划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1597"/>
        <w:gridCol w:w="3635"/>
        <w:gridCol w:w="2817"/>
      </w:tblGrid>
      <w:tr w14:paraId="50A5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C77718">
            <w:r>
              <w:rPr>
                <w:rFonts w:ascii="宋体" w:hAnsi="宋体" w:eastAsia="宋体"/>
                <w:b/>
                <w:sz w:val="18"/>
              </w:rPr>
              <w:t>阶段</w:t>
            </w:r>
          </w:p>
        </w:tc>
        <w:tc>
          <w:tcPr>
            <w:tcW w:w="1701" w:type="dxa"/>
            <w:vAlign w:val="center"/>
          </w:tcPr>
          <w:p w14:paraId="7F92105E">
            <w:r>
              <w:rPr>
                <w:rFonts w:ascii="宋体" w:hAnsi="宋体" w:eastAsia="宋体"/>
                <w:b/>
                <w:sz w:val="18"/>
              </w:rPr>
              <w:t>周期</w:t>
            </w:r>
          </w:p>
        </w:tc>
        <w:tc>
          <w:tcPr>
            <w:tcW w:w="3969" w:type="dxa"/>
            <w:vAlign w:val="center"/>
          </w:tcPr>
          <w:p w14:paraId="6F738415">
            <w:r>
              <w:rPr>
                <w:rFonts w:ascii="宋体" w:hAnsi="宋体" w:eastAsia="宋体"/>
                <w:b/>
                <w:sz w:val="18"/>
              </w:rPr>
              <w:t>重点工作</w:t>
            </w:r>
          </w:p>
        </w:tc>
        <w:tc>
          <w:tcPr>
            <w:tcW w:w="3061" w:type="dxa"/>
            <w:vAlign w:val="center"/>
          </w:tcPr>
          <w:p w14:paraId="1A25B9F8">
            <w:r>
              <w:rPr>
                <w:rFonts w:ascii="宋体" w:hAnsi="宋体" w:eastAsia="宋体"/>
                <w:b/>
                <w:sz w:val="18"/>
              </w:rPr>
              <w:t>阶段成果</w:t>
            </w:r>
          </w:p>
        </w:tc>
      </w:tr>
      <w:tr w14:paraId="689F9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4316804">
            <w:pPr>
              <w:spacing w:after="0" w:line="264" w:lineRule="auto"/>
            </w:pPr>
            <w:r>
              <w:rPr>
                <w:rFonts w:ascii="宋体" w:hAnsi="宋体" w:eastAsia="宋体"/>
                <w:sz w:val="17"/>
              </w:rPr>
              <w:t>准备阶段</w:t>
            </w:r>
          </w:p>
        </w:tc>
        <w:tc>
          <w:tcPr>
            <w:tcW w:w="1701" w:type="dxa"/>
            <w:vAlign w:val="center"/>
          </w:tcPr>
          <w:p w14:paraId="652EC235">
            <w:pPr>
              <w:spacing w:after="0" w:line="264" w:lineRule="auto"/>
            </w:pPr>
            <w:r>
              <w:rPr>
                <w:rFonts w:ascii="宋体" w:hAnsi="宋体" w:eastAsia="宋体"/>
                <w:sz w:val="17"/>
              </w:rPr>
              <w:t>第1—2周</w:t>
            </w:r>
          </w:p>
        </w:tc>
        <w:tc>
          <w:tcPr>
            <w:tcW w:w="3969" w:type="dxa"/>
            <w:vAlign w:val="center"/>
          </w:tcPr>
          <w:p w14:paraId="218EE87C">
            <w:pPr>
              <w:spacing w:after="0" w:line="264" w:lineRule="auto"/>
            </w:pPr>
            <w:r>
              <w:rPr>
                <w:rFonts w:ascii="宋体" w:hAnsi="宋体" w:eastAsia="宋体"/>
                <w:sz w:val="17"/>
              </w:rPr>
              <w:t>对象映射、授权、字段字典、规则基线</w:t>
            </w:r>
          </w:p>
        </w:tc>
        <w:tc>
          <w:tcPr>
            <w:tcW w:w="3061" w:type="dxa"/>
            <w:vAlign w:val="center"/>
          </w:tcPr>
          <w:p w14:paraId="01C1C366">
            <w:pPr>
              <w:spacing w:after="0" w:line="264" w:lineRule="auto"/>
            </w:pPr>
            <w:r>
              <w:rPr>
                <w:rFonts w:ascii="宋体" w:hAnsi="宋体" w:eastAsia="宋体"/>
                <w:sz w:val="17"/>
              </w:rPr>
              <w:t>MVP骨架、接入台账</w:t>
            </w:r>
          </w:p>
        </w:tc>
      </w:tr>
      <w:tr w14:paraId="739A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83CA9FF">
            <w:pPr>
              <w:spacing w:after="0" w:line="264" w:lineRule="auto"/>
            </w:pPr>
            <w:r>
              <w:rPr>
                <w:rFonts w:ascii="宋体" w:hAnsi="宋体" w:eastAsia="宋体"/>
                <w:sz w:val="17"/>
              </w:rPr>
              <w:t>单场景验证</w:t>
            </w:r>
          </w:p>
        </w:tc>
        <w:tc>
          <w:tcPr>
            <w:tcW w:w="1701" w:type="dxa"/>
            <w:vAlign w:val="center"/>
          </w:tcPr>
          <w:p w14:paraId="139157A6">
            <w:pPr>
              <w:spacing w:after="0" w:line="264" w:lineRule="auto"/>
            </w:pPr>
            <w:r>
              <w:rPr>
                <w:rFonts w:ascii="宋体" w:hAnsi="宋体" w:eastAsia="宋体"/>
                <w:sz w:val="17"/>
              </w:rPr>
              <w:t>第3—5周</w:t>
            </w:r>
          </w:p>
        </w:tc>
        <w:tc>
          <w:tcPr>
            <w:tcW w:w="3969" w:type="dxa"/>
            <w:vAlign w:val="center"/>
          </w:tcPr>
          <w:p w14:paraId="0A6B9924">
            <w:pPr>
              <w:spacing w:after="0" w:line="264" w:lineRule="auto"/>
            </w:pPr>
            <w:r>
              <w:rPr>
                <w:rFonts w:ascii="宋体" w:hAnsi="宋体" w:eastAsia="宋体"/>
                <w:sz w:val="17"/>
              </w:rPr>
              <w:t>里程核验、维修判断、人工复核</w:t>
            </w:r>
          </w:p>
        </w:tc>
        <w:tc>
          <w:tcPr>
            <w:tcW w:w="3061" w:type="dxa"/>
            <w:vAlign w:val="center"/>
          </w:tcPr>
          <w:p w14:paraId="4ED3F207">
            <w:pPr>
              <w:spacing w:after="0" w:line="264" w:lineRule="auto"/>
            </w:pPr>
            <w:r>
              <w:rPr>
                <w:rFonts w:ascii="宋体" w:hAnsi="宋体" w:eastAsia="宋体"/>
                <w:sz w:val="17"/>
              </w:rPr>
              <w:t>核验卡、可信档案、指标表</w:t>
            </w:r>
          </w:p>
        </w:tc>
      </w:tr>
      <w:tr w14:paraId="50C4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A37AD90">
            <w:pPr>
              <w:spacing w:after="0" w:line="264" w:lineRule="auto"/>
            </w:pPr>
            <w:r>
              <w:rPr>
                <w:rFonts w:ascii="宋体" w:hAnsi="宋体" w:eastAsia="宋体"/>
                <w:sz w:val="17"/>
              </w:rPr>
              <w:t>联动扩展</w:t>
            </w:r>
          </w:p>
        </w:tc>
        <w:tc>
          <w:tcPr>
            <w:tcW w:w="1701" w:type="dxa"/>
            <w:vAlign w:val="center"/>
          </w:tcPr>
          <w:p w14:paraId="45299CD2">
            <w:pPr>
              <w:spacing w:after="0" w:line="264" w:lineRule="auto"/>
            </w:pPr>
            <w:r>
              <w:rPr>
                <w:rFonts w:ascii="宋体" w:hAnsi="宋体" w:eastAsia="宋体"/>
                <w:sz w:val="17"/>
              </w:rPr>
              <w:t>第6—8周</w:t>
            </w:r>
          </w:p>
        </w:tc>
        <w:tc>
          <w:tcPr>
            <w:tcW w:w="3969" w:type="dxa"/>
            <w:vAlign w:val="center"/>
          </w:tcPr>
          <w:p w14:paraId="07AB435C">
            <w:pPr>
              <w:spacing w:after="0" w:line="264" w:lineRule="auto"/>
            </w:pPr>
            <w:r>
              <w:rPr>
                <w:rFonts w:ascii="宋体" w:hAnsi="宋体" w:eastAsia="宋体"/>
                <w:sz w:val="17"/>
              </w:rPr>
              <w:t>风险预警、后装触达、计费和审计</w:t>
            </w:r>
          </w:p>
        </w:tc>
        <w:tc>
          <w:tcPr>
            <w:tcW w:w="3061" w:type="dxa"/>
            <w:vAlign w:val="center"/>
          </w:tcPr>
          <w:p w14:paraId="1E33E3A8">
            <w:pPr>
              <w:spacing w:after="0" w:line="264" w:lineRule="auto"/>
            </w:pPr>
            <w:r>
              <w:rPr>
                <w:rFonts w:ascii="宋体" w:hAnsi="宋体" w:eastAsia="宋体"/>
                <w:sz w:val="17"/>
              </w:rPr>
              <w:t>联动标签、运营规则</w:t>
            </w:r>
          </w:p>
        </w:tc>
      </w:tr>
      <w:tr w14:paraId="7C18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524030">
            <w:pPr>
              <w:spacing w:after="0" w:line="264" w:lineRule="auto"/>
            </w:pPr>
            <w:r>
              <w:rPr>
                <w:rFonts w:ascii="宋体" w:hAnsi="宋体" w:eastAsia="宋体"/>
                <w:sz w:val="17"/>
              </w:rPr>
              <w:t>定型沉淀</w:t>
            </w:r>
          </w:p>
        </w:tc>
        <w:tc>
          <w:tcPr>
            <w:tcW w:w="1701" w:type="dxa"/>
            <w:vAlign w:val="center"/>
          </w:tcPr>
          <w:p w14:paraId="0E214844">
            <w:pPr>
              <w:spacing w:after="0" w:line="264" w:lineRule="auto"/>
            </w:pPr>
            <w:r>
              <w:rPr>
                <w:rFonts w:ascii="宋体" w:hAnsi="宋体" w:eastAsia="宋体"/>
                <w:sz w:val="17"/>
              </w:rPr>
              <w:t>第9—12周</w:t>
            </w:r>
          </w:p>
        </w:tc>
        <w:tc>
          <w:tcPr>
            <w:tcW w:w="3969" w:type="dxa"/>
            <w:vAlign w:val="center"/>
          </w:tcPr>
          <w:p w14:paraId="345C804E">
            <w:pPr>
              <w:spacing w:after="0" w:line="264" w:lineRule="auto"/>
            </w:pPr>
            <w:r>
              <w:rPr>
                <w:rFonts w:ascii="宋体" w:hAnsi="宋体" w:eastAsia="宋体"/>
                <w:sz w:val="17"/>
              </w:rPr>
              <w:t>口径统一、风险复盘、交接归档</w:t>
            </w:r>
          </w:p>
        </w:tc>
        <w:tc>
          <w:tcPr>
            <w:tcW w:w="3061" w:type="dxa"/>
            <w:vAlign w:val="center"/>
          </w:tcPr>
          <w:p w14:paraId="45148BAD">
            <w:pPr>
              <w:spacing w:after="0" w:line="264" w:lineRule="auto"/>
            </w:pPr>
            <w:r>
              <w:rPr>
                <w:rFonts w:ascii="宋体" w:hAnsi="宋体" w:eastAsia="宋体"/>
                <w:sz w:val="17"/>
              </w:rPr>
              <w:t>试点报告、交付包</w:t>
            </w:r>
          </w:p>
        </w:tc>
      </w:tr>
    </w:tbl>
    <w:p w14:paraId="082AADCC">
      <w:pPr>
        <w:spacing w:after="20"/>
      </w:pPr>
    </w:p>
    <w:p w14:paraId="5008F359">
      <w:pPr>
        <w:spacing w:before="120" w:after="100"/>
      </w:pPr>
      <w:r>
        <w:rPr>
          <w:rFonts w:ascii="宋体" w:hAnsi="宋体" w:eastAsia="宋体"/>
          <w:b/>
          <w:sz w:val="23"/>
        </w:rPr>
        <w:t>10.3 预期成果</w:t>
      </w:r>
    </w:p>
    <w:p w14:paraId="243F9C71">
      <w:pPr>
        <w:spacing w:after="100" w:line="324" w:lineRule="auto"/>
        <w:ind w:firstLine="420"/>
      </w:pPr>
      <w:r>
        <w:rPr>
          <w:rFonts w:ascii="宋体" w:hAnsi="宋体" w:eastAsia="宋体"/>
          <w:sz w:val="21"/>
        </w:rPr>
        <w:t>研究成果包括完整报告、问题与证据矩阵、数据字典和术语体系；技术成果包括里程核验、风险预警、维修必要性和触达排序原型，以及可复核的指标记录；运营成果包括接入审核、权限、计费、仲裁和审计规则；应用成果包括四类结果卡、MVP 试点方案、客户获取路径和收益分配映射。</w:t>
      </w:r>
    </w:p>
    <w:p w14:paraId="30D4A5EE">
      <w:pPr>
        <w:spacing w:after="100" w:line="324" w:lineRule="auto"/>
        <w:ind w:firstLine="420"/>
      </w:pPr>
      <w:r>
        <w:rPr>
          <w:rFonts w:ascii="宋体" w:hAnsi="宋体" w:eastAsia="宋体"/>
          <w:sz w:val="21"/>
        </w:rPr>
        <w:t>成果验收以对象、证据、模型、客户和运营五项记录为准：每个产品有明确输入和输出，每个结果有来源和版本，每个模型有指标和复核边界，每个试点有客户反馈和付费判断，每项服务有权限、计费和争议处理规则。</w:t>
      </w:r>
    </w:p>
    <w:p w14:paraId="59FA2CA1">
      <w:pPr>
        <w:spacing w:after="100" w:line="324" w:lineRule="auto"/>
        <w:ind w:firstLine="420"/>
      </w:pPr>
      <w:r>
        <w:rPr>
          <w:rFonts w:ascii="宋体" w:hAnsi="宋体" w:eastAsia="宋体"/>
          <w:sz w:val="21"/>
        </w:rPr>
        <w:t>交接材料应包括数据目</w:t>
      </w:r>
      <w:bookmarkStart w:id="0" w:name="_GoBack"/>
      <w:bookmarkEnd w:id="0"/>
      <w:r>
        <w:rPr>
          <w:rFonts w:ascii="宋体" w:hAnsi="宋体" w:eastAsia="宋体"/>
          <w:sz w:val="21"/>
        </w:rPr>
        <w:t>录与字段字典、模型和规则版本、试点样本与指标、客户反馈、权限台账、计费清单、风险事件和待核验事项。外部材料的链接和口径保留在来源文档中，技术支撑脚本保留在技术支撑目录中，正式报告只呈现足以支撑判断的事实、机制和结果。</w:t>
      </w:r>
    </w:p>
    <w:p w14:paraId="0E263236">
      <w:pPr>
        <w:spacing w:after="100" w:line="324" w:lineRule="auto"/>
        <w:ind w:firstLine="420"/>
      </w:pPr>
      <w:r>
        <w:rPr>
          <w:rFonts w:ascii="宋体" w:hAnsi="宋体" w:eastAsia="宋体"/>
          <w:sz w:val="21"/>
        </w:rPr>
        <w:t>最终交付以“可展示、可运行、可解释、可复盘”为标准：原型能够使用样本运行模型，结果能够回到证据和授权，运营规则能够支撑调用、计费和争议处理，商业测算能够根据真实数据重新计算。</w:t>
      </w:r>
    </w:p>
    <w:p w14:paraId="44F2F398">
      <w:pPr>
        <w:spacing w:before="200" w:after="100"/>
      </w:pPr>
      <w:r>
        <w:rPr>
          <w:rFonts w:ascii="宋体" w:hAnsi="宋体" w:eastAsia="宋体"/>
          <w:b/>
          <w:sz w:val="30"/>
        </w:rPr>
        <w:t>主要资料来源</w:t>
      </w:r>
    </w:p>
    <w:p w14:paraId="576D3BD4">
      <w:pPr>
        <w:spacing w:after="100" w:line="324" w:lineRule="auto"/>
        <w:ind w:firstLine="420"/>
      </w:pPr>
      <w:r>
        <w:rPr>
          <w:rFonts w:ascii="宋体" w:hAnsi="宋体" w:eastAsia="宋体"/>
          <w:sz w:val="21"/>
        </w:rPr>
        <w:t>1. 公安部交通管理局公开统计，新华网：《截至2026年6月底全国机动车保有量4.76亿辆》，https://www.news.cn/20260714/4138456ac74e409fbe239b75b013fd1c/c.html。</w:t>
      </w:r>
    </w:p>
    <w:p w14:paraId="1E058F62">
      <w:pPr>
        <w:spacing w:after="100" w:line="324" w:lineRule="auto"/>
        <w:ind w:firstLine="420"/>
      </w:pPr>
      <w:r>
        <w:rPr>
          <w:rFonts w:ascii="宋体" w:hAnsi="宋体" w:eastAsia="宋体"/>
          <w:sz w:val="21"/>
        </w:rPr>
        <w:t>2. 中国汽车流通协会：《2025年12月二手车市场简析》，https://www.cada.cn/Data/info_86_10432.html。</w:t>
      </w:r>
    </w:p>
    <w:p w14:paraId="6D739A87">
      <w:pPr>
        <w:spacing w:after="100" w:line="324" w:lineRule="auto"/>
        <w:ind w:firstLine="420"/>
      </w:pPr>
      <w:r>
        <w:rPr>
          <w:rFonts w:ascii="宋体" w:hAnsi="宋体" w:eastAsia="宋体"/>
          <w:sz w:val="21"/>
        </w:rPr>
        <w:t>3. 商务部研究院相关研究，新华网：《商务部研究院：互联网养车将重塑行业，汽车后市场进入高质量发展阶段》，https://www.news.cn/enterprise/20241218/f2fe56af02ed46e8916e016a898b7a2a/c.html。</w:t>
      </w:r>
    </w:p>
    <w:p w14:paraId="09961F3F">
      <w:pPr>
        <w:spacing w:after="100" w:line="324" w:lineRule="auto"/>
        <w:ind w:firstLine="420"/>
      </w:pPr>
      <w:r>
        <w:rPr>
          <w:rFonts w:ascii="宋体" w:hAnsi="宋体" w:eastAsia="宋体"/>
          <w:sz w:val="21"/>
        </w:rPr>
        <w:t>4. 中国汽车流通协会售后零部件分会测算，人民日报：《加快培育汽车后市场新供给》，https://paper.people.com.cn/rmrb/html/2024-01/29/nw.D110000renmrb_20240129_5-01.htm。</w:t>
      </w:r>
    </w:p>
    <w:p w14:paraId="363AED8E">
      <w:pPr>
        <w:spacing w:after="100" w:line="324" w:lineRule="auto"/>
        <w:ind w:firstLine="420"/>
      </w:pPr>
      <w:r>
        <w:rPr>
          <w:rFonts w:ascii="宋体" w:hAnsi="宋体" w:eastAsia="宋体"/>
          <w:sz w:val="21"/>
        </w:rPr>
        <w:t>5. 《车主生态数据融合咨询报告》（元征明睿大数据商业化诊断报告及咨询策划案，2026年5月23日），其中企业数据规模、联通标签和商业预测均属于前期咨询口径，须以项目方确认和试点记录为准。</w:t>
      </w:r>
    </w:p>
    <w:p w14:paraId="521F41DA">
      <w:pPr>
        <w:spacing w:after="100" w:line="324" w:lineRule="auto"/>
        <w:ind w:firstLine="420"/>
      </w:pPr>
      <w:r>
        <w:rPr>
          <w:rFonts w:ascii="宋体" w:hAnsi="宋体" w:eastAsia="宋体"/>
          <w:sz w:val="21"/>
        </w:rPr>
        <w:t>6. 四川在线：《川观智库资讯丨赛迪顾问：2025年中国车联网产业总规模预计突破5000亿元》，https://sichuan.scol.com.cn/ggxw/202407/82573593.html。</w:t>
      </w:r>
    </w:p>
    <w:p w14:paraId="4EC4C6AC">
      <w:pPr>
        <w:spacing w:line="324" w:lineRule="auto"/>
        <w:ind w:firstLine="420"/>
      </w:pPr>
      <w:r>
        <w:rPr>
          <w:rFonts w:ascii="宋体" w:hAnsi="宋体" w:eastAsia="宋体"/>
          <w:sz w:val="21"/>
        </w:rPr>
        <w:t>7. 中国汽车流通协会公开转载数据：《万亿元汽车后市场激发消费新动能》，https://www.cadcc.com.cn/article/3897.html。该页面转引2026年1—6月二手车交易量与交易金额，正文年化值属于内部推算。</w:t>
      </w: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0D30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24"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15953</Words>
  <Characters>16261</Characters>
  <Lines>0</Lines>
  <Paragraphs>0</Paragraphs>
  <TotalTime>79</TotalTime>
  <ScaleCrop>false</ScaleCrop>
  <LinksUpToDate>false</LinksUpToDate>
  <CharactersWithSpaces>16352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纯黑</dc:creator>
  <dc:description>generated by python-docx</dc:description>
  <cp:lastModifiedBy>纯黑</cp:lastModifiedBy>
  <dcterms:modified xsi:type="dcterms:W3CDTF">2026-08-21T02:56:25Z</dcterms:modified>
  <dc:subject>汽车后市场可信数据空间融合优化版</dc:subject>
  <dc:title>明睿×联通·汽车后市场可信数据空间应用型研究实践报告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eyJoZGlkIjoiZTViMmEzZDE2YmRhODg4OGRjMDVjOTQyNTYzMjYzMDIiLCJ1c2VySWQiOiIxNTU1MzQ1NDEwIn0=</vt:lpwstr>
  </property>
  <property fmtid="{D5CDD505-2E9C-101B-9397-08002B2CF9AE}" pid="3" name="KSOProductBuildVer">
    <vt:lpwstr>2052-12.1.0.28043</vt:lpwstr>
  </property>
  <property fmtid="{D5CDD505-2E9C-101B-9397-08002B2CF9AE}" pid="4" name="ICV">
    <vt:lpwstr>84FAD6B2FC0B4EA58EED9666D6028D5D_12</vt:lpwstr>
  </property>
</Properties>
</file>