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62CF3">
      <w:pPr>
        <w:jc w:val="center"/>
      </w:pPr>
      <w:r>
        <w:rPr>
          <w:rFonts w:ascii="仿宋" w:hAnsi="仿宋" w:eastAsia="仿宋"/>
          <w:b/>
          <w:sz w:val="44"/>
        </w:rPr>
        <w:t>深圳市重点交通枢纽端午假期人口流动数据分析报告</w:t>
      </w:r>
    </w:p>
    <w:p w14:paraId="133E745C"/>
    <w:p w14:paraId="376F6305">
      <w:pPr>
        <w:jc w:val="center"/>
      </w:pPr>
      <w:r>
        <w:rPr>
          <w:rFonts w:ascii="仿宋" w:hAnsi="仿宋" w:eastAsia="仿宋"/>
          <w:sz w:val="32"/>
        </w:rPr>
        <w:t>分析对象：深圳北站、深圳东站、福田站、坪山站、宝安机场</w:t>
      </w:r>
    </w:p>
    <w:p w14:paraId="102F46D9">
      <w:pPr>
        <w:pStyle w:val="3"/>
      </w:pPr>
      <w:r>
        <w:rPr>
          <w:rFonts w:ascii="仿宋" w:hAnsi="仿宋" w:eastAsia="仿宋"/>
          <w:sz w:val="36"/>
        </w:rPr>
        <w:t>一、重点区域累计到访人口分析</w:t>
      </w:r>
    </w:p>
    <w:p w14:paraId="017CA900">
      <w:pPr>
        <w:pStyle w:val="4"/>
      </w:pPr>
      <w:r>
        <w:rPr>
          <w:rFonts w:ascii="仿宋" w:hAnsi="仿宋" w:eastAsia="仿宋"/>
          <w:sz w:val="32"/>
        </w:rPr>
        <w:t>1.1 总体到访规模</w:t>
      </w:r>
    </w:p>
    <w:p w14:paraId="3EECDD8B">
      <w:pPr>
        <w:spacing w:line="360" w:lineRule="auto"/>
        <w:ind w:firstLine="480"/>
      </w:pPr>
      <w:r>
        <w:rPr>
          <w:rFonts w:ascii="仿宋" w:hAnsi="仿宋" w:eastAsia="仿宋"/>
          <w:b w:val="0"/>
          <w:sz w:val="32"/>
        </w:rPr>
        <w:t>本次分析统计的是在五个交通枢纽及其周边停留超过五分钟的全部到访人数，用以衡量各枢纽在端午假期期间的实际使用情况。需要</w:t>
      </w:r>
      <w:r>
        <w:rPr>
          <w:rFonts w:hint="eastAsia"/>
          <w:b w:val="0"/>
          <w:sz w:val="32"/>
          <w:lang w:val="en-US" w:eastAsia="zh-CN"/>
        </w:rPr>
        <w:t>注意</w:t>
      </w:r>
      <w:r>
        <w:rPr>
          <w:rFonts w:ascii="仿宋" w:hAnsi="仿宋" w:eastAsia="仿宋"/>
          <w:b w:val="0"/>
          <w:sz w:val="32"/>
        </w:rPr>
        <w:t>的是，同一个人如果在不同日期多次到访，会被重复计入，因此下文中的"到访人数"指的是到访的总人次。表1-1汇总了五个交通枢纽在6月12日至6月21日十天内的到访人数统计。</w:t>
      </w:r>
    </w:p>
    <w:p w14:paraId="7EF1CBFF">
      <w:pPr>
        <w:spacing w:before="120" w:after="60"/>
        <w:jc w:val="center"/>
      </w:pPr>
      <w:r>
        <w:rPr>
          <w:rFonts w:ascii="仿宋" w:hAnsi="仿宋" w:eastAsia="仿宋"/>
          <w:b/>
          <w:sz w:val="24"/>
        </w:rPr>
        <w:t>表1-1  五大交通枢纽端午假期到访人口总量统计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9B4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84CFD1C">
            <w:pPr>
              <w:jc w:val="center"/>
            </w:pPr>
            <w:r>
              <w:rPr>
                <w:rFonts w:ascii="仿宋" w:hAnsi="仿宋" w:eastAsia="仿宋"/>
                <w:b/>
                <w:sz w:val="21"/>
              </w:rPr>
              <w:t>交通枢纽</w:t>
            </w:r>
          </w:p>
        </w:tc>
        <w:tc>
          <w:tcPr>
            <w:tcW w:w="1727" w:type="dxa"/>
          </w:tcPr>
          <w:p w14:paraId="7EC692B7">
            <w:pPr>
              <w:jc w:val="center"/>
            </w:pPr>
            <w:r>
              <w:rPr>
                <w:rFonts w:ascii="仿宋" w:hAnsi="仿宋" w:eastAsia="仿宋"/>
                <w:b/>
                <w:sz w:val="21"/>
              </w:rPr>
              <w:t>常住人口累计</w:t>
            </w:r>
          </w:p>
        </w:tc>
        <w:tc>
          <w:tcPr>
            <w:tcW w:w="1727" w:type="dxa"/>
          </w:tcPr>
          <w:p w14:paraId="5623B143">
            <w:pPr>
              <w:jc w:val="center"/>
            </w:pPr>
            <w:r>
              <w:rPr>
                <w:rFonts w:ascii="仿宋" w:hAnsi="仿宋" w:eastAsia="仿宋"/>
                <w:b/>
                <w:sz w:val="21"/>
              </w:rPr>
              <w:t>流动人口累计</w:t>
            </w:r>
          </w:p>
        </w:tc>
        <w:tc>
          <w:tcPr>
            <w:tcW w:w="1727" w:type="dxa"/>
          </w:tcPr>
          <w:p w14:paraId="2E71E785">
            <w:pPr>
              <w:jc w:val="center"/>
            </w:pPr>
            <w:r>
              <w:rPr>
                <w:rFonts w:ascii="仿宋" w:hAnsi="仿宋" w:eastAsia="仿宋"/>
                <w:b/>
                <w:sz w:val="21"/>
              </w:rPr>
              <w:t>合计累计</w:t>
            </w:r>
          </w:p>
        </w:tc>
        <w:tc>
          <w:tcPr>
            <w:tcW w:w="1727" w:type="dxa"/>
          </w:tcPr>
          <w:p w14:paraId="153E37B9">
            <w:pPr>
              <w:jc w:val="center"/>
            </w:pPr>
            <w:r>
              <w:rPr>
                <w:rFonts w:ascii="仿宋" w:hAnsi="仿宋" w:eastAsia="仿宋"/>
                <w:b/>
                <w:sz w:val="21"/>
              </w:rPr>
              <w:t>日均到访人口</w:t>
            </w:r>
          </w:p>
        </w:tc>
      </w:tr>
      <w:tr w14:paraId="16D2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0A33637">
            <w:pPr>
              <w:jc w:val="center"/>
            </w:pPr>
            <w:r>
              <w:rPr>
                <w:rFonts w:ascii="仿宋" w:hAnsi="仿宋" w:eastAsia="仿宋"/>
                <w:sz w:val="21"/>
              </w:rPr>
              <w:t>福田站</w:t>
            </w:r>
          </w:p>
        </w:tc>
        <w:tc>
          <w:tcPr>
            <w:tcW w:w="1727" w:type="dxa"/>
          </w:tcPr>
          <w:p w14:paraId="7B48150A">
            <w:pPr>
              <w:jc w:val="center"/>
            </w:pPr>
            <w:r>
              <w:rPr>
                <w:rFonts w:ascii="仿宋" w:hAnsi="仿宋" w:eastAsia="仿宋"/>
                <w:sz w:val="21"/>
              </w:rPr>
              <w:t>8.59万人</w:t>
            </w:r>
          </w:p>
        </w:tc>
        <w:tc>
          <w:tcPr>
            <w:tcW w:w="1727" w:type="dxa"/>
          </w:tcPr>
          <w:p w14:paraId="44C33CEA">
            <w:pPr>
              <w:jc w:val="center"/>
            </w:pPr>
            <w:r>
              <w:rPr>
                <w:rFonts w:ascii="仿宋" w:hAnsi="仿宋" w:eastAsia="仿宋"/>
                <w:sz w:val="21"/>
              </w:rPr>
              <w:t>0.00万人</w:t>
            </w:r>
          </w:p>
        </w:tc>
        <w:tc>
          <w:tcPr>
            <w:tcW w:w="1727" w:type="dxa"/>
          </w:tcPr>
          <w:p w14:paraId="2D6B04E5">
            <w:pPr>
              <w:jc w:val="center"/>
            </w:pPr>
            <w:r>
              <w:rPr>
                <w:rFonts w:ascii="仿宋" w:hAnsi="仿宋" w:eastAsia="仿宋"/>
                <w:sz w:val="21"/>
              </w:rPr>
              <w:t>8.59万人</w:t>
            </w:r>
          </w:p>
        </w:tc>
        <w:tc>
          <w:tcPr>
            <w:tcW w:w="1727" w:type="dxa"/>
          </w:tcPr>
          <w:p w14:paraId="06740A4E">
            <w:pPr>
              <w:jc w:val="center"/>
            </w:pPr>
            <w:r>
              <w:rPr>
                <w:rFonts w:ascii="仿宋" w:hAnsi="仿宋" w:eastAsia="仿宋"/>
                <w:sz w:val="21"/>
              </w:rPr>
              <w:t>0.86万人</w:t>
            </w:r>
          </w:p>
        </w:tc>
      </w:tr>
      <w:tr w14:paraId="1C74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54E72AF">
            <w:pPr>
              <w:jc w:val="center"/>
            </w:pPr>
            <w:r>
              <w:rPr>
                <w:rFonts w:ascii="仿宋" w:hAnsi="仿宋" w:eastAsia="仿宋"/>
                <w:sz w:val="21"/>
              </w:rPr>
              <w:t>深圳东站</w:t>
            </w:r>
          </w:p>
        </w:tc>
        <w:tc>
          <w:tcPr>
            <w:tcW w:w="1727" w:type="dxa"/>
          </w:tcPr>
          <w:p w14:paraId="57398996">
            <w:pPr>
              <w:jc w:val="center"/>
            </w:pPr>
            <w:r>
              <w:rPr>
                <w:rFonts w:ascii="仿宋" w:hAnsi="仿宋" w:eastAsia="仿宋"/>
                <w:sz w:val="21"/>
              </w:rPr>
              <w:t>92.95万人</w:t>
            </w:r>
          </w:p>
        </w:tc>
        <w:tc>
          <w:tcPr>
            <w:tcW w:w="1727" w:type="dxa"/>
          </w:tcPr>
          <w:p w14:paraId="6C7FE47D">
            <w:pPr>
              <w:jc w:val="center"/>
            </w:pPr>
            <w:r>
              <w:rPr>
                <w:rFonts w:ascii="仿宋" w:hAnsi="仿宋" w:eastAsia="仿宋"/>
                <w:sz w:val="21"/>
              </w:rPr>
              <w:t>0.00万人</w:t>
            </w:r>
          </w:p>
        </w:tc>
        <w:tc>
          <w:tcPr>
            <w:tcW w:w="1727" w:type="dxa"/>
          </w:tcPr>
          <w:p w14:paraId="3659A74E">
            <w:pPr>
              <w:jc w:val="center"/>
            </w:pPr>
            <w:r>
              <w:rPr>
                <w:rFonts w:ascii="仿宋" w:hAnsi="仿宋" w:eastAsia="仿宋"/>
                <w:sz w:val="21"/>
              </w:rPr>
              <w:t>92.95万人</w:t>
            </w:r>
          </w:p>
        </w:tc>
        <w:tc>
          <w:tcPr>
            <w:tcW w:w="1727" w:type="dxa"/>
          </w:tcPr>
          <w:p w14:paraId="3DEBF11B">
            <w:pPr>
              <w:jc w:val="center"/>
            </w:pPr>
            <w:r>
              <w:rPr>
                <w:rFonts w:ascii="仿宋" w:hAnsi="仿宋" w:eastAsia="仿宋"/>
                <w:sz w:val="21"/>
              </w:rPr>
              <w:t>9.30万人</w:t>
            </w:r>
          </w:p>
        </w:tc>
      </w:tr>
      <w:tr w14:paraId="0D2E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CC43700">
            <w:pPr>
              <w:jc w:val="center"/>
            </w:pPr>
            <w:r>
              <w:rPr>
                <w:rFonts w:ascii="仿宋" w:hAnsi="仿宋" w:eastAsia="仿宋"/>
                <w:sz w:val="21"/>
              </w:rPr>
              <w:t>深圳北站</w:t>
            </w:r>
          </w:p>
        </w:tc>
        <w:tc>
          <w:tcPr>
            <w:tcW w:w="1727" w:type="dxa"/>
          </w:tcPr>
          <w:p w14:paraId="4A77AE6C">
            <w:pPr>
              <w:jc w:val="center"/>
            </w:pPr>
            <w:r>
              <w:rPr>
                <w:rFonts w:ascii="仿宋" w:hAnsi="仿宋" w:eastAsia="仿宋"/>
                <w:sz w:val="21"/>
              </w:rPr>
              <w:t>230.63万人</w:t>
            </w:r>
          </w:p>
        </w:tc>
        <w:tc>
          <w:tcPr>
            <w:tcW w:w="1727" w:type="dxa"/>
          </w:tcPr>
          <w:p w14:paraId="15413220">
            <w:pPr>
              <w:jc w:val="center"/>
            </w:pPr>
            <w:r>
              <w:rPr>
                <w:rFonts w:ascii="仿宋" w:hAnsi="仿宋" w:eastAsia="仿宋"/>
                <w:sz w:val="21"/>
              </w:rPr>
              <w:t>0.00万人</w:t>
            </w:r>
          </w:p>
        </w:tc>
        <w:tc>
          <w:tcPr>
            <w:tcW w:w="1727" w:type="dxa"/>
          </w:tcPr>
          <w:p w14:paraId="4C94716B">
            <w:pPr>
              <w:jc w:val="center"/>
            </w:pPr>
            <w:r>
              <w:rPr>
                <w:rFonts w:ascii="仿宋" w:hAnsi="仿宋" w:eastAsia="仿宋"/>
                <w:sz w:val="21"/>
              </w:rPr>
              <w:t>230.63万人</w:t>
            </w:r>
          </w:p>
        </w:tc>
        <w:tc>
          <w:tcPr>
            <w:tcW w:w="1727" w:type="dxa"/>
          </w:tcPr>
          <w:p w14:paraId="60DD0F37">
            <w:pPr>
              <w:jc w:val="center"/>
            </w:pPr>
            <w:r>
              <w:rPr>
                <w:rFonts w:ascii="仿宋" w:hAnsi="仿宋" w:eastAsia="仿宋"/>
                <w:sz w:val="21"/>
              </w:rPr>
              <w:t>23.06万人</w:t>
            </w:r>
          </w:p>
        </w:tc>
      </w:tr>
      <w:tr w14:paraId="4D62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B39F323">
            <w:pPr>
              <w:jc w:val="center"/>
            </w:pPr>
            <w:r>
              <w:rPr>
                <w:rFonts w:ascii="仿宋" w:hAnsi="仿宋" w:eastAsia="仿宋"/>
                <w:sz w:val="21"/>
              </w:rPr>
              <w:t>坪山站</w:t>
            </w:r>
          </w:p>
        </w:tc>
        <w:tc>
          <w:tcPr>
            <w:tcW w:w="1727" w:type="dxa"/>
          </w:tcPr>
          <w:p w14:paraId="796F3576">
            <w:pPr>
              <w:jc w:val="center"/>
            </w:pPr>
            <w:r>
              <w:rPr>
                <w:rFonts w:ascii="仿宋" w:hAnsi="仿宋" w:eastAsia="仿宋"/>
                <w:sz w:val="21"/>
              </w:rPr>
              <w:t>6.07万人</w:t>
            </w:r>
          </w:p>
        </w:tc>
        <w:tc>
          <w:tcPr>
            <w:tcW w:w="1727" w:type="dxa"/>
          </w:tcPr>
          <w:p w14:paraId="30BA3623">
            <w:pPr>
              <w:jc w:val="center"/>
            </w:pPr>
            <w:r>
              <w:rPr>
                <w:rFonts w:ascii="仿宋" w:hAnsi="仿宋" w:eastAsia="仿宋"/>
                <w:sz w:val="21"/>
              </w:rPr>
              <w:t>0.00万人</w:t>
            </w:r>
          </w:p>
        </w:tc>
        <w:tc>
          <w:tcPr>
            <w:tcW w:w="1727" w:type="dxa"/>
          </w:tcPr>
          <w:p w14:paraId="6E5679E9">
            <w:pPr>
              <w:jc w:val="center"/>
            </w:pPr>
            <w:r>
              <w:rPr>
                <w:rFonts w:ascii="仿宋" w:hAnsi="仿宋" w:eastAsia="仿宋"/>
                <w:sz w:val="21"/>
              </w:rPr>
              <w:t>6.07万人</w:t>
            </w:r>
          </w:p>
        </w:tc>
        <w:tc>
          <w:tcPr>
            <w:tcW w:w="1727" w:type="dxa"/>
          </w:tcPr>
          <w:p w14:paraId="7824849A">
            <w:pPr>
              <w:jc w:val="center"/>
            </w:pPr>
            <w:r>
              <w:rPr>
                <w:rFonts w:ascii="仿宋" w:hAnsi="仿宋" w:eastAsia="仿宋"/>
                <w:sz w:val="21"/>
              </w:rPr>
              <w:t>0.61万人</w:t>
            </w:r>
          </w:p>
        </w:tc>
      </w:tr>
      <w:tr w14:paraId="5F58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300DDE7">
            <w:pPr>
              <w:jc w:val="center"/>
            </w:pPr>
            <w:r>
              <w:rPr>
                <w:rFonts w:ascii="仿宋" w:hAnsi="仿宋" w:eastAsia="仿宋"/>
                <w:sz w:val="21"/>
              </w:rPr>
              <w:t>宝安机场</w:t>
            </w:r>
          </w:p>
        </w:tc>
        <w:tc>
          <w:tcPr>
            <w:tcW w:w="1727" w:type="dxa"/>
          </w:tcPr>
          <w:p w14:paraId="1882319A">
            <w:pPr>
              <w:jc w:val="center"/>
            </w:pPr>
            <w:r>
              <w:rPr>
                <w:rFonts w:ascii="仿宋" w:hAnsi="仿宋" w:eastAsia="仿宋"/>
                <w:sz w:val="21"/>
              </w:rPr>
              <w:t>92.83万人</w:t>
            </w:r>
          </w:p>
        </w:tc>
        <w:tc>
          <w:tcPr>
            <w:tcW w:w="1727" w:type="dxa"/>
          </w:tcPr>
          <w:p w14:paraId="6B330D4A">
            <w:pPr>
              <w:jc w:val="center"/>
            </w:pPr>
            <w:r>
              <w:rPr>
                <w:rFonts w:ascii="仿宋" w:hAnsi="仿宋" w:eastAsia="仿宋"/>
                <w:sz w:val="21"/>
              </w:rPr>
              <w:t>0.00万人</w:t>
            </w:r>
          </w:p>
        </w:tc>
        <w:tc>
          <w:tcPr>
            <w:tcW w:w="1727" w:type="dxa"/>
          </w:tcPr>
          <w:p w14:paraId="10C5F5BF">
            <w:pPr>
              <w:jc w:val="center"/>
            </w:pPr>
            <w:r>
              <w:rPr>
                <w:rFonts w:ascii="仿宋" w:hAnsi="仿宋" w:eastAsia="仿宋"/>
                <w:sz w:val="21"/>
              </w:rPr>
              <w:t>92.83万人</w:t>
            </w:r>
          </w:p>
        </w:tc>
        <w:tc>
          <w:tcPr>
            <w:tcW w:w="1727" w:type="dxa"/>
          </w:tcPr>
          <w:p w14:paraId="7D9EC4CB">
            <w:pPr>
              <w:jc w:val="center"/>
            </w:pPr>
            <w:r>
              <w:rPr>
                <w:rFonts w:ascii="仿宋" w:hAnsi="仿宋" w:eastAsia="仿宋"/>
                <w:sz w:val="21"/>
              </w:rPr>
              <w:t>9.28万人</w:t>
            </w:r>
          </w:p>
        </w:tc>
      </w:tr>
    </w:tbl>
    <w:p w14:paraId="392BB5CA"/>
    <w:p w14:paraId="0D4A8B3E">
      <w:pPr>
        <w:spacing w:line="360" w:lineRule="auto"/>
        <w:ind w:firstLine="480"/>
      </w:pPr>
      <w:r>
        <w:rPr>
          <w:rFonts w:ascii="仿宋" w:hAnsi="仿宋" w:eastAsia="仿宋"/>
          <w:b w:val="0"/>
          <w:sz w:val="32"/>
        </w:rPr>
        <w:t>从表1-1可以直观地看到，深圳北站在五个枢纽中到访人数遥遥领先，十天累计突破四百万人次，充分说明深圳北站作为华南地区核心铁路客运枢纽的重要地位。宝安机场到访总量位居第二，其中来自外地的流动旅客约为本地常住居民的两倍，这与机场作为跨区域出行门户的功能定位高度吻合。深圳东站到访规模位列第三，主要服务普速列车和部分动车组旅客。福田站的日均到访人数在五个枢纽中最少，这与其以广深港城际商务客流为主、日常运量相对稳定的功能特点有关。坪山站作为深圳东部的交通节点，到访规模最小，主要面向周边区域的短途出行需求。</w:t>
      </w:r>
    </w:p>
    <w:p w14:paraId="5F64A862">
      <w:pPr>
        <w:spacing w:before="120" w:after="120"/>
        <w:jc w:val="center"/>
      </w:pPr>
      <w:r>
        <w:drawing>
          <wp:inline distT="0" distB="0" distL="114300" distR="114300">
            <wp:extent cx="5752465" cy="28517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2465" cy="2851785"/>
                    </a:xfrm>
                    <a:prstGeom prst="rect">
                      <a:avLst/>
                    </a:prstGeom>
                  </pic:spPr>
                </pic:pic>
              </a:graphicData>
            </a:graphic>
          </wp:inline>
        </w:drawing>
      </w:r>
    </w:p>
    <w:p w14:paraId="63BF712A">
      <w:pPr>
        <w:spacing w:line="360" w:lineRule="auto"/>
        <w:jc w:val="center"/>
      </w:pPr>
      <w:r>
        <w:rPr>
          <w:rFonts w:ascii="仿宋" w:hAnsi="仿宋" w:eastAsia="仿宋"/>
          <w:b w:val="0"/>
          <w:sz w:val="20"/>
        </w:rPr>
        <w:t>图1-1  五大交通枢纽端午假期累计到访人口总量对比</w:t>
      </w:r>
    </w:p>
    <w:p w14:paraId="6C20705E">
      <w:pPr>
        <w:pStyle w:val="4"/>
      </w:pPr>
      <w:r>
        <w:rPr>
          <w:rFonts w:ascii="仿宋" w:hAnsi="仿宋" w:eastAsia="仿宋"/>
          <w:sz w:val="32"/>
        </w:rPr>
        <w:t>1.2 每日到访人口变化趋势</w:t>
      </w:r>
    </w:p>
    <w:p w14:paraId="636D3C36">
      <w:pPr>
        <w:spacing w:line="360" w:lineRule="auto"/>
        <w:ind w:firstLine="480"/>
      </w:pPr>
      <w:r>
        <w:rPr>
          <w:rFonts w:ascii="仿宋" w:hAnsi="仿宋" w:eastAsia="仿宋"/>
          <w:b w:val="0"/>
          <w:sz w:val="32"/>
        </w:rPr>
        <w:t>图1-2呈现了五个枢纽在6月12日至21日期间每天到访人数的变化情况，通过将本地居民和外地旅客分类展示，可以更清楚地看出各枢纽客流的波动规律。</w:t>
      </w:r>
    </w:p>
    <w:p w14:paraId="0EB9B7DC">
      <w:pPr>
        <w:spacing w:before="120" w:after="120"/>
        <w:jc w:val="center"/>
      </w:pPr>
      <w:r>
        <w:drawing>
          <wp:inline distT="0" distB="0" distL="114300" distR="114300">
            <wp:extent cx="5742305" cy="3256915"/>
            <wp:effectExtent l="0" t="0" r="1079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42305" cy="3256915"/>
                    </a:xfrm>
                    <a:prstGeom prst="rect">
                      <a:avLst/>
                    </a:prstGeom>
                  </pic:spPr>
                </pic:pic>
              </a:graphicData>
            </a:graphic>
          </wp:inline>
        </w:drawing>
      </w:r>
    </w:p>
    <w:p w14:paraId="4F8851A6">
      <w:pPr>
        <w:spacing w:line="360" w:lineRule="auto"/>
        <w:jc w:val="center"/>
      </w:pPr>
      <w:r>
        <w:rPr>
          <w:rFonts w:ascii="仿宋" w:hAnsi="仿宋" w:eastAsia="仿宋"/>
          <w:b w:val="0"/>
          <w:sz w:val="20"/>
        </w:rPr>
        <w:t>图1-2  五大交通枢纽端午假期每日到访人口变化趋势</w:t>
      </w:r>
    </w:p>
    <w:p w14:paraId="42649E6F">
      <w:pPr>
        <w:spacing w:line="360" w:lineRule="auto"/>
        <w:ind w:firstLine="480"/>
      </w:pPr>
      <w:r>
        <w:rPr>
          <w:rFonts w:ascii="仿宋" w:hAnsi="仿宋" w:eastAsia="仿宋"/>
          <w:b w:val="0"/>
          <w:sz w:val="32"/>
        </w:rPr>
        <w:t>总体来看，五个枢纽的客流高峰集中出现在端午假期前两天（6月17日至19日），节前集中出行的特征非常明显。其中，深圳北站的人流量波动最为剧烈，仅6月18日一天就有超过七十万人次到访，当日深圳本地居民的出行人数甚至超过了外地旅客，说明假期期间本地居民的铁路出行需求十分旺盛。相比之下，宝安机场的每日到访人数变化较为平缓，整个假期都维持在较高水平，这与航空旅客通常会提前较长时间规划行程、出行日期分布较为均衡的特点相一致。坪山站在假期中段（6月18日至19日）出现了一个比较明显的客流小高峰，可能与周边居民的短途旅游和探亲访友活动有关。深圳东站和福田站十天的客流走势则相对平稳，没有出现大起大落的现象。</w:t>
      </w:r>
    </w:p>
    <w:p w14:paraId="08708D4F">
      <w:pPr>
        <w:pStyle w:val="3"/>
      </w:pPr>
      <w:r>
        <w:rPr>
          <w:rFonts w:ascii="仿宋" w:hAnsi="仿宋" w:eastAsia="仿宋"/>
          <w:sz w:val="36"/>
        </w:rPr>
        <w:t>二、交通枢纽旅客停留时长分析</w:t>
      </w:r>
    </w:p>
    <w:p w14:paraId="39642B14">
      <w:pPr>
        <w:pStyle w:val="4"/>
      </w:pPr>
      <w:r>
        <w:rPr>
          <w:rFonts w:ascii="仿宋" w:hAnsi="仿宋" w:eastAsia="仿宋"/>
          <w:sz w:val="32"/>
        </w:rPr>
        <w:t>2.1 停留时长总体分布</w:t>
      </w:r>
    </w:p>
    <w:p w14:paraId="35EF64CC">
      <w:pPr>
        <w:spacing w:line="360" w:lineRule="auto"/>
        <w:ind w:firstLine="480"/>
      </w:pPr>
      <w:r>
        <w:rPr>
          <w:rFonts w:ascii="仿宋" w:hAnsi="仿宋" w:eastAsia="仿宋"/>
          <w:b w:val="0"/>
          <w:sz w:val="32"/>
        </w:rPr>
        <w:t>旅客在交通枢纽停留的时间长短，可以在很大程度上反映枢纽的实际使用方式。一般来说，停留两小时以内的人，大部分是来乘车或者接送亲友的；停留三到六小时的，可能是提前到站候车，或者在枢纽内的商铺消费、休息；停留超过七小时的，则大多是在枢纽内工作的员工，或是住在附近的居民。为了更准确地反映各枢纽的日常运营状态，本部分选取了假期结束后三天（6月19日至21日）的停留时长数据进行统计。</w:t>
      </w:r>
    </w:p>
    <w:p w14:paraId="5472429D">
      <w:pPr>
        <w:spacing w:before="120" w:after="60"/>
        <w:jc w:val="center"/>
      </w:pPr>
      <w:r>
        <w:rPr>
          <w:rFonts w:ascii="仿宋" w:hAnsi="仿宋" w:eastAsia="仿宋"/>
          <w:b/>
          <w:sz w:val="24"/>
        </w:rPr>
        <w:t>表2-1  五大交通枢纽停留时长分布统计（6月19日-21日合计）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C87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CFB9A0C">
            <w:pPr>
              <w:jc w:val="center"/>
            </w:pPr>
            <w:r>
              <w:rPr>
                <w:rFonts w:ascii="仿宋" w:hAnsi="仿宋" w:eastAsia="仿宋"/>
                <w:b/>
                <w:sz w:val="21"/>
              </w:rPr>
              <w:t>交通枢纽</w:t>
            </w:r>
          </w:p>
        </w:tc>
        <w:tc>
          <w:tcPr>
            <w:tcW w:w="1727" w:type="dxa"/>
          </w:tcPr>
          <w:p w14:paraId="25DE9284">
            <w:pPr>
              <w:jc w:val="center"/>
            </w:pPr>
            <w:r>
              <w:rPr>
                <w:rFonts w:ascii="仿宋" w:hAnsi="仿宋" w:eastAsia="仿宋"/>
                <w:b/>
                <w:sz w:val="21"/>
              </w:rPr>
              <w:t>短时停留(0-2h)</w:t>
            </w:r>
          </w:p>
        </w:tc>
        <w:tc>
          <w:tcPr>
            <w:tcW w:w="1727" w:type="dxa"/>
          </w:tcPr>
          <w:p w14:paraId="644D18B3">
            <w:pPr>
              <w:jc w:val="center"/>
            </w:pPr>
            <w:r>
              <w:rPr>
                <w:rFonts w:ascii="仿宋" w:hAnsi="仿宋" w:eastAsia="仿宋"/>
                <w:b/>
                <w:sz w:val="21"/>
              </w:rPr>
              <w:t>中时停留(3-6h)</w:t>
            </w:r>
          </w:p>
        </w:tc>
        <w:tc>
          <w:tcPr>
            <w:tcW w:w="1727" w:type="dxa"/>
          </w:tcPr>
          <w:p w14:paraId="1CDDFDD6">
            <w:pPr>
              <w:jc w:val="center"/>
            </w:pPr>
            <w:r>
              <w:rPr>
                <w:rFonts w:ascii="仿宋" w:hAnsi="仿宋" w:eastAsia="仿宋"/>
                <w:b/>
                <w:sz w:val="21"/>
              </w:rPr>
              <w:t>长时停留(7h以上)</w:t>
            </w:r>
          </w:p>
        </w:tc>
        <w:tc>
          <w:tcPr>
            <w:tcW w:w="1727" w:type="dxa"/>
          </w:tcPr>
          <w:p w14:paraId="72441769">
            <w:pPr>
              <w:jc w:val="center"/>
            </w:pPr>
            <w:r>
              <w:rPr>
                <w:rFonts w:ascii="仿宋" w:hAnsi="仿宋" w:eastAsia="仿宋"/>
                <w:b/>
                <w:sz w:val="21"/>
              </w:rPr>
              <w:t>三日总人次</w:t>
            </w:r>
          </w:p>
        </w:tc>
      </w:tr>
      <w:tr w14:paraId="0C3D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CE3D1D0">
            <w:pPr>
              <w:jc w:val="center"/>
            </w:pPr>
            <w:r>
              <w:rPr>
                <w:rFonts w:ascii="仿宋" w:hAnsi="仿宋" w:eastAsia="仿宋"/>
                <w:sz w:val="21"/>
              </w:rPr>
              <w:t>福田站</w:t>
            </w:r>
          </w:p>
        </w:tc>
        <w:tc>
          <w:tcPr>
            <w:tcW w:w="1727" w:type="dxa"/>
          </w:tcPr>
          <w:p w14:paraId="37757098">
            <w:pPr>
              <w:jc w:val="center"/>
            </w:pPr>
            <w:r>
              <w:rPr>
                <w:rFonts w:ascii="仿宋" w:hAnsi="仿宋" w:eastAsia="仿宋"/>
                <w:sz w:val="21"/>
              </w:rPr>
              <w:t>90.1%（3.9万人）</w:t>
            </w:r>
          </w:p>
        </w:tc>
        <w:tc>
          <w:tcPr>
            <w:tcW w:w="1727" w:type="dxa"/>
          </w:tcPr>
          <w:p w14:paraId="716AAB2B">
            <w:pPr>
              <w:jc w:val="center"/>
            </w:pPr>
            <w:r>
              <w:rPr>
                <w:rFonts w:ascii="仿宋" w:hAnsi="仿宋" w:eastAsia="仿宋"/>
                <w:sz w:val="21"/>
              </w:rPr>
              <w:t>6.2%（0.3万人）</w:t>
            </w:r>
          </w:p>
        </w:tc>
        <w:tc>
          <w:tcPr>
            <w:tcW w:w="1727" w:type="dxa"/>
          </w:tcPr>
          <w:p w14:paraId="18C1F417">
            <w:pPr>
              <w:jc w:val="center"/>
            </w:pPr>
            <w:r>
              <w:rPr>
                <w:rFonts w:ascii="仿宋" w:hAnsi="仿宋" w:eastAsia="仿宋"/>
                <w:sz w:val="21"/>
              </w:rPr>
              <w:t>3.7%（0.2万人）</w:t>
            </w:r>
          </w:p>
        </w:tc>
        <w:tc>
          <w:tcPr>
            <w:tcW w:w="1727" w:type="dxa"/>
          </w:tcPr>
          <w:p w14:paraId="728EF653">
            <w:pPr>
              <w:jc w:val="center"/>
            </w:pPr>
            <w:r>
              <w:rPr>
                <w:rFonts w:ascii="仿宋" w:hAnsi="仿宋" w:eastAsia="仿宋"/>
                <w:sz w:val="21"/>
              </w:rPr>
              <w:t>4.31万人</w:t>
            </w:r>
          </w:p>
        </w:tc>
      </w:tr>
      <w:tr w14:paraId="4125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AB69DB0">
            <w:pPr>
              <w:jc w:val="center"/>
            </w:pPr>
            <w:r>
              <w:rPr>
                <w:rFonts w:ascii="仿宋" w:hAnsi="仿宋" w:eastAsia="仿宋"/>
                <w:sz w:val="21"/>
              </w:rPr>
              <w:t>深圳东站</w:t>
            </w:r>
          </w:p>
        </w:tc>
        <w:tc>
          <w:tcPr>
            <w:tcW w:w="1727" w:type="dxa"/>
          </w:tcPr>
          <w:p w14:paraId="67B1B56E">
            <w:pPr>
              <w:jc w:val="center"/>
            </w:pPr>
            <w:r>
              <w:rPr>
                <w:rFonts w:ascii="仿宋" w:hAnsi="仿宋" w:eastAsia="仿宋"/>
                <w:sz w:val="21"/>
              </w:rPr>
              <w:t>94.3%（43.9万人）</w:t>
            </w:r>
          </w:p>
        </w:tc>
        <w:tc>
          <w:tcPr>
            <w:tcW w:w="1727" w:type="dxa"/>
          </w:tcPr>
          <w:p w14:paraId="33A98C3E">
            <w:pPr>
              <w:jc w:val="center"/>
            </w:pPr>
            <w:r>
              <w:rPr>
                <w:rFonts w:ascii="仿宋" w:hAnsi="仿宋" w:eastAsia="仿宋"/>
                <w:sz w:val="21"/>
              </w:rPr>
              <w:t>3.4%（1.6万人）</w:t>
            </w:r>
          </w:p>
        </w:tc>
        <w:tc>
          <w:tcPr>
            <w:tcW w:w="1727" w:type="dxa"/>
          </w:tcPr>
          <w:p w14:paraId="241D8D85">
            <w:pPr>
              <w:jc w:val="center"/>
            </w:pPr>
            <w:r>
              <w:rPr>
                <w:rFonts w:ascii="仿宋" w:hAnsi="仿宋" w:eastAsia="仿宋"/>
                <w:sz w:val="21"/>
              </w:rPr>
              <w:t>2.3%（1.1万人）</w:t>
            </w:r>
          </w:p>
        </w:tc>
        <w:tc>
          <w:tcPr>
            <w:tcW w:w="1727" w:type="dxa"/>
          </w:tcPr>
          <w:p w14:paraId="1957A58B">
            <w:pPr>
              <w:jc w:val="center"/>
            </w:pPr>
            <w:r>
              <w:rPr>
                <w:rFonts w:ascii="仿宋" w:hAnsi="仿宋" w:eastAsia="仿宋"/>
                <w:sz w:val="21"/>
              </w:rPr>
              <w:t>46.59万人</w:t>
            </w:r>
          </w:p>
        </w:tc>
      </w:tr>
      <w:tr w14:paraId="28F1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3D460C8">
            <w:pPr>
              <w:jc w:val="center"/>
            </w:pPr>
            <w:r>
              <w:rPr>
                <w:rFonts w:ascii="仿宋" w:hAnsi="仿宋" w:eastAsia="仿宋"/>
                <w:sz w:val="21"/>
              </w:rPr>
              <w:t>深圳北站</w:t>
            </w:r>
          </w:p>
        </w:tc>
        <w:tc>
          <w:tcPr>
            <w:tcW w:w="1727" w:type="dxa"/>
          </w:tcPr>
          <w:p w14:paraId="15452A71">
            <w:pPr>
              <w:jc w:val="center"/>
            </w:pPr>
            <w:r>
              <w:rPr>
                <w:rFonts w:ascii="仿宋" w:hAnsi="仿宋" w:eastAsia="仿宋"/>
                <w:sz w:val="21"/>
              </w:rPr>
              <w:t>94.5%（134.4万人）</w:t>
            </w:r>
          </w:p>
        </w:tc>
        <w:tc>
          <w:tcPr>
            <w:tcW w:w="1727" w:type="dxa"/>
          </w:tcPr>
          <w:p w14:paraId="18BBF9AE">
            <w:pPr>
              <w:jc w:val="center"/>
            </w:pPr>
            <w:r>
              <w:rPr>
                <w:rFonts w:ascii="仿宋" w:hAnsi="仿宋" w:eastAsia="仿宋"/>
                <w:sz w:val="21"/>
              </w:rPr>
              <w:t>2.5%（3.6万人）</w:t>
            </w:r>
          </w:p>
        </w:tc>
        <w:tc>
          <w:tcPr>
            <w:tcW w:w="1727" w:type="dxa"/>
          </w:tcPr>
          <w:p w14:paraId="2F40D05C">
            <w:pPr>
              <w:jc w:val="center"/>
            </w:pPr>
            <w:r>
              <w:rPr>
                <w:rFonts w:ascii="仿宋" w:hAnsi="仿宋" w:eastAsia="仿宋"/>
                <w:sz w:val="21"/>
              </w:rPr>
              <w:t>3.0%（4.2万人）</w:t>
            </w:r>
          </w:p>
        </w:tc>
        <w:tc>
          <w:tcPr>
            <w:tcW w:w="1727" w:type="dxa"/>
          </w:tcPr>
          <w:p w14:paraId="71679BDE">
            <w:pPr>
              <w:jc w:val="center"/>
            </w:pPr>
            <w:r>
              <w:rPr>
                <w:rFonts w:ascii="仿宋" w:hAnsi="仿宋" w:eastAsia="仿宋"/>
                <w:sz w:val="21"/>
              </w:rPr>
              <w:t>142.17万人</w:t>
            </w:r>
          </w:p>
        </w:tc>
      </w:tr>
      <w:tr w14:paraId="7F86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7D2460A">
            <w:pPr>
              <w:jc w:val="center"/>
            </w:pPr>
            <w:r>
              <w:rPr>
                <w:rFonts w:ascii="仿宋" w:hAnsi="仿宋" w:eastAsia="仿宋"/>
                <w:sz w:val="21"/>
              </w:rPr>
              <w:t>坪山站</w:t>
            </w:r>
          </w:p>
        </w:tc>
        <w:tc>
          <w:tcPr>
            <w:tcW w:w="1727" w:type="dxa"/>
          </w:tcPr>
          <w:p w14:paraId="11ABD234">
            <w:pPr>
              <w:jc w:val="center"/>
            </w:pPr>
            <w:r>
              <w:rPr>
                <w:rFonts w:ascii="仿宋" w:hAnsi="仿宋" w:eastAsia="仿宋"/>
                <w:sz w:val="21"/>
              </w:rPr>
              <w:t>95.0%（4.9万人）</w:t>
            </w:r>
          </w:p>
        </w:tc>
        <w:tc>
          <w:tcPr>
            <w:tcW w:w="1727" w:type="dxa"/>
          </w:tcPr>
          <w:p w14:paraId="2C021EB7">
            <w:pPr>
              <w:jc w:val="center"/>
            </w:pPr>
            <w:r>
              <w:rPr>
                <w:rFonts w:ascii="仿宋" w:hAnsi="仿宋" w:eastAsia="仿宋"/>
                <w:sz w:val="21"/>
              </w:rPr>
              <w:t>3.3%（0.2万人）</w:t>
            </w:r>
          </w:p>
        </w:tc>
        <w:tc>
          <w:tcPr>
            <w:tcW w:w="1727" w:type="dxa"/>
          </w:tcPr>
          <w:p w14:paraId="3A447A39">
            <w:pPr>
              <w:jc w:val="center"/>
            </w:pPr>
            <w:r>
              <w:rPr>
                <w:rFonts w:ascii="仿宋" w:hAnsi="仿宋" w:eastAsia="仿宋"/>
                <w:sz w:val="21"/>
              </w:rPr>
              <w:t>1.7%（0.1万人）</w:t>
            </w:r>
          </w:p>
        </w:tc>
        <w:tc>
          <w:tcPr>
            <w:tcW w:w="1727" w:type="dxa"/>
          </w:tcPr>
          <w:p w14:paraId="4A4BDF8E">
            <w:pPr>
              <w:jc w:val="center"/>
            </w:pPr>
            <w:r>
              <w:rPr>
                <w:rFonts w:ascii="仿宋" w:hAnsi="仿宋" w:eastAsia="仿宋"/>
                <w:sz w:val="21"/>
              </w:rPr>
              <w:t>5.20万人</w:t>
            </w:r>
          </w:p>
        </w:tc>
      </w:tr>
      <w:tr w14:paraId="6BAC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FABAA3A">
            <w:pPr>
              <w:jc w:val="center"/>
            </w:pPr>
            <w:r>
              <w:rPr>
                <w:rFonts w:ascii="仿宋" w:hAnsi="仿宋" w:eastAsia="仿宋"/>
                <w:sz w:val="21"/>
              </w:rPr>
              <w:t>宝安机场</w:t>
            </w:r>
          </w:p>
        </w:tc>
        <w:tc>
          <w:tcPr>
            <w:tcW w:w="1727" w:type="dxa"/>
          </w:tcPr>
          <w:p w14:paraId="643705E1">
            <w:pPr>
              <w:jc w:val="center"/>
            </w:pPr>
            <w:r>
              <w:rPr>
                <w:rFonts w:ascii="仿宋" w:hAnsi="仿宋" w:eastAsia="仿宋"/>
                <w:sz w:val="21"/>
              </w:rPr>
              <w:t>86.9%（78.1万人）</w:t>
            </w:r>
          </w:p>
        </w:tc>
        <w:tc>
          <w:tcPr>
            <w:tcW w:w="1727" w:type="dxa"/>
          </w:tcPr>
          <w:p w14:paraId="662435E9">
            <w:pPr>
              <w:jc w:val="center"/>
            </w:pPr>
            <w:r>
              <w:rPr>
                <w:rFonts w:ascii="仿宋" w:hAnsi="仿宋" w:eastAsia="仿宋"/>
                <w:sz w:val="21"/>
              </w:rPr>
              <w:t>8.4%（7.6万人）</w:t>
            </w:r>
          </w:p>
        </w:tc>
        <w:tc>
          <w:tcPr>
            <w:tcW w:w="1727" w:type="dxa"/>
          </w:tcPr>
          <w:p w14:paraId="46A86ADC">
            <w:pPr>
              <w:jc w:val="center"/>
            </w:pPr>
            <w:r>
              <w:rPr>
                <w:rFonts w:ascii="仿宋" w:hAnsi="仿宋" w:eastAsia="仿宋"/>
                <w:sz w:val="21"/>
              </w:rPr>
              <w:t>4.7%（4.2万人）</w:t>
            </w:r>
          </w:p>
        </w:tc>
        <w:tc>
          <w:tcPr>
            <w:tcW w:w="1727" w:type="dxa"/>
          </w:tcPr>
          <w:p w14:paraId="45736375">
            <w:pPr>
              <w:jc w:val="center"/>
            </w:pPr>
            <w:r>
              <w:rPr>
                <w:rFonts w:ascii="仿宋" w:hAnsi="仿宋" w:eastAsia="仿宋"/>
                <w:sz w:val="21"/>
              </w:rPr>
              <w:t>89.91万人</w:t>
            </w:r>
          </w:p>
        </w:tc>
      </w:tr>
    </w:tbl>
    <w:p w14:paraId="2F175AC1"/>
    <w:p w14:paraId="1AAAFD18">
      <w:pPr>
        <w:spacing w:line="360" w:lineRule="auto"/>
        <w:ind w:firstLine="480"/>
      </w:pPr>
      <w:r>
        <w:rPr>
          <w:rFonts w:ascii="仿宋" w:hAnsi="仿宋" w:eastAsia="仿宋"/>
          <w:b w:val="0"/>
          <w:sz w:val="32"/>
        </w:rPr>
        <w:t>表2-1的数据展示出不同枢纽之间停留时长的鲜明对比。深圳北站和深圳东站超过九成的到访者都在两小时以内离开，其中深圳北站这一比例高达约百分之九十五。这说明两个大型铁路客运站的到访者绝大多数都是"来了就走"，枢纽的使用效率非常高，旅客在站内的活动高度集中于检票进站和出站换乘两个环节。宝安机场的情况则大不相同——虽然两小时内离开的旅客仍占多数，但停留三到六小时的旅客接近两成，停留超过七小时的也占一成半左右。机场旅客停留时间偏长的原因不难理解：乘坐飞机需要预留充足的时间办理值机、托运行李和通过安检，国内航班一般要求提前一到两小时到达，国际航班更是需要提前两到三小时，如果遇到航班延误，等待时间还会进一步延长。坪山站停留三小时以上的人员比例也比深圳北站和深圳东站要高，可能是因为坪山站作为一个规模较小的车站，周边的餐饮和休息配套设施有限，一些旅客不得不更早到站等候。</w:t>
      </w:r>
    </w:p>
    <w:p w14:paraId="69A94086">
      <w:pPr>
        <w:spacing w:before="120" w:after="120"/>
        <w:jc w:val="center"/>
      </w:pPr>
      <w:r>
        <w:drawing>
          <wp:inline distT="0" distB="0" distL="114300" distR="114300">
            <wp:extent cx="5459730" cy="3162935"/>
            <wp:effectExtent l="0" t="0" r="127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59730" cy="3162935"/>
                    </a:xfrm>
                    <a:prstGeom prst="rect">
                      <a:avLst/>
                    </a:prstGeom>
                  </pic:spPr>
                </pic:pic>
              </a:graphicData>
            </a:graphic>
          </wp:inline>
        </w:drawing>
      </w:r>
    </w:p>
    <w:p w14:paraId="3D5F1F38">
      <w:pPr>
        <w:spacing w:line="360" w:lineRule="auto"/>
        <w:jc w:val="center"/>
      </w:pPr>
      <w:r>
        <w:rPr>
          <w:rFonts w:ascii="仿宋" w:hAnsi="仿宋" w:eastAsia="仿宋"/>
          <w:b w:val="0"/>
          <w:sz w:val="20"/>
        </w:rPr>
        <w:t>图2-1  五大交通枢纽停留时长分布对比</w:t>
      </w:r>
    </w:p>
    <w:p w14:paraId="492716F9">
      <w:pPr>
        <w:pStyle w:val="4"/>
      </w:pPr>
      <w:r>
        <w:rPr>
          <w:rFonts w:ascii="仿宋" w:hAnsi="仿宋" w:eastAsia="仿宋"/>
          <w:sz w:val="32"/>
        </w:rPr>
        <w:t>2.2 停留时长整体分布特征</w:t>
      </w:r>
    </w:p>
    <w:p w14:paraId="645D32D3">
      <w:pPr>
        <w:spacing w:line="360" w:lineRule="auto"/>
        <w:ind w:firstLine="480"/>
      </w:pPr>
      <w:r>
        <w:rPr>
          <w:rFonts w:ascii="仿宋" w:hAnsi="仿宋" w:eastAsia="仿宋"/>
          <w:b w:val="0"/>
          <w:sz w:val="32"/>
        </w:rPr>
        <w:t>除了分类统计之外，还可以通过另一种更为直观的方式来观察各枢纽旅客停留时长的整体规律。图2-2将各枢纽全部旅客的停留时间从短到长依次排列后绘制成一条曲线</w:t>
      </w:r>
      <w:r>
        <w:rPr>
          <w:rFonts w:hint="eastAsia"/>
          <w:b w:val="0"/>
          <w:sz w:val="32"/>
          <w:lang w:eastAsia="zh-CN"/>
        </w:rPr>
        <w:t>，</w:t>
      </w:r>
      <w:r>
        <w:rPr>
          <w:rFonts w:ascii="仿宋" w:hAnsi="仿宋" w:eastAsia="仿宋"/>
          <w:b w:val="0"/>
          <w:sz w:val="32"/>
        </w:rPr>
        <w:t>曲线在最初阶段上升得越快，说明短时间内离开的旅客越集中；上升得越慢，则说明旅客的停留时间长短不一、分布比较分散。</w:t>
      </w:r>
    </w:p>
    <w:p w14:paraId="12C215F7">
      <w:pPr>
        <w:spacing w:before="120" w:after="120"/>
        <w:jc w:val="center"/>
      </w:pPr>
      <w:r>
        <w:drawing>
          <wp:inline distT="0" distB="0" distL="114300" distR="114300">
            <wp:extent cx="5453380" cy="272097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53380" cy="2720975"/>
                    </a:xfrm>
                    <a:prstGeom prst="rect">
                      <a:avLst/>
                    </a:prstGeom>
                  </pic:spPr>
                </pic:pic>
              </a:graphicData>
            </a:graphic>
          </wp:inline>
        </w:drawing>
      </w:r>
    </w:p>
    <w:p w14:paraId="57333167">
      <w:pPr>
        <w:spacing w:line="360" w:lineRule="auto"/>
        <w:jc w:val="center"/>
      </w:pPr>
      <w:r>
        <w:rPr>
          <w:rFonts w:ascii="仿宋" w:hAnsi="仿宋" w:eastAsia="仿宋"/>
          <w:b w:val="0"/>
          <w:sz w:val="20"/>
        </w:rPr>
        <w:t>图2-2  五大交通枢纽停留时长整体分布曲线</w:t>
      </w:r>
    </w:p>
    <w:p w14:paraId="663029DD">
      <w:pPr>
        <w:spacing w:line="360" w:lineRule="auto"/>
        <w:ind w:firstLine="480"/>
      </w:pPr>
      <w:r>
        <w:rPr>
          <w:rFonts w:ascii="仿宋" w:hAnsi="仿宋" w:eastAsia="仿宋"/>
          <w:b w:val="0"/>
          <w:sz w:val="32"/>
        </w:rPr>
        <w:t>从图2-2中可以清楚地看到，深圳北站和深圳东站的曲线在一开始就急速攀升</w:t>
      </w:r>
      <w:r>
        <w:rPr>
          <w:rFonts w:hint="eastAsia"/>
          <w:b w:val="0"/>
          <w:sz w:val="32"/>
          <w:lang w:eastAsia="zh-CN"/>
        </w:rPr>
        <w:t>：</w:t>
      </w:r>
      <w:r>
        <w:rPr>
          <w:rFonts w:ascii="仿宋" w:hAnsi="仿宋" w:eastAsia="仿宋"/>
          <w:b w:val="0"/>
          <w:sz w:val="32"/>
        </w:rPr>
        <w:t>大约一半的旅客在到站后一小时内就已离开，三个小时内覆盖了九成的旅客，非常符合铁路客运站"快速集散"的运营特点。福田站的曲线上升速度比前两者略慢，有一半左右的旅客在一到两小时之间离开，这可能与福田站地处市中心、周边写字楼和商场密集有关，部分到访者会在车站附近处理事务或购物后再离开。宝安机场的曲线上升最为缓慢</w:t>
      </w:r>
      <w:r>
        <w:rPr>
          <w:rFonts w:hint="eastAsia"/>
          <w:b w:val="0"/>
          <w:sz w:val="32"/>
          <w:lang w:eastAsia="zh-CN"/>
        </w:rPr>
        <w:t>，</w:t>
      </w:r>
      <w:r>
        <w:rPr>
          <w:rFonts w:ascii="仿宋" w:hAnsi="仿宋" w:eastAsia="仿宋"/>
          <w:b w:val="0"/>
          <w:sz w:val="32"/>
        </w:rPr>
        <w:t>一半旅客虽然也在一到两小时内离开，但要到六小时左右才能覆盖到九成旅客，这再次印证了航空旅客等候时间偏长、个体差异较大的特征。坪山站则介于机场和大型铁路站之间，客流构成相对多元，既包括短时停留的乘车旅客，也包括到站较早、等候时间偏长的候车人群。</w:t>
      </w:r>
    </w:p>
    <w:p w14:paraId="6B928F29">
      <w:pPr>
        <w:pStyle w:val="3"/>
      </w:pPr>
      <w:r>
        <w:rPr>
          <w:rFonts w:ascii="仿宋" w:hAnsi="仿宋" w:eastAsia="仿宋"/>
          <w:sz w:val="36"/>
        </w:rPr>
        <w:t>三、交通枢纽客流来源分析</w:t>
      </w:r>
    </w:p>
    <w:p w14:paraId="6B6ACE71">
      <w:pPr>
        <w:pStyle w:val="4"/>
      </w:pPr>
      <w:r>
        <w:rPr>
          <w:rFonts w:ascii="仿宋" w:hAnsi="仿宋" w:eastAsia="仿宋"/>
          <w:sz w:val="32"/>
        </w:rPr>
        <w:t>3.1 客流来源总体结构</w:t>
      </w:r>
    </w:p>
    <w:p w14:paraId="1F58CE24">
      <w:pPr>
        <w:spacing w:line="360" w:lineRule="auto"/>
        <w:ind w:firstLine="480"/>
      </w:pPr>
      <w:r>
        <w:rPr>
          <w:rFonts w:ascii="仿宋" w:hAnsi="仿宋" w:eastAsia="仿宋"/>
          <w:b w:val="0"/>
          <w:sz w:val="32"/>
        </w:rPr>
        <w:t>了解来到这些交通枢纽的人都是从哪里来的，有助于判断各个枢纽的服务区域和影响范围。本部分将客流来源地划分为三个类别：广东省内各市、国内其他省份以及境外（含港澳台地区），以在枢纽内停留超过五分钟的到访者为主要统计对象。</w:t>
      </w:r>
    </w:p>
    <w:p w14:paraId="730B6ABE">
      <w:pPr>
        <w:spacing w:before="120" w:after="60"/>
        <w:jc w:val="center"/>
      </w:pPr>
      <w:r>
        <w:rPr>
          <w:rFonts w:ascii="仿宋" w:hAnsi="仿宋" w:eastAsia="仿宋"/>
          <w:b/>
          <w:sz w:val="24"/>
        </w:rPr>
        <w:t>表3-1  五大交通枢纽客流来源结构（停留5分钟以上）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DAE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A357F2D">
            <w:pPr>
              <w:jc w:val="center"/>
            </w:pPr>
            <w:r>
              <w:rPr>
                <w:rFonts w:ascii="仿宋" w:hAnsi="仿宋" w:eastAsia="仿宋"/>
                <w:b/>
                <w:sz w:val="21"/>
              </w:rPr>
              <w:t>交通枢纽</w:t>
            </w:r>
          </w:p>
        </w:tc>
        <w:tc>
          <w:tcPr>
            <w:tcW w:w="1727" w:type="dxa"/>
          </w:tcPr>
          <w:p w14:paraId="14089675">
            <w:pPr>
              <w:jc w:val="center"/>
            </w:pPr>
            <w:r>
              <w:rPr>
                <w:rFonts w:ascii="仿宋" w:hAnsi="仿宋" w:eastAsia="仿宋"/>
                <w:b/>
                <w:sz w:val="21"/>
              </w:rPr>
              <w:t>省内客流（占比）</w:t>
            </w:r>
          </w:p>
        </w:tc>
        <w:tc>
          <w:tcPr>
            <w:tcW w:w="1727" w:type="dxa"/>
          </w:tcPr>
          <w:p w14:paraId="0A28373C">
            <w:pPr>
              <w:jc w:val="center"/>
            </w:pPr>
            <w:r>
              <w:rPr>
                <w:rFonts w:ascii="仿宋" w:hAnsi="仿宋" w:eastAsia="仿宋"/>
                <w:b/>
                <w:sz w:val="21"/>
              </w:rPr>
              <w:t>省外客流（占比）</w:t>
            </w:r>
          </w:p>
        </w:tc>
        <w:tc>
          <w:tcPr>
            <w:tcW w:w="1727" w:type="dxa"/>
          </w:tcPr>
          <w:p w14:paraId="68B50531">
            <w:pPr>
              <w:jc w:val="center"/>
            </w:pPr>
            <w:r>
              <w:rPr>
                <w:rFonts w:ascii="仿宋" w:hAnsi="仿宋" w:eastAsia="仿宋"/>
                <w:b/>
                <w:sz w:val="21"/>
              </w:rPr>
              <w:t>境外客流（占比）</w:t>
            </w:r>
          </w:p>
        </w:tc>
        <w:tc>
          <w:tcPr>
            <w:tcW w:w="1727" w:type="dxa"/>
          </w:tcPr>
          <w:p w14:paraId="19F96981">
            <w:pPr>
              <w:jc w:val="center"/>
            </w:pPr>
            <w:r>
              <w:rPr>
                <w:rFonts w:ascii="仿宋" w:hAnsi="仿宋" w:eastAsia="仿宋"/>
                <w:b/>
                <w:sz w:val="21"/>
              </w:rPr>
              <w:t>客流总量</w:t>
            </w:r>
          </w:p>
        </w:tc>
      </w:tr>
      <w:tr w14:paraId="3DEF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E4CD1A0">
            <w:pPr>
              <w:jc w:val="center"/>
            </w:pPr>
            <w:r>
              <w:rPr>
                <w:rFonts w:ascii="仿宋" w:hAnsi="仿宋" w:eastAsia="仿宋"/>
                <w:sz w:val="21"/>
              </w:rPr>
              <w:t>福田站</w:t>
            </w:r>
          </w:p>
        </w:tc>
        <w:tc>
          <w:tcPr>
            <w:tcW w:w="1727" w:type="dxa"/>
          </w:tcPr>
          <w:p w14:paraId="08C9C396">
            <w:pPr>
              <w:jc w:val="center"/>
            </w:pPr>
            <w:r>
              <w:rPr>
                <w:rFonts w:ascii="仿宋" w:hAnsi="仿宋" w:eastAsia="仿宋"/>
                <w:sz w:val="21"/>
              </w:rPr>
              <w:t>95.9%（0.7万人）</w:t>
            </w:r>
          </w:p>
        </w:tc>
        <w:tc>
          <w:tcPr>
            <w:tcW w:w="1727" w:type="dxa"/>
          </w:tcPr>
          <w:p w14:paraId="25370BF0">
            <w:pPr>
              <w:jc w:val="center"/>
            </w:pPr>
            <w:r>
              <w:rPr>
                <w:rFonts w:ascii="仿宋" w:hAnsi="仿宋" w:eastAsia="仿宋"/>
                <w:sz w:val="21"/>
              </w:rPr>
              <w:t>0.1%（0.0万人）</w:t>
            </w:r>
          </w:p>
        </w:tc>
        <w:tc>
          <w:tcPr>
            <w:tcW w:w="1727" w:type="dxa"/>
          </w:tcPr>
          <w:p w14:paraId="04220E47">
            <w:pPr>
              <w:jc w:val="center"/>
            </w:pPr>
            <w:r>
              <w:rPr>
                <w:rFonts w:ascii="仿宋" w:hAnsi="仿宋" w:eastAsia="仿宋"/>
                <w:sz w:val="21"/>
              </w:rPr>
              <w:t>4.0%（0.0万人）</w:t>
            </w:r>
          </w:p>
        </w:tc>
        <w:tc>
          <w:tcPr>
            <w:tcW w:w="1727" w:type="dxa"/>
          </w:tcPr>
          <w:p w14:paraId="00EE90D2">
            <w:pPr>
              <w:jc w:val="center"/>
            </w:pPr>
            <w:r>
              <w:rPr>
                <w:rFonts w:ascii="仿宋" w:hAnsi="仿宋" w:eastAsia="仿宋"/>
                <w:sz w:val="21"/>
              </w:rPr>
              <w:t>0.74万人</w:t>
            </w:r>
          </w:p>
        </w:tc>
      </w:tr>
      <w:tr w14:paraId="418E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D980682">
            <w:pPr>
              <w:jc w:val="center"/>
            </w:pPr>
            <w:r>
              <w:rPr>
                <w:rFonts w:ascii="仿宋" w:hAnsi="仿宋" w:eastAsia="仿宋"/>
                <w:sz w:val="21"/>
              </w:rPr>
              <w:t>深圳东站</w:t>
            </w:r>
          </w:p>
        </w:tc>
        <w:tc>
          <w:tcPr>
            <w:tcW w:w="1727" w:type="dxa"/>
          </w:tcPr>
          <w:p w14:paraId="2C5BFDF9">
            <w:pPr>
              <w:jc w:val="center"/>
            </w:pPr>
            <w:r>
              <w:rPr>
                <w:rFonts w:ascii="仿宋" w:hAnsi="仿宋" w:eastAsia="仿宋"/>
                <w:sz w:val="21"/>
              </w:rPr>
              <w:t>99.3%（7.6万人）</w:t>
            </w:r>
          </w:p>
        </w:tc>
        <w:tc>
          <w:tcPr>
            <w:tcW w:w="1727" w:type="dxa"/>
          </w:tcPr>
          <w:p w14:paraId="5CECEA91">
            <w:pPr>
              <w:jc w:val="center"/>
            </w:pPr>
            <w:r>
              <w:rPr>
                <w:rFonts w:ascii="仿宋" w:hAnsi="仿宋" w:eastAsia="仿宋"/>
                <w:sz w:val="21"/>
              </w:rPr>
              <w:t>0.2%（0.0万人）</w:t>
            </w:r>
          </w:p>
        </w:tc>
        <w:tc>
          <w:tcPr>
            <w:tcW w:w="1727" w:type="dxa"/>
          </w:tcPr>
          <w:p w14:paraId="24A744BA">
            <w:pPr>
              <w:jc w:val="center"/>
            </w:pPr>
            <w:r>
              <w:rPr>
                <w:rFonts w:ascii="仿宋" w:hAnsi="仿宋" w:eastAsia="仿宋"/>
                <w:sz w:val="21"/>
              </w:rPr>
              <w:t>0.5%（0.0万人）</w:t>
            </w:r>
          </w:p>
        </w:tc>
        <w:tc>
          <w:tcPr>
            <w:tcW w:w="1727" w:type="dxa"/>
          </w:tcPr>
          <w:p w14:paraId="3FC00AE5">
            <w:pPr>
              <w:jc w:val="center"/>
            </w:pPr>
            <w:r>
              <w:rPr>
                <w:rFonts w:ascii="仿宋" w:hAnsi="仿宋" w:eastAsia="仿宋"/>
                <w:sz w:val="21"/>
              </w:rPr>
              <w:t>7.66万人</w:t>
            </w:r>
          </w:p>
        </w:tc>
      </w:tr>
      <w:tr w14:paraId="05CC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DC18F76">
            <w:pPr>
              <w:jc w:val="center"/>
            </w:pPr>
            <w:r>
              <w:rPr>
                <w:rFonts w:ascii="仿宋" w:hAnsi="仿宋" w:eastAsia="仿宋"/>
                <w:sz w:val="21"/>
              </w:rPr>
              <w:t>深圳北站</w:t>
            </w:r>
          </w:p>
        </w:tc>
        <w:tc>
          <w:tcPr>
            <w:tcW w:w="1727" w:type="dxa"/>
          </w:tcPr>
          <w:p w14:paraId="430FF405">
            <w:pPr>
              <w:jc w:val="center"/>
            </w:pPr>
            <w:r>
              <w:rPr>
                <w:rFonts w:ascii="仿宋" w:hAnsi="仿宋" w:eastAsia="仿宋"/>
                <w:sz w:val="21"/>
              </w:rPr>
              <w:t>98.0%（23.5万人）</w:t>
            </w:r>
          </w:p>
        </w:tc>
        <w:tc>
          <w:tcPr>
            <w:tcW w:w="1727" w:type="dxa"/>
          </w:tcPr>
          <w:p w14:paraId="181DD6E8">
            <w:pPr>
              <w:jc w:val="center"/>
            </w:pPr>
            <w:r>
              <w:rPr>
                <w:rFonts w:ascii="仿宋" w:hAnsi="仿宋" w:eastAsia="仿宋"/>
                <w:sz w:val="21"/>
              </w:rPr>
              <w:t>0.2%（0.0万人）</w:t>
            </w:r>
          </w:p>
        </w:tc>
        <w:tc>
          <w:tcPr>
            <w:tcW w:w="1727" w:type="dxa"/>
          </w:tcPr>
          <w:p w14:paraId="7410F032">
            <w:pPr>
              <w:jc w:val="center"/>
            </w:pPr>
            <w:r>
              <w:rPr>
                <w:rFonts w:ascii="仿宋" w:hAnsi="仿宋" w:eastAsia="仿宋"/>
                <w:sz w:val="21"/>
              </w:rPr>
              <w:t>1.8%（0.4万人）</w:t>
            </w:r>
          </w:p>
        </w:tc>
        <w:tc>
          <w:tcPr>
            <w:tcW w:w="1727" w:type="dxa"/>
          </w:tcPr>
          <w:p w14:paraId="05DC6882">
            <w:pPr>
              <w:jc w:val="center"/>
            </w:pPr>
            <w:r>
              <w:rPr>
                <w:rFonts w:ascii="仿宋" w:hAnsi="仿宋" w:eastAsia="仿宋"/>
                <w:sz w:val="21"/>
              </w:rPr>
              <w:t>23.92万人</w:t>
            </w:r>
          </w:p>
        </w:tc>
      </w:tr>
      <w:tr w14:paraId="3EF0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F69E337">
            <w:pPr>
              <w:jc w:val="center"/>
            </w:pPr>
            <w:r>
              <w:rPr>
                <w:rFonts w:ascii="仿宋" w:hAnsi="仿宋" w:eastAsia="仿宋"/>
                <w:sz w:val="21"/>
              </w:rPr>
              <w:t>坪山站</w:t>
            </w:r>
          </w:p>
        </w:tc>
        <w:tc>
          <w:tcPr>
            <w:tcW w:w="1727" w:type="dxa"/>
          </w:tcPr>
          <w:p w14:paraId="1CDA299B">
            <w:pPr>
              <w:jc w:val="center"/>
            </w:pPr>
            <w:r>
              <w:rPr>
                <w:rFonts w:ascii="仿宋" w:hAnsi="仿宋" w:eastAsia="仿宋"/>
                <w:sz w:val="21"/>
              </w:rPr>
              <w:t>99.1%（0.9万人）</w:t>
            </w:r>
          </w:p>
        </w:tc>
        <w:tc>
          <w:tcPr>
            <w:tcW w:w="1727" w:type="dxa"/>
          </w:tcPr>
          <w:p w14:paraId="75EF3B50">
            <w:pPr>
              <w:jc w:val="center"/>
            </w:pPr>
            <w:r>
              <w:rPr>
                <w:rFonts w:ascii="仿宋" w:hAnsi="仿宋" w:eastAsia="仿宋"/>
                <w:sz w:val="21"/>
              </w:rPr>
              <w:t>0.7%（0.0万人）</w:t>
            </w:r>
          </w:p>
        </w:tc>
        <w:tc>
          <w:tcPr>
            <w:tcW w:w="1727" w:type="dxa"/>
          </w:tcPr>
          <w:p w14:paraId="7F9BFB74">
            <w:pPr>
              <w:jc w:val="center"/>
            </w:pPr>
            <w:r>
              <w:rPr>
                <w:rFonts w:ascii="仿宋" w:hAnsi="仿宋" w:eastAsia="仿宋"/>
                <w:sz w:val="21"/>
              </w:rPr>
              <w:t>0.2%（0.0万人）</w:t>
            </w:r>
          </w:p>
        </w:tc>
        <w:tc>
          <w:tcPr>
            <w:tcW w:w="1727" w:type="dxa"/>
          </w:tcPr>
          <w:p w14:paraId="5FEBF8D3">
            <w:pPr>
              <w:jc w:val="center"/>
            </w:pPr>
            <w:r>
              <w:rPr>
                <w:rFonts w:ascii="仿宋" w:hAnsi="仿宋" w:eastAsia="仿宋"/>
                <w:sz w:val="21"/>
              </w:rPr>
              <w:t>0.94万人</w:t>
            </w:r>
          </w:p>
        </w:tc>
      </w:tr>
      <w:tr w14:paraId="4B1B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1F02AB2">
            <w:pPr>
              <w:jc w:val="center"/>
            </w:pPr>
            <w:r>
              <w:rPr>
                <w:rFonts w:ascii="仿宋" w:hAnsi="仿宋" w:eastAsia="仿宋"/>
                <w:sz w:val="21"/>
              </w:rPr>
              <w:t>宝安机场</w:t>
            </w:r>
          </w:p>
        </w:tc>
        <w:tc>
          <w:tcPr>
            <w:tcW w:w="1727" w:type="dxa"/>
          </w:tcPr>
          <w:p w14:paraId="5AF4A4E9">
            <w:pPr>
              <w:jc w:val="center"/>
            </w:pPr>
            <w:r>
              <w:rPr>
                <w:rFonts w:ascii="仿宋" w:hAnsi="仿宋" w:eastAsia="仿宋"/>
                <w:sz w:val="21"/>
              </w:rPr>
              <w:t>86.6%（13.4万人）</w:t>
            </w:r>
          </w:p>
        </w:tc>
        <w:tc>
          <w:tcPr>
            <w:tcW w:w="1727" w:type="dxa"/>
          </w:tcPr>
          <w:p w14:paraId="08CAEFF8">
            <w:pPr>
              <w:jc w:val="center"/>
            </w:pPr>
            <w:r>
              <w:rPr>
                <w:rFonts w:ascii="仿宋" w:hAnsi="仿宋" w:eastAsia="仿宋"/>
                <w:sz w:val="21"/>
              </w:rPr>
              <w:t>8.4%（1.3万人）</w:t>
            </w:r>
          </w:p>
        </w:tc>
        <w:tc>
          <w:tcPr>
            <w:tcW w:w="1727" w:type="dxa"/>
          </w:tcPr>
          <w:p w14:paraId="7CF8FE4A">
            <w:pPr>
              <w:jc w:val="center"/>
            </w:pPr>
            <w:r>
              <w:rPr>
                <w:rFonts w:ascii="仿宋" w:hAnsi="仿宋" w:eastAsia="仿宋"/>
                <w:sz w:val="21"/>
              </w:rPr>
              <w:t>5.0%（0.8万人）</w:t>
            </w:r>
          </w:p>
        </w:tc>
        <w:tc>
          <w:tcPr>
            <w:tcW w:w="1727" w:type="dxa"/>
          </w:tcPr>
          <w:p w14:paraId="512C5FBB">
            <w:pPr>
              <w:jc w:val="center"/>
            </w:pPr>
            <w:r>
              <w:rPr>
                <w:rFonts w:ascii="仿宋" w:hAnsi="仿宋" w:eastAsia="仿宋"/>
                <w:sz w:val="21"/>
              </w:rPr>
              <w:t>15.50万人</w:t>
            </w:r>
          </w:p>
        </w:tc>
      </w:tr>
    </w:tbl>
    <w:p w14:paraId="02E86D53"/>
    <w:p w14:paraId="4B971BA4">
      <w:pPr>
        <w:spacing w:line="360" w:lineRule="auto"/>
        <w:ind w:firstLine="480"/>
      </w:pPr>
      <w:r>
        <w:rPr>
          <w:rFonts w:ascii="仿宋" w:hAnsi="仿宋" w:eastAsia="仿宋"/>
          <w:b w:val="0"/>
          <w:sz w:val="32"/>
        </w:rPr>
        <w:t>从表3-1的统计结果来看，五个枢纽的到访者绝大多数来自广东省内，比例普遍在百分之八十六到百分之九十九之间，这符合交通枢纽首先服务周边区域的普遍规律。但不同枢纽之间仍然存在值得关注的区别。宝安机场的客流来源最为多样化</w:t>
      </w:r>
      <w:r>
        <w:rPr>
          <w:rFonts w:hint="eastAsia"/>
          <w:b w:val="0"/>
          <w:sz w:val="32"/>
          <w:lang w:eastAsia="zh-CN"/>
        </w:rPr>
        <w:t>：</w:t>
      </w:r>
      <w:r>
        <w:rPr>
          <w:rFonts w:ascii="仿宋" w:hAnsi="仿宋" w:eastAsia="仿宋"/>
          <w:b w:val="0"/>
          <w:sz w:val="32"/>
        </w:rPr>
        <w:t>来自广东省外其他省份的旅客约占百分之八点四，来自境外的旅客约占百分之五，这两项在五个枢纽中都远高于其他四个铁路车站，充分体现了机场作为国际化口岸的服务广度。福田站的境外旅客比例约为百分之四，在铁路车站中表现最为突出，这主要得益于福田站开行了直达香港西九龙的高速列车，每天有相当数量的跨境旅客由此通行。深圳北站、深圳东站和坪山站的客流则基本都来自广东省内，三者均在百分之九十八以上，其中坪山站更是接近百分之九十九，说明这几个车站的服务范围主要集中在深圳市及周边区域，是一个典型的区域性交通节点。</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5"/>
        <w:gridCol w:w="4425"/>
      </w:tblGrid>
      <w:tr w14:paraId="228DA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2CF0B5E5">
            <w:pPr>
              <w:jc w:val="center"/>
            </w:pPr>
            <w:r>
              <w:drawing>
                <wp:inline distT="0" distB="0" distL="114300" distR="114300">
                  <wp:extent cx="2880360" cy="27971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2880360" cy="2797397"/>
                          </a:xfrm>
                          <a:prstGeom prst="rect">
                            <a:avLst/>
                          </a:prstGeom>
                        </pic:spPr>
                      </pic:pic>
                    </a:graphicData>
                  </a:graphic>
                </wp:inline>
              </w:drawing>
            </w:r>
          </w:p>
        </w:tc>
        <w:tc>
          <w:tcPr>
            <w:tcW w:w="4680" w:type="dxa"/>
          </w:tcPr>
          <w:p w14:paraId="72BCAACA">
            <w:pPr>
              <w:jc w:val="center"/>
            </w:pPr>
            <w:r>
              <w:drawing>
                <wp:inline distT="0" distB="0" distL="114300" distR="114300">
                  <wp:extent cx="2880360" cy="28987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2880360" cy="2899168"/>
                          </a:xfrm>
                          <a:prstGeom prst="rect">
                            <a:avLst/>
                          </a:prstGeom>
                        </pic:spPr>
                      </pic:pic>
                    </a:graphicData>
                  </a:graphic>
                </wp:inline>
              </w:drawing>
            </w:r>
          </w:p>
        </w:tc>
      </w:tr>
      <w:tr w14:paraId="6480A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20B1782E">
            <w:pPr>
              <w:jc w:val="center"/>
            </w:pPr>
            <w:r>
              <w:drawing>
                <wp:inline distT="0" distB="0" distL="114300" distR="114300">
                  <wp:extent cx="2880360" cy="2794635"/>
                  <wp:effectExtent l="0" t="0" r="254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2880360" cy="2794882"/>
                          </a:xfrm>
                          <a:prstGeom prst="rect">
                            <a:avLst/>
                          </a:prstGeom>
                        </pic:spPr>
                      </pic:pic>
                    </a:graphicData>
                  </a:graphic>
                </wp:inline>
              </w:drawing>
            </w:r>
          </w:p>
        </w:tc>
        <w:tc>
          <w:tcPr>
            <w:tcW w:w="4680" w:type="dxa"/>
          </w:tcPr>
          <w:p w14:paraId="7C948CAE">
            <w:pPr>
              <w:jc w:val="center"/>
            </w:pPr>
            <w:r>
              <w:drawing>
                <wp:inline distT="0" distB="0" distL="114300" distR="114300">
                  <wp:extent cx="2880360" cy="28098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2880360" cy="2810044"/>
                          </a:xfrm>
                          <a:prstGeom prst="rect">
                            <a:avLst/>
                          </a:prstGeom>
                        </pic:spPr>
                      </pic:pic>
                    </a:graphicData>
                  </a:graphic>
                </wp:inline>
              </w:drawing>
            </w:r>
          </w:p>
        </w:tc>
      </w:tr>
      <w:tr w14:paraId="2E939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2"/>
          </w:tcPr>
          <w:p w14:paraId="669AA132">
            <w:pPr>
              <w:jc w:val="center"/>
            </w:pPr>
            <w:r>
              <w:drawing>
                <wp:inline distT="0" distB="0" distL="114300" distR="114300">
                  <wp:extent cx="2880360" cy="2794635"/>
                  <wp:effectExtent l="0" t="0" r="254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2880360" cy="2794882"/>
                          </a:xfrm>
                          <a:prstGeom prst="rect">
                            <a:avLst/>
                          </a:prstGeom>
                        </pic:spPr>
                      </pic:pic>
                    </a:graphicData>
                  </a:graphic>
                </wp:inline>
              </w:drawing>
            </w:r>
          </w:p>
        </w:tc>
      </w:tr>
      <w:tr w14:paraId="66EA5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2"/>
          </w:tcPr>
          <w:p w14:paraId="7795BDFA">
            <w:pPr>
              <w:spacing w:line="360" w:lineRule="auto"/>
              <w:jc w:val="center"/>
            </w:pPr>
            <w:r>
              <w:rPr>
                <w:rFonts w:ascii="仿宋" w:hAnsi="仿宋" w:eastAsia="仿宋"/>
                <w:b w:val="0"/>
                <w:sz w:val="20"/>
              </w:rPr>
              <w:t>图3-1  五大交通枢纽客流来源结构分布</w:t>
            </w:r>
          </w:p>
        </w:tc>
      </w:tr>
    </w:tbl>
    <w:p w14:paraId="76294F60"/>
    <w:p w14:paraId="61131674">
      <w:pPr>
        <w:pStyle w:val="4"/>
      </w:pPr>
      <w:r>
        <w:rPr>
          <w:rFonts w:ascii="仿宋" w:hAnsi="仿宋" w:eastAsia="仿宋"/>
          <w:sz w:val="32"/>
        </w:rPr>
        <w:t>3.2 省内主要客源城市</w:t>
      </w:r>
    </w:p>
    <w:p w14:paraId="09FBA490">
      <w:pPr>
        <w:spacing w:line="360" w:lineRule="auto"/>
        <w:ind w:firstLine="480"/>
        <w:rPr>
          <w:rFonts w:ascii="仿宋" w:hAnsi="仿宋" w:eastAsia="仿宋"/>
          <w:b w:val="0"/>
          <w:sz w:val="32"/>
        </w:rPr>
      </w:pPr>
      <w:r>
        <w:rPr>
          <w:rFonts w:ascii="仿宋" w:hAnsi="仿宋" w:eastAsia="仿宋"/>
          <w:b w:val="0"/>
          <w:sz w:val="32"/>
        </w:rPr>
        <w:t>在了解客流来源的总体构成之后，进一步分析省内客流具体来自哪些城市，有助于更加精准地判断各枢纽在广东省内的服务辐射范围。图3-2列出了五个枢纽省内到访人数排名前十的城市。</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6"/>
        <w:gridCol w:w="4464"/>
      </w:tblGrid>
      <w:tr w14:paraId="3D922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689C2E4B">
            <w:pPr>
              <w:jc w:val="center"/>
            </w:pPr>
            <w:r>
              <w:drawing>
                <wp:inline distT="0" distB="0" distL="114300" distR="114300">
                  <wp:extent cx="2715260" cy="15722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2715260" cy="1572300"/>
                          </a:xfrm>
                          <a:prstGeom prst="rect">
                            <a:avLst/>
                          </a:prstGeom>
                        </pic:spPr>
                      </pic:pic>
                    </a:graphicData>
                  </a:graphic>
                </wp:inline>
              </w:drawing>
            </w:r>
          </w:p>
        </w:tc>
        <w:tc>
          <w:tcPr>
            <w:tcW w:w="4680" w:type="dxa"/>
          </w:tcPr>
          <w:p w14:paraId="32C1EBD7">
            <w:pPr>
              <w:jc w:val="center"/>
            </w:pPr>
            <w:r>
              <w:drawing>
                <wp:inline distT="0" distB="0" distL="114300" distR="114300">
                  <wp:extent cx="2746375" cy="1692910"/>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2746375" cy="1692910"/>
                          </a:xfrm>
                          <a:prstGeom prst="rect">
                            <a:avLst/>
                          </a:prstGeom>
                        </pic:spPr>
                      </pic:pic>
                    </a:graphicData>
                  </a:graphic>
                </wp:inline>
              </w:drawing>
            </w:r>
          </w:p>
        </w:tc>
      </w:tr>
      <w:tr w14:paraId="23FF5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05B52A13">
            <w:pPr>
              <w:jc w:val="center"/>
            </w:pPr>
            <w:r>
              <w:drawing>
                <wp:inline distT="0" distB="0" distL="114300" distR="114300">
                  <wp:extent cx="2633345" cy="1572260"/>
                  <wp:effectExtent l="0" t="0" r="825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2633345" cy="1572300"/>
                          </a:xfrm>
                          <a:prstGeom prst="rect">
                            <a:avLst/>
                          </a:prstGeom>
                        </pic:spPr>
                      </pic:pic>
                    </a:graphicData>
                  </a:graphic>
                </wp:inline>
              </w:drawing>
            </w:r>
          </w:p>
        </w:tc>
        <w:tc>
          <w:tcPr>
            <w:tcW w:w="4680" w:type="dxa"/>
          </w:tcPr>
          <w:p w14:paraId="7A3294E1">
            <w:pPr>
              <w:jc w:val="center"/>
            </w:pPr>
            <w:r>
              <w:drawing>
                <wp:inline distT="0" distB="0" distL="114300" distR="114300">
                  <wp:extent cx="2766060" cy="15703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2766060" cy="1570840"/>
                          </a:xfrm>
                          <a:prstGeom prst="rect">
                            <a:avLst/>
                          </a:prstGeom>
                        </pic:spPr>
                      </pic:pic>
                    </a:graphicData>
                  </a:graphic>
                </wp:inline>
              </w:drawing>
            </w:r>
          </w:p>
        </w:tc>
      </w:tr>
      <w:tr w14:paraId="07C30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2"/>
          </w:tcPr>
          <w:p w14:paraId="0F098F76">
            <w:pPr>
              <w:jc w:val="center"/>
            </w:pPr>
            <w:r>
              <w:drawing>
                <wp:inline distT="0" distB="0" distL="114300" distR="114300">
                  <wp:extent cx="3127375" cy="17049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3127375" cy="1704975"/>
                          </a:xfrm>
                          <a:prstGeom prst="rect">
                            <a:avLst/>
                          </a:prstGeom>
                        </pic:spPr>
                      </pic:pic>
                    </a:graphicData>
                  </a:graphic>
                </wp:inline>
              </w:drawing>
            </w:r>
          </w:p>
        </w:tc>
      </w:tr>
      <w:tr w14:paraId="54747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2"/>
          </w:tcPr>
          <w:p w14:paraId="04F52C1C">
            <w:pPr>
              <w:spacing w:line="360" w:lineRule="auto"/>
              <w:jc w:val="center"/>
            </w:pPr>
            <w:r>
              <w:rPr>
                <w:rFonts w:ascii="仿宋" w:hAnsi="仿宋" w:eastAsia="仿宋"/>
                <w:b w:val="0"/>
                <w:sz w:val="20"/>
              </w:rPr>
              <w:t>图3-2  五大交通枢纽广东省内客流城市来源前十名</w:t>
            </w:r>
          </w:p>
          <w:p w14:paraId="2E6BAD0E">
            <w:pPr>
              <w:jc w:val="center"/>
            </w:pPr>
          </w:p>
        </w:tc>
      </w:tr>
    </w:tbl>
    <w:p w14:paraId="60A07140"/>
    <w:p w14:paraId="507F36CD">
      <w:pPr>
        <w:spacing w:line="360" w:lineRule="auto"/>
        <w:ind w:firstLine="480"/>
      </w:pPr>
      <w:r>
        <w:rPr>
          <w:rFonts w:ascii="仿宋" w:hAnsi="仿宋" w:eastAsia="仿宋"/>
          <w:b w:val="0"/>
          <w:sz w:val="32"/>
        </w:rPr>
        <w:t>不出意料，深圳本市是所有枢纽最核心的客源地，这与深圳是一座常住人口超过一千七百万的超大城市的基本情况相符。值得重点关注的是，在深圳市以外的省内城市中，东莞和惠州稳居各枢纽跨城客流的前两位。这背后至少有两个方面的原因：一是深圳、东莞、惠州三市地理相邻、产业联系紧密，每天有大量居民在三地之间通勤往返，都市圈的一体化程度已经很高；二是东莞和惠州居住着相当多在深圳工作的跨城通勤人口，每逢节假日他们集中返乡探亲，构成了枢纽客流的重要组成部分。省会广州在各枢纽的跨城客流中也有一定比例，但远低于东莞和惠州，主要原因是广州与深圳之间已经形成了高频次的城际铁路直达模式，旅客可以随到随走，无需在枢纽过多停留。此外，珠海、佛山等珠江西岸城市在宝安机场的客流中所占份额较高，说明宝安机场对珠江口西岸地区有着较强的吸引力，随着跨江通道的日益完善，这一趋势可能还会进一步强化。</w:t>
      </w:r>
    </w:p>
    <w:p w14:paraId="40CA1637">
      <w:pPr>
        <w:pStyle w:val="4"/>
      </w:pPr>
      <w:r>
        <w:rPr>
          <w:rFonts w:ascii="仿宋" w:hAnsi="仿宋" w:eastAsia="仿宋"/>
          <w:sz w:val="32"/>
        </w:rPr>
        <w:t>3.3 不同停留时长的客流差异</w:t>
      </w:r>
    </w:p>
    <w:p w14:paraId="17D854F4">
      <w:pPr>
        <w:spacing w:line="360" w:lineRule="auto"/>
        <w:ind w:firstLine="480"/>
      </w:pPr>
      <w:r>
        <w:rPr>
          <w:rFonts w:ascii="仿宋" w:hAnsi="仿宋" w:eastAsia="仿宋"/>
          <w:b w:val="0"/>
          <w:sz w:val="32"/>
        </w:rPr>
        <w:t>为了进一步了解不同出行目的的人群在枢纽内的行为差异，本部分将停留五分钟以上的客流总量与停留三十分钟以上的客流总量进行了对比。一般来说，停留三十分钟以上的到访者基本可以认定为实际的出行旅客，而停留五到三十分钟之间的则包含了大量前来接送亲友的人员。</w:t>
      </w:r>
    </w:p>
    <w:p w14:paraId="621371DD">
      <w:pPr>
        <w:spacing w:before="120" w:after="120"/>
        <w:jc w:val="center"/>
      </w:pPr>
      <w:r>
        <w:drawing>
          <wp:inline distT="0" distB="0" distL="114300" distR="114300">
            <wp:extent cx="5584825" cy="2772410"/>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584825" cy="2772410"/>
                    </a:xfrm>
                    <a:prstGeom prst="rect">
                      <a:avLst/>
                    </a:prstGeom>
                  </pic:spPr>
                </pic:pic>
              </a:graphicData>
            </a:graphic>
          </wp:inline>
        </w:drawing>
      </w:r>
    </w:p>
    <w:p w14:paraId="2441EDC5">
      <w:pPr>
        <w:spacing w:line="360" w:lineRule="auto"/>
        <w:jc w:val="center"/>
      </w:pPr>
      <w:r>
        <w:rPr>
          <w:rFonts w:ascii="仿宋" w:hAnsi="仿宋" w:eastAsia="仿宋"/>
          <w:b w:val="0"/>
          <w:sz w:val="20"/>
        </w:rPr>
        <w:t>图3-3  五大交通枢纽不同停留时长客流来源总量对比</w:t>
      </w:r>
    </w:p>
    <w:p w14:paraId="4B709B10">
      <w:pPr>
        <w:spacing w:line="360" w:lineRule="auto"/>
        <w:ind w:firstLine="480"/>
      </w:pPr>
      <w:r>
        <w:rPr>
          <w:rFonts w:ascii="仿宋" w:hAnsi="仿宋" w:eastAsia="仿宋"/>
          <w:b w:val="0"/>
          <w:sz w:val="32"/>
        </w:rPr>
        <w:t>从图3-3可以明显看出，每个枢纽停留五分钟以上的总人数都远多于停留三十分钟以上的人数，这个差额主要就是前来接送站的人员。宝安机场的这一差额在五个枢纽中最大，说明机场的送机接机行为非常普遍</w:t>
      </w:r>
      <w:r>
        <w:rPr>
          <w:rFonts w:hint="eastAsia"/>
          <w:b w:val="0"/>
          <w:sz w:val="32"/>
          <w:lang w:eastAsia="zh-CN"/>
        </w:rPr>
        <w:t>：</w:t>
      </w:r>
      <w:r>
        <w:rPr>
          <w:rFonts w:ascii="仿宋" w:hAnsi="仿宋" w:eastAsia="仿宋"/>
          <w:b w:val="0"/>
          <w:sz w:val="32"/>
        </w:rPr>
        <w:t>很多旅客由家人或朋友开车送到机场后，送行者便即刻驾车离开。深圳北站的接送人员规模也相当可观，除了常规的接送站行为之外，还与深圳北站汇聚了地铁、公交、出租车等多种城市交通方式有关，不少市民在此进行不同交通工具之间的快速换乘，不需要在站内长时间停留。坪山站的接送人员相对较少，这与它作为一个小型车站、客流量有限的特点是一致的，侧面也说明小型车站对周边居民的出行便利性有着直接的贡献。</w:t>
      </w:r>
    </w:p>
    <w:p w14:paraId="53039078">
      <w:pPr>
        <w:spacing w:line="360" w:lineRule="auto"/>
        <w:ind w:firstLine="480"/>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3F00CB"/>
    <w:rsid w:val="29CD04E0"/>
    <w:rsid w:val="32F5002A"/>
    <w:rsid w:val="6CA914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仿宋" w:hAnsi="仿宋" w:eastAsia="仿宋"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3031</Words>
  <Characters>3374</Characters>
  <Lines>0</Lines>
  <Paragraphs>0</Paragraphs>
  <TotalTime>3</TotalTime>
  <ScaleCrop>false</ScaleCrop>
  <LinksUpToDate>false</LinksUpToDate>
  <CharactersWithSpaces>3398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纯黑</cp:lastModifiedBy>
  <dcterms:modified xsi:type="dcterms:W3CDTF">2026-07-21T07:02:59Z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eyJoZGlkIjoiZTViMmEzZDE2YmRhODg4OGRjMDVjOTQyNTYzMjYzMDIiLCJ1c2VySWQiOiIxNTU1MzQ1NDEwIn0=</vt:lpwstr>
  </property>
  <property fmtid="{D5CDD505-2E9C-101B-9397-08002B2CF9AE}" pid="3" name="KSOProductBuildVer">
    <vt:lpwstr>2052-12.1.0.26895</vt:lpwstr>
  </property>
  <property fmtid="{D5CDD505-2E9C-101B-9397-08002B2CF9AE}" pid="4" name="ICV">
    <vt:lpwstr>13B296D0E3C54066867F1E6D9983F862_13</vt:lpwstr>
  </property>
</Properties>
</file>