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6E9232">
      <w:pPr>
        <w:jc w:val="center"/>
      </w:pPr>
      <w:r>
        <w:rPr>
          <w:b/>
          <w:color w:val="173F78"/>
          <w:sz w:val="44"/>
        </w:rPr>
        <w:t>广西建诚鑫汽车技术服务有限公司</w:t>
      </w:r>
    </w:p>
    <w:p w14:paraId="1D330127">
      <w:r>
        <w:rPr>
          <w:b/>
          <w:color w:val="173F78"/>
          <w:sz w:val="32"/>
        </w:rPr>
        <w:t>汽车租赁市场油车与电车市场份额调查报告</w:t>
      </w:r>
    </w:p>
    <w:p w14:paraId="0DBE6B5B">
      <w:pPr>
        <w:spacing w:after="80"/>
        <w:ind w:firstLine="360"/>
      </w:pPr>
      <w:r>
        <w:t xml:space="preserve">报告性质：行业调查与企业实训分析报告  </w:t>
      </w:r>
    </w:p>
    <w:p w14:paraId="3B11EC49">
      <w:pPr>
        <w:spacing w:after="80"/>
        <w:ind w:firstLine="360"/>
      </w:pPr>
      <w:r>
        <w:t xml:space="preserve">研究对象：中国汽车租赁市场及广西区域经营机会  </w:t>
      </w:r>
    </w:p>
    <w:p w14:paraId="4209D05B">
      <w:pPr>
        <w:spacing w:after="80"/>
        <w:ind w:firstLine="360"/>
      </w:pPr>
      <w:r>
        <w:t xml:space="preserve">完成单位：广西建诚鑫汽车技术服务有限公司项目组  </w:t>
      </w:r>
    </w:p>
    <w:p w14:paraId="6E2395A0">
      <w:pPr>
        <w:spacing w:after="80"/>
        <w:ind w:firstLine="360"/>
      </w:pPr>
      <w:r>
        <w:t xml:space="preserve">数据截止：2024年12月，部分政策与行业展望更新至2025年公开资料  </w:t>
      </w:r>
    </w:p>
    <w:p w14:paraId="735003A4">
      <w:pPr>
        <w:spacing w:after="80"/>
        <w:ind w:firstLine="360"/>
      </w:pPr>
      <w:r>
        <w:t>编制日期：2026年10月</w:t>
      </w:r>
    </w:p>
    <w:p w14:paraId="6A9F26C7">
      <w:r>
        <w:rPr>
          <w:b/>
          <w:color w:val="2563EB"/>
          <w:sz w:val="25"/>
        </w:rPr>
        <w:t>摘要</w:t>
      </w:r>
    </w:p>
    <w:p w14:paraId="28FD4EEE">
      <w:pPr>
        <w:spacing w:after="80"/>
        <w:ind w:firstLine="360"/>
      </w:pPr>
      <w:r>
        <w:t>本报告围绕汽车租赁市场中燃油车（油车）与新能源汽车（电车）的结构变化、客户需求、成本边界和行业机会展开调查。调查结合公开统计数据、行业资料和企业实训方案：以中国汽车工业协会（CAAM）汽车产销数据作为全国市场基准，以中国汽车流通协会租赁分会、交通运输主管部门和中国充电联盟公开资料作为行业与基础设施依据，并围绕公司车队设计台账、客户问卷和访谈表。文中将“新车销售渗透率”和“租赁车队保有量占比”分开统计，前者用于观察全国新车市场，后者通过公司车队台账测算。</w:t>
      </w:r>
    </w:p>
    <w:p w14:paraId="146DFD79">
      <w:pPr>
        <w:spacing w:after="80"/>
        <w:ind w:firstLine="360"/>
      </w:pPr>
      <w:r>
        <w:t>公开数据表明，2024年中国汽车销量约3,143.6万辆，其中新能源汽车销量1,286.6万辆，占汽车销量约40.9%；2022—2024年新能源销量和渗透率持续提升。长租、短租、网约车、分时租赁和旅游自驾对车辆的要求分化：城市短途更看重电耗和补能成本，跨城、县域和应急用车更看重续航确定性。汽车租赁市场因此进入油电混合、按场景配置和按数据调整的阶段。</w:t>
      </w:r>
    </w:p>
    <w:p w14:paraId="7852BA50">
      <w:pPr>
        <w:spacing w:after="80"/>
        <w:ind w:firstLine="360"/>
      </w:pPr>
      <w:r>
        <w:t>结合本次调查，公司将“分场景车队组合”作为近期策略：城市短租和商务接待优先增加纯电车型；跨城旅游、县域用车、机场接送和高峰备用保留燃油车或混动车；以月度出租率、单车日均收入、能源成本、维修停驶天数、补能时间和残值回收率建立车队经营看板。调查阶段公司不预设油电比例，先完成连续三个月的真实台账，再用加权出租天数计算结构占比，形成可审计、可复盘的决策依据。</w:t>
      </w:r>
    </w:p>
    <w:p w14:paraId="0C369BC4">
      <w:pPr>
        <w:spacing w:after="80"/>
        <w:ind w:firstLine="360"/>
      </w:pPr>
      <w:r>
        <w:t>关键词：汽车租赁；燃油车；新能源汽车；新能源渗透率；车队结构；出租率；TCO；残值；补能网络；行业展望。</w:t>
      </w:r>
    </w:p>
    <w:p w14:paraId="0C5C007D">
      <w:r>
        <w:rPr>
          <w:b/>
          <w:color w:val="173F78"/>
          <w:sz w:val="32"/>
        </w:rPr>
        <w:t>一、调查背景与问题定义</w:t>
      </w:r>
    </w:p>
    <w:p w14:paraId="5D0E385A">
      <w:pPr>
        <w:spacing w:after="80"/>
        <w:ind w:firstLine="360"/>
      </w:pPr>
      <w:r>
        <w:t>汽车租赁是以车辆使用权在一定期限内转移为核心的服务业，收入通常来自日租、月租、长期租赁、企业包车、机场接送、旅游用车和平台订单等。与私人购车不同，租赁车辆的选择不仅看购置价格，还要看车辆利用率、能源成本、维修保养、保险、事故率、折旧和二手车处置。常用的经营指标包括：出租率（出租天数/可出租天数）、单车日均收入（租赁收入/出租天数）、TCO（全生命周期总拥有成本）、停驶率、能源成本率、平均维修时长和残值率。</w:t>
      </w:r>
    </w:p>
    <w:p w14:paraId="6FC0FF10">
      <w:pPr>
        <w:spacing w:after="80"/>
        <w:ind w:firstLine="360"/>
      </w:pPr>
      <w:r>
        <w:t>本项目的核心问题有三项。第一，全国汽车消费电动化会以多快速度传导到租赁车队。第二，油车、电车在广西不同租赁场景中各自适合什么位置。第三，公司应如何用真实经营数据确定车队比例，而不是凭单月订单或销售宣传判断。报告中的“电车”主要指纯电动汽车（BEV），必要时将插电式混合动力（PHEV）单独列示；燃油车包括汽油和柴油乘用车。混合动力非插电车型如纳入统计，应单设“混动车”类别，避免油车和电车口径混杂。</w:t>
      </w:r>
    </w:p>
    <w:p w14:paraId="058C98D0">
      <w:r>
        <w:rPr>
          <w:b/>
          <w:color w:val="173F78"/>
          <w:sz w:val="32"/>
        </w:rPr>
        <w:t>二、资料来源与调查方法</w:t>
      </w:r>
    </w:p>
    <w:p w14:paraId="4BE36C50">
      <w:r>
        <w:rPr>
          <w:b/>
          <w:color w:val="2563EB"/>
          <w:sz w:val="25"/>
        </w:rPr>
        <w:t>1. 公开数据资料</w:t>
      </w:r>
    </w:p>
    <w:p w14:paraId="3764236B">
      <w:pPr>
        <w:spacing w:after="80"/>
        <w:ind w:firstLine="360"/>
      </w:pPr>
      <w:r>
        <w:t>（1）中国汽车工业协会（CAAM）年度汽车产销信息：用于汽车总销量、新能源汽车销量和新能源渗透率的宏观基准。2024年汽车销量约3,143.6万辆，新能源汽车销量约1,286.6万辆，按销量计算渗透率约40.9%。</w:t>
      </w:r>
    </w:p>
    <w:p w14:paraId="29DB4177">
      <w:pPr>
        <w:spacing w:after="80"/>
        <w:ind w:firstLine="360"/>
      </w:pPr>
      <w:r>
        <w:t>（2）中国汽车工业协会历年发布信息：2022年新能源汽车销量约688.7万辆、2023年约949.5万辆、2024年约1,286.6万辆。三年销量增速不能简单外推到租赁车队，但可用于判断供应链、车型和二手车来源的变化。</w:t>
      </w:r>
    </w:p>
    <w:p w14:paraId="4E527746">
      <w:pPr>
        <w:spacing w:after="80"/>
        <w:ind w:firstLine="360"/>
      </w:pPr>
      <w:r>
        <w:t>（3）中国汽车流通协会租赁分会及汽车流通行业公开报告：用于理解公司所在租赁行业的长租、短租、融资租赁、平台化运营和二手车处置等业务模式。不同机构的行业规模估算分别列示，不作简单相加。</w:t>
      </w:r>
    </w:p>
    <w:p w14:paraId="37867324">
      <w:pPr>
        <w:spacing w:after="80"/>
        <w:ind w:firstLine="360"/>
      </w:pPr>
      <w:r>
        <w:t>（4）交通运输部“交通运输行业发展统计公报”和道路运输管理公开信息：用于理解道路客运、网约车、出租汽车和租赁经营的政策环境。汽车租赁与出租汽车属于不同业态，巡游出租车数量不纳入租赁车保有量统计。</w:t>
      </w:r>
    </w:p>
    <w:p w14:paraId="1D8CFC2E">
      <w:pPr>
        <w:spacing w:after="80"/>
        <w:ind w:firstLine="360"/>
      </w:pPr>
      <w:r>
        <w:t>（5）中国充电联盟月度和年度公开信息：用于补能基础设施趋势判断。公开资料显示，2024年末全国公共充电桩规模已超过三百五十万台，充电网络持续扩张，但区域分布、快充比例和节假日排队情况仍存在差异。</w:t>
      </w:r>
    </w:p>
    <w:p w14:paraId="71C68956">
      <w:r>
        <w:rPr>
          <w:b/>
          <w:color w:val="2563EB"/>
          <w:sz w:val="25"/>
        </w:rPr>
        <w:t>2. 公司实训调查设计</w:t>
      </w:r>
    </w:p>
    <w:p w14:paraId="2BF9BDBE">
      <w:pPr>
        <w:spacing w:after="80"/>
        <w:ind w:firstLine="360"/>
      </w:pPr>
      <w:bookmarkStart w:id="0" w:name="_GoBack"/>
      <w:bookmarkEnd w:id="0"/>
      <w:r>
        <w:t>本次调查周期为连续三个月，至少覆盖一个工作日高峰、一个周末和一个节假日；调查对象包括车辆管理员、维修和采购人员、长期租客户、短租客户、机场或旅游用车客户以及合作充电站。</w:t>
      </w:r>
    </w:p>
    <w:p w14:paraId="498CB596">
      <w:pPr>
        <w:spacing w:after="80"/>
        <w:ind w:firstLine="360"/>
      </w:pPr>
      <w:r>
        <w:t>车队台账字段包括车辆编号、能源类型、品牌车型、购置或租入日期、可出租天数、出租天数、日租金、月租金、里程、油费或电费、保养维修费、事故停驶天数、保险费、折旧或融资成本、退租残值估计。客户问卷采用五级量表，重点询问价格敏感度、续航焦虑、取还车便利、充电条件、跨城需求、车型偏好和对环保标签的重视程度。访谈记录须标注访谈日期、对象身份和是否同意匿名使用。</w:t>
      </w:r>
    </w:p>
    <w:p w14:paraId="5590AD7E">
      <w:r>
        <w:rPr>
          <w:b/>
          <w:color w:val="2563EB"/>
          <w:sz w:val="25"/>
        </w:rPr>
        <w:t>3. 占比计算口径</w:t>
      </w:r>
    </w:p>
    <w:p w14:paraId="3C5EAFEE">
      <w:pPr>
        <w:spacing w:after="80"/>
        <w:ind w:firstLine="360"/>
      </w:pPr>
      <w:r>
        <w:t>车队保有量占比=某能源类型车辆数/期末车辆总数；出租天数占比=某能源类型出租天数/全部出租天数；收入占比=某能源类型租赁收入/全部租赁收入。结合公司经营实际，出租天数占比比静态车辆数更能反映客户实际使用偏好，收入占比则能反映车型结构与价格的共同作用。公司同时披露三种占比，并以出租天数占比作为“市场需求”主指标，以车辆数占比作为“资产配置”指标。</w:t>
      </w:r>
    </w:p>
    <w:p w14:paraId="1DC2D439">
      <w:r>
        <w:rPr>
          <w:b/>
          <w:color w:val="173F78"/>
          <w:sz w:val="32"/>
        </w:rPr>
        <w:t>三、全国汽车电动化趋势与租赁行业传导</w:t>
      </w:r>
    </w:p>
    <w:p w14:paraId="70F0B17F">
      <w:pPr>
        <w:spacing w:after="80"/>
        <w:ind w:firstLine="360"/>
      </w:pPr>
      <w:r>
        <w:t>2022—2024年新能源汽车销量分别约为688.7万辆、949.5万辆和1,286.6万辆，销量连续增长；2024年新能源汽车占汽车销量约40.9%。这一指标表示当年新车销售结构，并不等于全国保有量中电车比例，更不等于租赁车队电车比例。由于租赁车辆更新频率通常高于私人车辆，租赁行业可能在新车采购端更早感受到电动化，但旧车折旧、充电条件和跨城运营会使存量替换慢于新车市场。</w:t>
      </w:r>
    </w:p>
    <w:p w14:paraId="241E4B91">
      <w:pPr>
        <w:spacing w:after="80"/>
        <w:ind w:firstLine="360"/>
      </w:pPr>
      <w:r>
        <w:t>从供给端看，纯电、插混和增程车型的价格区间扩大，A00级、紧凑型轿车、城市SUV和MPV均有可供租赁采购的产品。电车的优势是能源费用可控、低速城市工况效率较高、智能化配置容易形成体验差异；短板是补能时间、寒冷或高温工况续航衰减、电池健康度和二手残值的不确定性。油车优势是加油网络成熟、跨城补能时间短、车型选择广；短板是油价波动、保养项目较多和城市短途高频工况下的能源成本。</w:t>
      </w:r>
    </w:p>
    <w:p w14:paraId="325BD8C0">
      <w:pPr>
        <w:spacing w:after="80"/>
        <w:ind w:firstLine="360"/>
      </w:pPr>
      <w:r>
        <w:t>从需求端看，商务客户重视准时舒适，旅游客户重视空间续航和异地还车，个人短租客户重视价格和取车便利，平台客户重视每公里成本与可运营时长。同一城市不能用一个油电比例覆盖全部订单，按场景分层更接近经营实际。</w:t>
      </w:r>
    </w:p>
    <w:p w14:paraId="2F7D14AF">
      <w:r>
        <w:rPr>
          <w:b/>
          <w:color w:val="173F78"/>
          <w:sz w:val="32"/>
        </w:rPr>
        <w:t>四、油车与电车市场份额分析</w:t>
      </w:r>
    </w:p>
    <w:p w14:paraId="6F3D1AA2">
      <w:r>
        <w:rPr>
          <w:b/>
          <w:color w:val="2563EB"/>
          <w:sz w:val="25"/>
        </w:rPr>
        <w:t>1. 宏观基准：新能源销售渗透率</w:t>
      </w:r>
    </w:p>
    <w:p w14:paraId="0A0AF52D">
      <w:pPr>
        <w:spacing w:after="80"/>
        <w:ind w:firstLine="360"/>
      </w:pPr>
      <w:r>
        <w:t>以CAAM口径计算，2024年新能源销售渗透率约40.9%，燃油及其他动力车型约59.1%。若只观察新车采购，电动化已经从早期试点进入规模化阶段；公司车队还要结合采购批次、租期、残值和运营区域，实际配置比例需由经营数据测算。该数字用于观察供应端和消费者认知变化，公司车队配置仍按经营数据确定。</w:t>
      </w:r>
    </w:p>
    <w:p w14:paraId="30E84064">
      <w:r>
        <w:rPr>
          <w:b/>
          <w:color w:val="2563EB"/>
          <w:sz w:val="25"/>
        </w:rPr>
        <w:t>2. 公司用加权出租天数确定真实需求</w:t>
      </w:r>
    </w:p>
    <w:p w14:paraId="09980AC9">
      <w:pPr>
        <w:spacing w:after="80"/>
        <w:ind w:firstLine="360"/>
      </w:pPr>
      <w:r>
        <w:t>公司对每一类车辆计算出租天数占比。举例说明计算方法：若某月油车可出租天数为600天、出租天数为420天，纯电车可出租天数为300天、出租天数为240天，混动车可出租天数为100天、出租天数为70天，则总出租天数为730天，油车出租天数占比为57.5%，纯电车为32.9%，混动车为9.6%。这只是计算示例，不是公司实际经营结果。后续定稿时以公司导出的合同和车辆台账替换示例数。</w:t>
      </w:r>
    </w:p>
    <w:p w14:paraId="6E54B2DE">
      <w:r>
        <w:rPr>
          <w:b/>
          <w:color w:val="2563EB"/>
          <w:sz w:val="25"/>
        </w:rPr>
        <w:t>3. 成本与收益比较</w:t>
      </w:r>
    </w:p>
    <w:p w14:paraId="2789DD5B">
      <w:pPr>
        <w:spacing w:after="80"/>
        <w:ind w:firstLine="360"/>
      </w:pPr>
      <w:r>
        <w:t>TCO应至少包含购置或融资成本、保险、能源、保养维修、轮胎、停车和折旧残值。电车在城市高频短途场景可能具有较低的能源成本，但若充电等待导致一天少接一单，机会成本可能抵消能源节省；油车能源成本较高，但快速补能有利于机场、跨城和节假日连续运营。评价电车不能只比较百公里电费与油费，还要把充电桩服务费、峰谷电价、排队时间、电池衰减和停驶损失计入。</w:t>
      </w:r>
    </w:p>
    <w:p w14:paraId="733020F0">
      <w:r>
        <w:rPr>
          <w:b/>
          <w:color w:val="2563EB"/>
          <w:sz w:val="25"/>
        </w:rPr>
        <w:t>4. 公司样本分层</w:t>
      </w:r>
    </w:p>
    <w:p w14:paraId="509072E7">
      <w:pPr>
        <w:spacing w:after="80"/>
        <w:ind w:firstLine="360"/>
      </w:pPr>
      <w:r>
        <w:t>第一层为城市短租和商务接待，公司优先测试纯电轿车与紧凑型SUV，观察出租率、客户复租率和充电等待。第二层为机场接送和跨城旅游，公司让油车、混动车与长续航电车并行，重点记录单日里程和异地补能。第三层为县域、乡村旅游和应急备用，公司保留油车或混动车，先验证充电可达性再扩大电车采购。第四层为企业长租，按客户固定路线、停车场充电条件和租期进行一客一策。</w:t>
      </w:r>
    </w:p>
    <w:p w14:paraId="1B4D7A1C">
      <w:r>
        <w:rPr>
          <w:b/>
          <w:color w:val="173F78"/>
          <w:sz w:val="32"/>
        </w:rPr>
        <w:t>五、广西区域机会与经营方案</w:t>
      </w:r>
    </w:p>
    <w:p w14:paraId="0FCE9C78">
      <w:pPr>
        <w:spacing w:after="80"/>
        <w:ind w:firstLine="360"/>
      </w:pPr>
      <w:r>
        <w:t>广西具有北部湾城市群、沿海旅游、山地景区和跨城商务等多种出行场景，南宁、柳州、桂林、北海、防城港等地的路线长度、地形和充电条件差异明显。城市核心区适合电车试点，景区长距离和跨市还车则需要油车或混动车作为稳定性保障。广西高温、暴雨和节假日旅游高峰会影响续航、空调能耗、道路通行与充电排队，运营评价必须使用本地实测数据。</w:t>
      </w:r>
    </w:p>
    <w:p w14:paraId="187EE7AE">
      <w:pPr>
        <w:spacing w:after="80"/>
        <w:ind w:firstLine="360"/>
      </w:pPr>
      <w:r>
        <w:t>结合本次调查，公司分三步实施。第一步是数据建账：统一车辆编号、能源类别、里程、订单、能源和维修字段，建立每日或每周录入制度。第二步是小规模A/B试运营：选择相近级别的油车和电车，控制车型、租期和客户类型，连续比较单车日均收入、出租率、每百公里能源成本、停驶天数和客户评价。第三步是动态采购：当某类车型连续三个月在出租率、贡献毛利和客户复租率上优于基准，并且补能风险可控，再增加采购；若电车仅能源成本低但出租率低，应先改进取还车和充电服务，而不是简单扩大数量。</w:t>
      </w:r>
    </w:p>
    <w:p w14:paraId="723A5D0A">
      <w:pPr>
        <w:spacing w:after="80"/>
        <w:ind w:firstLine="360"/>
      </w:pPr>
      <w:r>
        <w:t>公司建立“油电车队经营仪表盘”，至少包含八个指标：出租率、单车日均收入、每公里能源成本、单位出租日贡献毛利、平均补能时长、维修停驶率、客户投诉率、期末残值率。每月按车辆、车型、能源、门店和客户场景切片，采用移动平均观察趋势。采购决策采用加权评分：收益能力40%，TCO 25%，可靠性15%，客户满意度10%，补能便利10%。权重可按公司经营战略调整，但必须在调查前固定，避免先看结果再改规则。</w:t>
      </w:r>
    </w:p>
    <w:p w14:paraId="656C5BFA">
      <w:r>
        <w:rPr>
          <w:b/>
          <w:color w:val="173F78"/>
          <w:sz w:val="32"/>
        </w:rPr>
        <w:t>六、行业展望</w:t>
      </w:r>
    </w:p>
    <w:p w14:paraId="434A6C9F">
      <w:pPr>
        <w:spacing w:after="80"/>
        <w:ind w:firstLine="360"/>
      </w:pPr>
      <w:r>
        <w:t>未来三到五年，汽车租赁行业将呈现五个趋势：新能源从“环保选择”转为“成本与体验选择”；竞争从车辆数量转向利用率、数字化调度、标准化交付和复购；车队按场景而非单一品牌管理；电池健康度、补能服务、保险和残值成为关键风险；平台订单与物联网数据支持需求预测、动态定价和生命周期管理。</w:t>
      </w:r>
    </w:p>
    <w:p w14:paraId="70F7CF87">
      <w:pPr>
        <w:spacing w:after="80"/>
        <w:ind w:firstLine="360"/>
      </w:pPr>
      <w:r>
        <w:t>政策层面，节能减排、绿色出行、充电基础设施建设和汽车以旧换新会继续影响车型供给；公司仍需关注地方停车、充电、网约运营、车辆登记和保险规则。技术层面，快充效率、补能网络和电池质保改善会降低电车运营障碍；经营层面，油车不会在所有场景快速消失，混合配置会是较长时期的稳健方案。</w:t>
      </w:r>
    </w:p>
    <w:p w14:paraId="34E98841">
      <w:r>
        <w:rPr>
          <w:b/>
          <w:color w:val="173F78"/>
          <w:sz w:val="32"/>
        </w:rPr>
        <w:t>七、租赁市场结构变化与问题诊断</w:t>
      </w:r>
    </w:p>
    <w:p w14:paraId="58C5FCF5">
      <w:r>
        <w:rPr>
          <w:b/>
          <w:color w:val="2563EB"/>
          <w:sz w:val="25"/>
        </w:rPr>
        <w:t>1. 从单一租车服务转向多场景出行服务</w:t>
      </w:r>
    </w:p>
    <w:p w14:paraId="0C6C9F31">
      <w:pPr>
        <w:spacing w:after="80"/>
        <w:ind w:firstLine="360"/>
      </w:pPr>
      <w:r>
        <w:t>过去，公司所在行业主要围绕“车辆、租期和租金”展开，客户到店取车，公司按天收取费用。近年来，公司接触到的需求逐渐分化为个人短租、企业长租、旅游自驾、机场接送、商务接待、网约车合作、婚庆会展和替代用车等多个场景。不同场景对车辆的评价标准并不相同：公司短租客户关注价格、取车速度和车型新旧；公司企业客户关注月度费用、维修替代和服务响应；公司旅游客户关注空间、续航和异地还车；公司高频运营客户则更关心每公里成本和车辆每天可工作的时间。</w:t>
      </w:r>
    </w:p>
    <w:p w14:paraId="524D2FB0">
      <w:pPr>
        <w:spacing w:after="80"/>
        <w:ind w:firstLine="360"/>
      </w:pPr>
      <w:r>
        <w:t>这种变化意味着公司竞争单位不再是一辆车，而是“车辆加服务加调度能力”的组合。单纯扩大车辆规模，如果不能提高出租率和单车贡献毛利，反而会增加停车、保险、折旧和闲置资金压力。公司按客户场景建立车型池和价格表，避免用同一套租金和服务规则覆盖所有订单。</w:t>
      </w:r>
    </w:p>
    <w:p w14:paraId="2FA9E9DD">
      <w:r>
        <w:rPr>
          <w:b/>
          <w:color w:val="2563EB"/>
          <w:sz w:val="25"/>
        </w:rPr>
        <w:t>2. 从重资产持有转向资产组合管理</w:t>
      </w:r>
    </w:p>
    <w:p w14:paraId="72DC079E">
      <w:pPr>
        <w:spacing w:after="80"/>
        <w:ind w:firstLine="360"/>
      </w:pPr>
      <w:r>
        <w:t>公司在车源配置上需要在自有车辆、融资租赁车辆、合作车源和平台撮合之间进行组合。自有车辆控制力强，但资金占用和残值风险较高；融资租赁可以降低一次性投入，却会带来固定还款和里程限制；合作车源扩张较快，但服务标准、车况和客户体验不容易统一。2024年全国二手车交易量接近两千万辆，说明车辆流转和残值处置已经成为汽车经营的重要环节。对公司而言，购车时就要考虑退租后的处置渠道，而不是在车辆闲置后才寻找买家。</w:t>
      </w:r>
    </w:p>
    <w:p w14:paraId="467E56C5">
      <w:pPr>
        <w:spacing w:after="80"/>
        <w:ind w:firstLine="360"/>
      </w:pPr>
      <w:r>
        <w:t>油车和电车的资产管理逻辑也不同。油车的维修体系和二手交易更成熟，残值判断相对容易；电车的电池健康度、快充次数、质保期限和软件功能会影响二手价格。公司在计算电车TCO时，应建立电池健康度记录、充电记录和维修记录，并把退租时的预估残值设为区间，而不是单一乐观数值。</w:t>
      </w:r>
    </w:p>
    <w:p w14:paraId="1B51AA16">
      <w:r>
        <w:rPr>
          <w:b/>
          <w:color w:val="2563EB"/>
          <w:sz w:val="25"/>
        </w:rPr>
        <w:t>3. 从线下门店竞争转向平台化与数字化运营</w:t>
      </w:r>
    </w:p>
    <w:p w14:paraId="1B72D63C">
      <w:pPr>
        <w:spacing w:after="80"/>
        <w:ind w:firstLine="360"/>
      </w:pPr>
      <w:r>
        <w:t>互联网平台、地图服务、支付工具和车联网设备降低了客户查找和预订车辆的成本，公司可以通过线上渠道获取订单、验证身份、安排取还车和收集评价。与此同时，平台也会带来佣金、价格透明和流量依赖。如果公司只依靠第三方平台，可能获得订单却无法积累客户关系和复租数据；如果公司完全依赖线下门店，又难以覆盖异地客户。</w:t>
      </w:r>
    </w:p>
    <w:p w14:paraId="28E3792F">
      <w:pPr>
        <w:spacing w:after="80"/>
        <w:ind w:firstLine="360"/>
      </w:pPr>
      <w:r>
        <w:t>较为稳妥的方式是建立“平台获客、企业沉淀、会员复租”的组合渠道。每笔订单至少沉淀车型、路线、租期、能源成本、客户来源和是否复租等字段，在不违反隐私和平台规则的前提下形成公司经营数据。数据的价值不在于展示报表，而在于支持动态定价、车辆调度、维修提醒和采购决策。</w:t>
      </w:r>
    </w:p>
    <w:p w14:paraId="21409306">
      <w:r>
        <w:rPr>
          <w:b/>
          <w:color w:val="2563EB"/>
          <w:sz w:val="25"/>
        </w:rPr>
        <w:t>4. 目前市场的主要问题</w:t>
      </w:r>
    </w:p>
    <w:p w14:paraId="0CFDC4FA">
      <w:pPr>
        <w:spacing w:after="80"/>
        <w:ind w:firstLine="360"/>
      </w:pPr>
      <w:r>
        <w:t>第一，统计口径分散。汽车租赁、网约车、出租汽车、融资租赁和分时租赁在监管和经营模式上存在差异，公开资料往往将它们分开统计或使用不同的市场规模口径，导致“全国租赁车辆数量”和“油电车占比”难以直接比较。公司内部统计也可能出现车辆数、订单数、出租天数和收入混用的情况。</w:t>
      </w:r>
    </w:p>
    <w:p w14:paraId="2BFF457B">
      <w:pPr>
        <w:spacing w:after="80"/>
        <w:ind w:firstLine="360"/>
      </w:pPr>
      <w:r>
        <w:t>第二，价格竞争容易掩盖真实成本。部分短租订单只比较日租金，没有计入清洁、送取车、停车、平台佣金、保险、违章处理和空驶里程，表面有收入，实际贡献毛利可能偏低。电车还要计入充电排队和异地补能的时间成本。</w:t>
      </w:r>
    </w:p>
    <w:p w14:paraId="347600B0">
      <w:pPr>
        <w:spacing w:after="80"/>
        <w:ind w:firstLine="360"/>
      </w:pPr>
      <w:r>
        <w:t>第三，补能和调度仍是电车扩张的约束。公共充电桩数量增长并不意味着每个景区、县域和机场周边都能稳定补能。节假日高峰、充电站故障和快充排队会影响车辆周转，若没有备用车辆或预约充电制度，客户体验会直接下降。</w:t>
      </w:r>
    </w:p>
    <w:p w14:paraId="566CDAAC">
      <w:pPr>
        <w:spacing w:after="80"/>
        <w:ind w:firstLine="360"/>
      </w:pPr>
      <w:r>
        <w:t>第四，保险、事故和电池风险尚未充分纳入价格。租赁车辆驾驶人更替频繁，事故概率、免赔额和理赔时效与私人用车不同。电池碰撞后的检测、维修和责任认定也需要专业流程。公司应与保险机构确认车辆用途、驾驶人范围和新能源电池相关条款，不能只以普通私家车保险价格估算成本。</w:t>
      </w:r>
    </w:p>
    <w:p w14:paraId="23228FD0">
      <w:pPr>
        <w:spacing w:after="80"/>
        <w:ind w:firstLine="360"/>
      </w:pPr>
      <w:r>
        <w:t>第五，客户信任仍是复租的关键。车辆卫生、交车验车、押金退还、故障救援和异地还车等环节，往往比宣传中的智能配置更能影响评价。建立取车前后照片、里程和电量记录，能够减少争议，也便于计算车辆的真实周转效率。</w:t>
      </w:r>
    </w:p>
    <w:p w14:paraId="0E1DDC78">
      <w:r>
        <w:rPr>
          <w:b/>
          <w:color w:val="173F78"/>
          <w:sz w:val="32"/>
        </w:rPr>
        <w:t>八、油电结构优化的量化方法</w:t>
      </w:r>
    </w:p>
    <w:p w14:paraId="19959870">
      <w:r>
        <w:rPr>
          <w:b/>
          <w:color w:val="2563EB"/>
          <w:sz w:val="25"/>
        </w:rPr>
        <w:t>1. 以贡献毛利代替单纯租金比较</w:t>
      </w:r>
    </w:p>
    <w:p w14:paraId="5CA37D91">
      <w:pPr>
        <w:spacing w:after="80"/>
        <w:ind w:firstLine="360"/>
      </w:pPr>
      <w:r>
        <w:t>单车月度贡献毛利可按以下方式计算：租赁收入减去平台佣金、送取车费用、能源费用、保养维修、保险、停车、清洁和按月计提的折旧或融资成本。若某车型租金较高，但出租率低、停驶时间长，其贡献毛利未必优于租金较低但周转稳定的车型。公司按车辆和客户场景计算贡献毛利，再决定是否增加同类车源。</w:t>
      </w:r>
    </w:p>
    <w:p w14:paraId="5EE18BEE">
      <w:pPr>
        <w:spacing w:after="80"/>
        <w:ind w:firstLine="360"/>
      </w:pPr>
      <w:r>
        <w:t>在实训阶段可以设置三个情景：保守情景采用较低出租率和较高充电等待时间；基准情景采用过去三个月平均值；乐观情景采用旺季出租率和较高复租率。对油车和电车分别测算，观察能源价格、出租率和残值变化对利润的影响。这样能够回答“电费便宜多少才足以抵消充电等待”“电车出租率提高到多少才值得增购”等经营问题。</w:t>
      </w:r>
    </w:p>
    <w:p w14:paraId="7FFF4EB3">
      <w:r>
        <w:rPr>
          <w:b/>
          <w:color w:val="2563EB"/>
          <w:sz w:val="25"/>
        </w:rPr>
        <w:t>2. 建立油、电、混动车型的场景矩阵</w:t>
      </w:r>
    </w:p>
    <w:p w14:paraId="47D0B02A">
      <w:pPr>
        <w:spacing w:after="80"/>
        <w:ind w:firstLine="360"/>
      </w:pPr>
      <w:r>
        <w:t>城市短途和固定路线场景，应重点评估纯电车的日均里程、夜间充电条件和高峰订单密度；机场接送场景，应把准时率、行李空间、快速补能和异地调度放在前面；跨城旅游场景，要记录沿线快充站密度、节假日排队和救援半径；县域和景区场景，应先调查目的地充电可达性，再决定纯电、混动或油车比例；企业长租场景，则要根据客户停车场是否具备充电条件来确定动力类型。</w:t>
      </w:r>
    </w:p>
    <w:p w14:paraId="33794252">
      <w:pPr>
        <w:spacing w:after="80"/>
        <w:ind w:firstLine="360"/>
      </w:pPr>
      <w:r>
        <w:t>公司采用“基础保障车源+弹性试点车源”的结构。基础保障车源承担跨城、长途和应急需求，优先选择补能确定性高的油车或混动车；弹性试点车源承担城市短途和固定客户需求，以纯电车为主。试点车源的数量不宜一次性扩大，可按一个车型、一个门店和一个客户场景进行对照，连续观察三个月后再调整。</w:t>
      </w:r>
    </w:p>
    <w:p w14:paraId="7A2C366C">
      <w:r>
        <w:rPr>
          <w:b/>
          <w:color w:val="2563EB"/>
          <w:sz w:val="25"/>
        </w:rPr>
        <w:t>3. 设定可执行的采购触发条件</w:t>
      </w:r>
    </w:p>
    <w:p w14:paraId="0E4A16FE">
      <w:pPr>
        <w:spacing w:after="80"/>
        <w:ind w:firstLine="360"/>
      </w:pPr>
      <w:r>
        <w:t>新增电车不应只由销售人员或单月订单决定。可设置四项触发条件：连续三个月出租率不低于车队平均水平；单位出租日贡献毛利达到同级油车的目标值；因充电造成的有效停驶时间控制在预设阈值内；客户投诉和故障救援率不高于现有车队。若其中一项不达标，应先调整充电、调度或服务流程，再决定是否采购。</w:t>
      </w:r>
    </w:p>
    <w:p w14:paraId="741E119D">
      <w:r>
        <w:rPr>
          <w:b/>
          <w:color w:val="2563EB"/>
          <w:sz w:val="25"/>
        </w:rPr>
        <w:t>4. 用数据治理提高研究可信度</w:t>
      </w:r>
    </w:p>
    <w:p w14:paraId="695F68E7">
      <w:pPr>
        <w:spacing w:after="80"/>
        <w:ind w:firstLine="360"/>
      </w:pPr>
      <w:r>
        <w:t>公司建立统一的数据字典，明确车辆能源类型、订单状态、出租天数、取消订单、免费替换车、能源费用和维修停驶的定义。取消订单不能简单计入出租天数，免费替换车要标注责任车辆和实际服务车辆，充电卡充值也要按车辆或门店分摊。每月进行一次异常检查，重点关注出租天数超过可出租天数、里程突增、能源费用缺失和收入为零但车辆状态为出租的记录。</w:t>
      </w:r>
    </w:p>
    <w:p w14:paraId="51809044">
      <w:r>
        <w:rPr>
          <w:b/>
          <w:color w:val="173F78"/>
          <w:sz w:val="32"/>
        </w:rPr>
        <w:t>九、公司扩展实施方案</w:t>
      </w:r>
    </w:p>
    <w:p w14:paraId="27668F7B">
      <w:r>
        <w:rPr>
          <w:b/>
          <w:color w:val="2563EB"/>
          <w:sz w:val="25"/>
        </w:rPr>
        <w:t>1. 第一阶段：建立基线</w:t>
      </w:r>
    </w:p>
    <w:p w14:paraId="0FC7AA0F">
      <w:pPr>
        <w:spacing w:after="80"/>
        <w:ind w:firstLine="360"/>
      </w:pPr>
      <w:r>
        <w:t>用四周时间整理现有车辆和订单，形成油车、纯电车、混动车三张基础表。每辆车记录可出租天数、出租天数、里程、收入、能源费用、维修停驶和客户评价。这个阶段的目标不是马上得出一个理想比例，而是找出闲置率高、维护成本高或订单适配度低的车辆。</w:t>
      </w:r>
    </w:p>
    <w:p w14:paraId="70142EE8">
      <w:r>
        <w:rPr>
          <w:b/>
          <w:color w:val="2563EB"/>
          <w:sz w:val="25"/>
        </w:rPr>
        <w:t>2. 第二阶段：开展对照试运营</w:t>
      </w:r>
    </w:p>
    <w:p w14:paraId="34A61032">
      <w:pPr>
        <w:spacing w:after="80"/>
        <w:ind w:firstLine="360"/>
      </w:pPr>
      <w:r>
        <w:t>从同级别油车和电车中各选少量车辆，匹配相近租期和客户场景。对于城市短租，比较单位出租日毛利、补能时长和复租率；对于跨城订单，比较准时交付率、每百公里能源成本和救援次数；对于企业长租，比较月度总成本、替代车需求和合同续期率。每周记录异常事件，每月形成一次对照表，避免只在旺季或淡季观察。</w:t>
      </w:r>
    </w:p>
    <w:p w14:paraId="693599F2">
      <w:r>
        <w:rPr>
          <w:b/>
          <w:color w:val="2563EB"/>
          <w:sz w:val="25"/>
        </w:rPr>
        <w:t>3. 第三阶段：形成采购和服务组合</w:t>
      </w:r>
    </w:p>
    <w:p w14:paraId="60DE8790">
      <w:pPr>
        <w:spacing w:after="80"/>
        <w:ind w:firstLine="360"/>
      </w:pPr>
      <w:r>
        <w:t>试运营结果稳定后，再确定下一批车辆的动力结构。采购合同中应写明电池质保、维修响应、备用车辆、充电服务和退换条件；租赁合同中应明确异地还车、充电费用、电量交接、事故处理和超时归还规则。对电车客户提供充电地图、沿途补能提示和故障救援电话，对油车客户提供加油站导航和长途检查服务，以服务差异提升复租率。</w:t>
      </w:r>
    </w:p>
    <w:p w14:paraId="5F74CC10">
      <w:r>
        <w:rPr>
          <w:b/>
          <w:color w:val="2563EB"/>
          <w:sz w:val="25"/>
        </w:rPr>
        <w:t>4. 研究价值的进一步延伸</w:t>
      </w:r>
    </w:p>
    <w:p w14:paraId="752075AE">
      <w:pPr>
        <w:spacing w:after="80"/>
        <w:ind w:firstLine="360"/>
      </w:pPr>
      <w:r>
        <w:t>本课题还可以扩展为三个方向。其一，建立广西不同城市的租赁需求指数，将订单量、旅游客流、充电密度、机场车站客流和节假日因素纳入预测。其二，比较油车和电车在不同租期下的全生命周期收益，研究车辆更新和残值变化。其三，分析客户环保偏好是否愿意转化为实际支付，通过问卷意愿、订单选择和复租记录进行交叉验证。这样，报告就能从一次市场描述，发展为持续更新的车队决策系统。</w:t>
      </w:r>
    </w:p>
    <w:p w14:paraId="0BBC0458">
      <w:r>
        <w:rPr>
          <w:b/>
          <w:color w:val="173F78"/>
          <w:sz w:val="32"/>
        </w:rPr>
        <w:t>十、结论</w:t>
      </w:r>
    </w:p>
    <w:p w14:paraId="785503B4">
      <w:pPr>
        <w:spacing w:after="80"/>
        <w:ind w:firstLine="360"/>
      </w:pPr>
      <w:r>
        <w:t>第一，2024年全国新能源汽车销量约1,286.6万辆、销售渗透率约40.9%，说明电动化已成为汽车供应与消费的重要主线；租赁车队电车占比仍需结合出租天数和经营台账测算。第二，租赁市场的油电结构应以出租天数、收入和TCO共同判断，静态车辆数主要反映资产配置。第三，纯电车更适合城市短途、高频和固定补能场景，油车或混动车更适合跨城、长途、县域和应急场景；稳妥方案是分场景、可调整的组合车队。第四，公司先完成三个月台账和客户调查，再依据出租率、贡献毛利、补能时长和残值数据决定增购比例。第五，报告给出了公开数据基准和公司调查框架，补充公司授权取得的数据后即可形成门店级油电车队市场份额分析。</w:t>
      </w:r>
    </w:p>
    <w:p w14:paraId="5DA451C1">
      <w:r>
        <w:rPr>
          <w:b/>
          <w:color w:val="173F78"/>
          <w:sz w:val="32"/>
        </w:rPr>
        <w:t>参考资料与检索说明</w:t>
      </w:r>
    </w:p>
    <w:p w14:paraId="503A16E2">
      <w:pPr>
        <w:spacing w:after="80"/>
        <w:ind w:firstLine="360"/>
      </w:pPr>
      <w:r>
        <w:t>1. 中国汽车工业协会，《2024年汽车工业经济运行情况》及年度产销信息，https://www.caam.org.cn/ ，检索日期：2026-10-10。</w:t>
      </w:r>
    </w:p>
    <w:p w14:paraId="2ED37B4A">
      <w:pPr>
        <w:spacing w:after="80"/>
        <w:ind w:firstLine="360"/>
      </w:pPr>
      <w:r>
        <w:t>2. 中国汽车工业协会，《2023年汽车工业经济运行情况》及新能源汽车产销信息，https://www.caam.org.cn/ ，检索日期：2026-10-10。</w:t>
      </w:r>
    </w:p>
    <w:p w14:paraId="647191A0">
      <w:pPr>
        <w:spacing w:after="80"/>
        <w:ind w:firstLine="360"/>
      </w:pPr>
      <w:r>
        <w:t>3. 国家统计局，国家数据与国民经济和社会发展统计公报，https://data.stats.gov.cn/ ，检索日期：2026-10-10。</w:t>
      </w:r>
    </w:p>
    <w:p w14:paraId="18D719EC">
      <w:pPr>
        <w:spacing w:after="80"/>
        <w:ind w:firstLine="360"/>
      </w:pPr>
      <w:r>
        <w:t>4. 交通运输部，交通运输行业发展统计公报与行业政策，https://www.mot.gov.cn/tongjishuju/ ，检索日期：2026-10-10。</w:t>
      </w:r>
    </w:p>
    <w:p w14:paraId="1CE67794">
      <w:pPr>
        <w:spacing w:after="80"/>
        <w:ind w:firstLine="360"/>
      </w:pPr>
      <w:r>
        <w:t>5. 中国汽车流通协会，汽车租赁分会及汽车流通行业资料，https://www.cada.cn/ ，检索日期：2026-10-10。</w:t>
      </w:r>
    </w:p>
    <w:p w14:paraId="07F765F2">
      <w:pPr>
        <w:spacing w:after="80"/>
        <w:ind w:firstLine="360"/>
      </w:pPr>
      <w:r>
        <w:t>6. 中国电动汽车充电基础设施促进联盟，充电设施运行情况，https://www.evcipa.org.cn/ ，检索日期：2026-10-10。</w:t>
      </w:r>
    </w:p>
    <w:p w14:paraId="28BC98E4">
      <w:pPr>
        <w:spacing w:after="80"/>
        <w:ind w:firstLine="360"/>
      </w:pPr>
      <w:r>
        <w:t>7. 中国政府网，汽车消费、以旧换新与绿色出行相关政策，https://www.gov.cn/ ，检索日期：2026-10-10。</w:t>
      </w:r>
    </w:p>
    <w:p w14:paraId="04C4D3C2">
      <w:pPr>
        <w:spacing w:after="80"/>
        <w:ind w:firstLine="360"/>
      </w:pPr>
      <w:r>
        <w:t>8. 中国汽车流通协会，《全国二手车市场信息周报及年度交易数据》，https://www.cada.cn/ ，检索日期：2026-10-10。</w:t>
      </w:r>
    </w:p>
    <w:p w14:paraId="15FFEC5E">
      <w:pPr>
        <w:spacing w:after="80"/>
        <w:ind w:firstLine="360"/>
      </w:pPr>
      <w:r>
        <w:t>数据说明：公开统计数据用于行业基准，示例计算用于说明占比算法。公司实际车队占比以授权台账、订单和能源票据为准，并在附件中保留相应凭证编号。</w:t>
      </w:r>
    </w:p>
    <w:sectPr>
      <w:pgSz w:w="12240" w:h="15840"/>
      <w:pgMar w:top="936" w:right="1152" w:bottom="936"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JhNzgwYWYyZmYzMmVhMWIzYzRhZGRhZjBjNTAzYjgifQ=="/>
  </w:docVars>
  <w:rsids>
    <w:rsidRoot w:val="00B47730"/>
    <w:rsid w:val="00034616"/>
    <w:rsid w:val="0006063C"/>
    <w:rsid w:val="0015074B"/>
    <w:rsid w:val="0029639D"/>
    <w:rsid w:val="00326F90"/>
    <w:rsid w:val="00AA1D8D"/>
    <w:rsid w:val="00B47730"/>
    <w:rsid w:val="00CB0664"/>
    <w:rsid w:val="00FC693F"/>
    <w:rsid w:val="136755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7976</Words>
  <Characters>8472</Characters>
  <Lines>0</Lines>
  <Paragraphs>0</Paragraphs>
  <TotalTime>0</TotalTime>
  <ScaleCrop>false</ScaleCrop>
  <LinksUpToDate>false</LinksUpToDate>
  <CharactersWithSpaces>8516</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纯黑</cp:lastModifiedBy>
  <dcterms:modified xsi:type="dcterms:W3CDTF">2026-10-11T09:41:51Z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416B61C0EFC54630AC380B87B01158F2_12</vt:lpwstr>
  </property>
</Properties>
</file>