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38122">
      <w:bookmarkStart w:id="0" w:name="_GoBack"/>
      <w:bookmarkEnd w:id="0"/>
    </w:p>
    <w:p w14:paraId="4F45E9AD"/>
    <w:p w14:paraId="39786468"/>
    <w:p w14:paraId="32C92153"/>
    <w:p w14:paraId="4AFE8EA7">
      <w:pPr>
        <w:jc w:val="center"/>
      </w:pPr>
      <w:r>
        <w:rPr>
          <w:rFonts w:ascii="黑体" w:hAnsi="黑体" w:eastAsia="黑体"/>
          <w:b/>
          <w:sz w:val="52"/>
        </w:rPr>
        <w:t>西南财经大学</w:t>
      </w:r>
    </w:p>
    <w:p w14:paraId="661BFC3B">
      <w:pPr>
        <w:jc w:val="center"/>
      </w:pPr>
      <w:r>
        <w:rPr>
          <w:rFonts w:ascii="黑体" w:hAnsi="黑体" w:eastAsia="黑体"/>
          <w:b/>
          <w:sz w:val="44"/>
        </w:rPr>
        <w:t>课程作业封面</w:t>
      </w:r>
    </w:p>
    <w:p w14:paraId="00ABC564"/>
    <w:p w14:paraId="1DE134D6"/>
    <w:p w14:paraId="7B0C3507"/>
    <w:p w14:paraId="0221FA5B"/>
    <w:p w14:paraId="4E02C4D5"/>
    <w:p w14:paraId="67A3094D"/>
    <w:p w14:paraId="50E55B61">
      <w:pPr>
        <w:jc w:val="center"/>
      </w:pPr>
      <w:r>
        <w:rPr>
          <w:rFonts w:ascii="宋体" w:hAnsi="宋体" w:eastAsia="宋体"/>
          <w:sz w:val="28"/>
        </w:rPr>
        <w:t>课程名称：数据挖掘</w:t>
      </w:r>
    </w:p>
    <w:p w14:paraId="31804BA1">
      <w:pPr>
        <w:jc w:val="center"/>
      </w:pPr>
      <w:r>
        <w:rPr>
          <w:rFonts w:ascii="宋体" w:hAnsi="宋体" w:eastAsia="宋体"/>
          <w:sz w:val="28"/>
        </w:rPr>
        <w:t>作业题目：基于多源数据集成与特征工程的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银行客户流失预测研究</w:t>
      </w:r>
    </w:p>
    <w:p w14:paraId="1899860D">
      <w:pPr>
        <w:jc w:val="center"/>
      </w:pPr>
      <w:r>
        <w:rPr>
          <w:rFonts w:ascii="宋体" w:hAnsi="宋体" w:eastAsia="宋体"/>
          <w:sz w:val="28"/>
        </w:rPr>
        <w:t>学生姓名：_______________</w:t>
      </w:r>
    </w:p>
    <w:p w14:paraId="7E0D054B">
      <w:pPr>
        <w:jc w:val="center"/>
      </w:pPr>
      <w:r>
        <w:rPr>
          <w:rFonts w:ascii="宋体" w:hAnsi="宋体" w:eastAsia="宋体"/>
          <w:sz w:val="28"/>
        </w:rPr>
        <w:t>学    号：_______________</w:t>
      </w:r>
    </w:p>
    <w:p w14:paraId="19025C74">
      <w:pPr>
        <w:jc w:val="center"/>
      </w:pPr>
      <w:r>
        <w:rPr>
          <w:rFonts w:ascii="宋体" w:hAnsi="宋体" w:eastAsia="宋体"/>
          <w:sz w:val="28"/>
        </w:rPr>
        <w:t>专    业：_______________</w:t>
      </w:r>
    </w:p>
    <w:p w14:paraId="3BF08E3D">
      <w:pPr>
        <w:jc w:val="center"/>
      </w:pPr>
      <w:r>
        <w:rPr>
          <w:rFonts w:ascii="宋体" w:hAnsi="宋体" w:eastAsia="宋体"/>
          <w:sz w:val="28"/>
        </w:rPr>
        <w:t>年    级：_______________</w:t>
      </w:r>
    </w:p>
    <w:p w14:paraId="488821C5">
      <w:pPr>
        <w:jc w:val="center"/>
      </w:pPr>
      <w:r>
        <w:rPr>
          <w:rFonts w:ascii="宋体" w:hAnsi="宋体" w:eastAsia="宋体"/>
          <w:sz w:val="28"/>
        </w:rPr>
        <w:t>指导教师：_______________</w:t>
      </w:r>
    </w:p>
    <w:p w14:paraId="09A19110">
      <w:pPr>
        <w:jc w:val="center"/>
      </w:pPr>
      <w:r>
        <w:rPr>
          <w:rFonts w:ascii="宋体" w:hAnsi="宋体" w:eastAsia="宋体"/>
          <w:sz w:val="28"/>
        </w:rPr>
        <w:t>提交日期：2026年6月</w:t>
      </w:r>
    </w:p>
    <w:p w14:paraId="5D603889">
      <w:r>
        <w:br w:type="page"/>
      </w:r>
    </w:p>
    <w:p w14:paraId="0210C4E5">
      <w:pPr>
        <w:jc w:val="center"/>
      </w:pPr>
      <w:r>
        <w:rPr>
          <w:rFonts w:ascii="黑体" w:hAnsi="黑体" w:eastAsia="黑体"/>
          <w:b/>
          <w:sz w:val="32"/>
        </w:rPr>
        <w:t>基于多源数据集成与特征工程的银行客户流失预测研究</w:t>
      </w:r>
    </w:p>
    <w:p w14:paraId="0884BBFC">
      <w:r>
        <w:rPr>
          <w:rFonts w:ascii="黑体" w:hAnsi="黑体" w:eastAsia="黑体"/>
          <w:b/>
          <w:sz w:val="28"/>
        </w:rPr>
        <w:t>摘  要</w:t>
      </w:r>
    </w:p>
    <w:p w14:paraId="062579F8">
      <w:pPr>
        <w:ind w:firstLine="420"/>
      </w:pPr>
      <w:r>
        <w:rPr>
          <w:rFonts w:ascii="宋体" w:hAnsi="宋体" w:eastAsia="宋体"/>
          <w:sz w:val="24"/>
        </w:rPr>
        <w:t>客户流失是银行业的核心挑战。本研究基于银行客户多源数据集，系统实施从数据集成、清洗、特征工程到分类建模与评估的完整数据挖掘流程。实验对比三种特征方案与三种分类算法，并采用SMOTE处理类别不平衡。结果表明，基于相关性选择的特征方案在降低维度的同时取得最优性能，逻辑回归在该方案下F1-Score达0.4262，验证了特征工程在数据挖掘中的核心作用。</w:t>
      </w:r>
    </w:p>
    <w:p w14:paraId="645414DD">
      <w:r>
        <w:rPr>
          <w:rFonts w:ascii="宋体" w:hAnsi="宋体" w:eastAsia="宋体"/>
          <w:sz w:val="24"/>
        </w:rPr>
        <w:t>关键词：数据挖掘；客户流失预测；特征工程；PCA降维；分类模型</w:t>
      </w:r>
    </w:p>
    <w:p w14:paraId="6338CD2E"/>
    <w:p w14:paraId="341DE737">
      <w:r>
        <w:rPr>
          <w:rFonts w:ascii="黑体" w:hAnsi="黑体" w:eastAsia="黑体"/>
          <w:b/>
          <w:sz w:val="28"/>
        </w:rPr>
        <w:t>1  绪论</w:t>
      </w:r>
    </w:p>
    <w:p w14:paraId="64AE229B">
      <w:r>
        <w:rPr>
          <w:rFonts w:ascii="黑体" w:hAnsi="黑体" w:eastAsia="黑体"/>
          <w:b/>
          <w:sz w:val="24"/>
        </w:rPr>
        <w:t>1.1  研究背景与意义</w:t>
      </w:r>
    </w:p>
    <w:p w14:paraId="768DC1CB">
      <w:pPr>
        <w:ind w:firstLine="420"/>
      </w:pPr>
      <w:r>
        <w:rPr>
          <w:rFonts w:ascii="宋体" w:hAnsi="宋体" w:eastAsia="宋体"/>
          <w:sz w:val="24"/>
        </w:rPr>
        <w:t>在金融市场竞争日趋激烈的背景下，客户是银行最核心的战略资产。研究表明，获取新客户的成本是留存老客户的5至7倍，流失率每降低5%可提升利润25%至85%。大数据技术使银行积累了涵盖客户信息、交易记录、互动行为等多维度数据，数据挖掘为从海量数据中提取流失规律提供了系统化的方法论。</w:t>
      </w:r>
    </w:p>
    <w:p w14:paraId="08C82C9E">
      <w:r>
        <w:rPr>
          <w:rFonts w:ascii="黑体" w:hAnsi="黑体" w:eastAsia="黑体"/>
          <w:b/>
          <w:sz w:val="24"/>
        </w:rPr>
        <w:t>1.2  研究内容</w:t>
      </w:r>
    </w:p>
    <w:p w14:paraId="7635EB1E">
      <w:pPr>
        <w:ind w:firstLine="420"/>
      </w:pPr>
      <w:r>
        <w:rPr>
          <w:rFonts w:ascii="宋体" w:hAnsi="宋体" w:eastAsia="宋体"/>
          <w:sz w:val="24"/>
        </w:rPr>
        <w:t>核心内容包括：（1）整合五个数据源，通过LEFT JOIN构建特征宽表；（2）数据预处理——日期解析、缺失值填充、异常值检测与缩尾处理、变量编码；（3）构造聚合特征、交互特征与交易特征，实施特征选择与PCA降维对比；（4）以逻辑回归、随机森林、XGBoost进行3×3因子实验，采用F1-Score和AUC等指标评估。</w:t>
      </w:r>
    </w:p>
    <w:p w14:paraId="354F410C">
      <w:r>
        <w:rPr>
          <w:rFonts w:ascii="黑体" w:hAnsi="黑体" w:eastAsia="黑体"/>
          <w:b/>
          <w:sz w:val="24"/>
        </w:rPr>
        <w:t>1.3  论文结构</w:t>
      </w:r>
    </w:p>
    <w:p w14:paraId="4FC24E51">
      <w:pPr>
        <w:ind w:firstLine="420"/>
      </w:pPr>
      <w:r>
        <w:rPr>
          <w:rFonts w:ascii="宋体" w:hAnsi="宋体" w:eastAsia="宋体"/>
          <w:sz w:val="24"/>
        </w:rPr>
        <w:t>本文共六章：绪论、相关理论、数据预处理、特征工程、模型实验、结论与展望。</w:t>
      </w:r>
    </w:p>
    <w:p w14:paraId="169E793D"/>
    <w:p w14:paraId="6368084A">
      <w:r>
        <w:rPr>
          <w:rFonts w:ascii="黑体" w:hAnsi="黑体" w:eastAsia="黑体"/>
          <w:b/>
          <w:sz w:val="28"/>
        </w:rPr>
        <w:t>2  相关理论与方法</w:t>
      </w:r>
    </w:p>
    <w:p w14:paraId="39D02558">
      <w:r>
        <w:rPr>
          <w:rFonts w:ascii="黑体" w:hAnsi="黑体" w:eastAsia="黑体"/>
          <w:b/>
          <w:sz w:val="24"/>
        </w:rPr>
        <w:t>2.1  数据预处理方法</w:t>
      </w:r>
    </w:p>
    <w:p w14:paraId="24FF0E12">
      <w:pPr>
        <w:ind w:firstLine="420"/>
      </w:pPr>
      <w:r>
        <w:rPr>
          <w:rFonts w:ascii="宋体" w:hAnsi="宋体" w:eastAsia="宋体"/>
          <w:sz w:val="24"/>
        </w:rPr>
        <w:t>数据预处理占挖掘总工作量的60%-80%。缺失值方面，数值型用中位数、分类型用众数填充。异常值采用Z-score（阈值3）和IQR结合检测，通过Winsorization缩尾修正为边界值。分类变量编码：有序变量标签编码，无序变量独热编码，数值型Z-score标准化。</w:t>
      </w:r>
    </w:p>
    <w:p w14:paraId="1CE347D7">
      <w:r>
        <w:rPr>
          <w:rFonts w:ascii="黑体" w:hAnsi="黑体" w:eastAsia="黑体"/>
          <w:b/>
          <w:sz w:val="24"/>
        </w:rPr>
        <w:t>2.2  特征选择与降维</w:t>
      </w:r>
    </w:p>
    <w:p w14:paraId="1651FBA2">
      <w:pPr>
        <w:ind w:firstLine="420"/>
      </w:pPr>
      <w:r>
        <w:rPr>
          <w:rFonts w:ascii="宋体" w:hAnsi="宋体" w:eastAsia="宋体"/>
          <w:sz w:val="24"/>
        </w:rPr>
        <w:t>多层次特征选择策略：低方差过滤去除取值单一的特征；相关性过滤删除互相关系数&gt;0.85的冗余特征；F检验与互信息评估特征与目标的关联强度。降维方面，PCA通过协方差矩阵特征分解，将数据投影到方差最大的正交方向，实现维度压缩。</w:t>
      </w:r>
    </w:p>
    <w:p w14:paraId="10AC756D">
      <w:r>
        <w:rPr>
          <w:rFonts w:ascii="黑体" w:hAnsi="黑体" w:eastAsia="黑体"/>
          <w:b/>
          <w:sz w:val="24"/>
        </w:rPr>
        <w:t>2.3  分类模型</w:t>
      </w:r>
    </w:p>
    <w:p w14:paraId="1F1A80AA">
      <w:pPr>
        <w:ind w:firstLine="420"/>
      </w:pPr>
      <w:r>
        <w:rPr>
          <w:rFonts w:ascii="宋体" w:hAnsi="宋体" w:eastAsia="宋体"/>
          <w:sz w:val="24"/>
        </w:rPr>
        <w:t>本研究选取三种代表性模型：逻辑回归——经典线性模型，通过logit函数输出概率，简单可解释；随机森林——基于Bagging，Bootstrap采样构建多棵决策树投票，抗过拟合且能输出特征重要性；XGBoost——基于梯度提升，串行训练弱学习器拟合残差，引入正则化控制复杂度。</w:t>
      </w:r>
    </w:p>
    <w:p w14:paraId="711A709D">
      <w:r>
        <w:rPr>
          <w:rFonts w:ascii="黑体" w:hAnsi="黑体" w:eastAsia="黑体"/>
          <w:b/>
          <w:sz w:val="24"/>
        </w:rPr>
        <w:t>2.4  评估指标</w:t>
      </w:r>
    </w:p>
    <w:p w14:paraId="0A177D34">
      <w:pPr>
        <w:ind w:firstLine="420"/>
      </w:pPr>
      <w:r>
        <w:rPr>
          <w:rFonts w:ascii="宋体" w:hAnsi="宋体" w:eastAsia="宋体"/>
          <w:sz w:val="24"/>
        </w:rPr>
        <w:t>本研究采用五类指标：准确率（整体正确率）、精确率（预测为流失中实际流失的比例）、召回率（实际流失中被正确识别的比例）、F1-Score（精确率与召回率的调和平均）和ROC-AUC（模型在所有阈值下的整体分类能力）。其中召回率在流失预测中尤为关键——漏报意味着失去保留机会。</w:t>
      </w:r>
    </w:p>
    <w:p w14:paraId="7E13CCF1"/>
    <w:p w14:paraId="5EC0A836">
      <w:r>
        <w:rPr>
          <w:rFonts w:ascii="黑体" w:hAnsi="黑体" w:eastAsia="黑体"/>
          <w:b/>
          <w:sz w:val="28"/>
        </w:rPr>
        <w:t>3  数据探索与预处理</w:t>
      </w:r>
    </w:p>
    <w:p w14:paraId="5E650CF7">
      <w:r>
        <w:rPr>
          <w:rFonts w:ascii="黑体" w:hAnsi="黑体" w:eastAsia="黑体"/>
          <w:b/>
          <w:sz w:val="24"/>
        </w:rPr>
        <w:t>3.1  数据来源与结构</w:t>
      </w:r>
    </w:p>
    <w:p w14:paraId="449437FA">
      <w:pPr>
        <w:ind w:firstLine="420"/>
      </w:pPr>
      <w:r>
        <w:rPr>
          <w:rFonts w:ascii="宋体" w:hAnsi="宋体" w:eastAsia="宋体"/>
          <w:sz w:val="24"/>
        </w:rPr>
        <w:t>本研究所用数据集包含五个关联数据源，均通过customer_id关联，概况如表3-1所示。</w:t>
      </w:r>
    </w:p>
    <w:p w14:paraId="7E84E41F">
      <w:pPr>
        <w:jc w:val="center"/>
      </w:pPr>
      <w:r>
        <w:rPr>
          <w:rFonts w:ascii="黑体" w:hAnsi="黑体" w:eastAsia="黑体"/>
          <w:b/>
          <w:sz w:val="20"/>
        </w:rPr>
        <w:t>表3-1  数据源概况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2020"/>
        <w:gridCol w:w="2008"/>
        <w:gridCol w:w="2416"/>
      </w:tblGrid>
      <w:tr w14:paraId="627958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97FA475">
            <w:pPr>
              <w:jc w:val="center"/>
            </w:pPr>
            <w:r>
              <w:rPr>
                <w:b/>
                <w:sz w:val="20"/>
              </w:rPr>
              <w:t>数据表</w:t>
            </w:r>
          </w:p>
        </w:tc>
        <w:tc>
          <w:tcPr>
            <w:tcW w:w="2075" w:type="dxa"/>
          </w:tcPr>
          <w:p w14:paraId="5DAFF2F7">
            <w:pPr>
              <w:jc w:val="center"/>
            </w:pPr>
            <w:r>
              <w:rPr>
                <w:b/>
                <w:sz w:val="20"/>
              </w:rPr>
              <w:t>记录数</w:t>
            </w:r>
          </w:p>
        </w:tc>
        <w:tc>
          <w:tcPr>
            <w:tcW w:w="2075" w:type="dxa"/>
          </w:tcPr>
          <w:p w14:paraId="46B26C86">
            <w:pPr>
              <w:jc w:val="center"/>
            </w:pPr>
            <w:r>
              <w:rPr>
                <w:b/>
                <w:sz w:val="20"/>
              </w:rPr>
              <w:t>字段数</w:t>
            </w:r>
          </w:p>
        </w:tc>
        <w:tc>
          <w:tcPr>
            <w:tcW w:w="2075" w:type="dxa"/>
          </w:tcPr>
          <w:p w14:paraId="6CF00488">
            <w:pPr>
              <w:jc w:val="center"/>
            </w:pPr>
            <w:r>
              <w:rPr>
                <w:b/>
                <w:sz w:val="20"/>
              </w:rPr>
              <w:t>主要字段</w:t>
            </w:r>
          </w:p>
        </w:tc>
      </w:tr>
      <w:tr w14:paraId="10389C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5235F7F">
            <w:pPr>
              <w:jc w:val="center"/>
            </w:pPr>
            <w:r>
              <w:rPr>
                <w:sz w:val="20"/>
              </w:rPr>
              <w:t>bank_customers</w:t>
            </w:r>
          </w:p>
        </w:tc>
        <w:tc>
          <w:tcPr>
            <w:tcW w:w="2075" w:type="dxa"/>
          </w:tcPr>
          <w:p w14:paraId="7996947C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2075" w:type="dxa"/>
          </w:tcPr>
          <w:p w14:paraId="67CF64BD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075" w:type="dxa"/>
          </w:tcPr>
          <w:p w14:paraId="004A654C">
            <w:pPr>
              <w:jc w:val="center"/>
            </w:pPr>
            <w:r>
              <w:rPr>
                <w:sz w:val="20"/>
              </w:rPr>
              <w:t>customer_id, age, gender, income_month,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education, marital_status, occupation, city, join_date</w:t>
            </w:r>
          </w:p>
        </w:tc>
      </w:tr>
      <w:tr w14:paraId="2D7FBA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64B66D0">
            <w:pPr>
              <w:jc w:val="center"/>
            </w:pPr>
            <w:r>
              <w:rPr>
                <w:sz w:val="20"/>
              </w:rPr>
              <w:t>bank_interactions</w:t>
            </w:r>
          </w:p>
        </w:tc>
        <w:tc>
          <w:tcPr>
            <w:tcW w:w="2075" w:type="dxa"/>
          </w:tcPr>
          <w:p w14:paraId="477DB82F"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w="2075" w:type="dxa"/>
          </w:tcPr>
          <w:p w14:paraId="0C9B5D1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075" w:type="dxa"/>
          </w:tcPr>
          <w:p w14:paraId="53F33AB3">
            <w:pPr>
              <w:jc w:val="center"/>
            </w:pPr>
            <w:r>
              <w:rPr>
                <w:sz w:val="20"/>
              </w:rPr>
              <w:t>interaction_id, customer_id, interaction_date,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interaction_type, satisfaction_score,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resolution_time_hours, agent_id, topic, urgent</w:t>
            </w:r>
          </w:p>
        </w:tc>
      </w:tr>
      <w:tr w14:paraId="293AFB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2F76ACC">
            <w:pPr>
              <w:jc w:val="center"/>
            </w:pPr>
            <w:r>
              <w:rPr>
                <w:sz w:val="20"/>
              </w:rPr>
              <w:t>bank_product_prefs</w:t>
            </w:r>
          </w:p>
        </w:tc>
        <w:tc>
          <w:tcPr>
            <w:tcW w:w="2075" w:type="dxa"/>
          </w:tcPr>
          <w:p w14:paraId="64ED7879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2075" w:type="dxa"/>
          </w:tcPr>
          <w:p w14:paraId="23495757"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w="2075" w:type="dxa"/>
          </w:tcPr>
          <w:p w14:paraId="05B21032">
            <w:pPr>
              <w:jc w:val="center"/>
            </w:pPr>
            <w:r>
              <w:rPr>
                <w:sz w:val="20"/>
              </w:rPr>
              <w:t>customer_id, product_01~product_50</w:t>
            </w:r>
          </w:p>
        </w:tc>
      </w:tr>
      <w:tr w14:paraId="4E716A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788CA11">
            <w:pPr>
              <w:jc w:val="center"/>
            </w:pPr>
            <w:r>
              <w:rPr>
                <w:sz w:val="20"/>
              </w:rPr>
              <w:t>bank_transactions</w:t>
            </w:r>
          </w:p>
        </w:tc>
        <w:tc>
          <w:tcPr>
            <w:tcW w:w="2075" w:type="dxa"/>
          </w:tcPr>
          <w:p w14:paraId="73E78F52">
            <w:pPr>
              <w:jc w:val="center"/>
            </w:pPr>
            <w:r>
              <w:rPr>
                <w:sz w:val="20"/>
              </w:rPr>
              <w:t>2,000</w:t>
            </w:r>
          </w:p>
        </w:tc>
        <w:tc>
          <w:tcPr>
            <w:tcW w:w="2075" w:type="dxa"/>
          </w:tcPr>
          <w:p w14:paraId="4D042CB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75" w:type="dxa"/>
          </w:tcPr>
          <w:p w14:paraId="2420DFB7">
            <w:pPr>
              <w:jc w:val="center"/>
            </w:pPr>
            <w:r>
              <w:rPr>
                <w:sz w:val="20"/>
              </w:rPr>
              <w:t>transaction_id, customer_id, transaction_date,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transaction_type, amount, channel</w:t>
            </w:r>
          </w:p>
        </w:tc>
      </w:tr>
      <w:tr w14:paraId="1359BB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235D082">
            <w:pPr>
              <w:jc w:val="center"/>
            </w:pPr>
            <w:r>
              <w:rPr>
                <w:sz w:val="20"/>
              </w:rPr>
              <w:t>bank_churn_labels</w:t>
            </w:r>
          </w:p>
        </w:tc>
        <w:tc>
          <w:tcPr>
            <w:tcW w:w="2075" w:type="dxa"/>
          </w:tcPr>
          <w:p w14:paraId="3DA23201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2075" w:type="dxa"/>
          </w:tcPr>
          <w:p w14:paraId="17AFA30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75" w:type="dxa"/>
          </w:tcPr>
          <w:p w14:paraId="785E7A86">
            <w:pPr>
              <w:jc w:val="center"/>
            </w:pPr>
            <w:r>
              <w:rPr>
                <w:sz w:val="20"/>
              </w:rPr>
              <w:t>customer_id, churn（0=留存, 1=流失）</w:t>
            </w:r>
          </w:p>
        </w:tc>
      </w:tr>
    </w:tbl>
    <w:p w14:paraId="5C90AD5C">
      <w:pPr>
        <w:ind w:firstLine="420"/>
      </w:pPr>
      <w:r>
        <w:rPr>
          <w:rFonts w:ascii="宋体" w:hAnsi="宋体" w:eastAsia="宋体"/>
          <w:sz w:val="24"/>
        </w:rPr>
        <w:t>数据结构呈星型模式：客户基本信息表为核心，互动记录表记录交互类型、满意度及解决时长，产品偏好表为50维二元向量，交易记录表涵盖存取款、转账等行为，流失标签表定义预测目标。</w:t>
      </w:r>
    </w:p>
    <w:p w14:paraId="08898C37">
      <w:r>
        <w:rPr>
          <w:rFonts w:ascii="黑体" w:hAnsi="黑体" w:eastAsia="黑体"/>
          <w:b/>
          <w:sz w:val="24"/>
        </w:rPr>
        <w:t>3.2  探索性数据分析</w:t>
      </w:r>
    </w:p>
    <w:p w14:paraId="0B195531">
      <w:pPr>
        <w:ind w:firstLine="420"/>
      </w:pPr>
      <w:r>
        <w:rPr>
          <w:rFonts w:ascii="宋体" w:hAnsi="宋体" w:eastAsia="宋体"/>
          <w:sz w:val="24"/>
        </w:rPr>
        <w:t>客户基本信息表存在60条年龄缺失（12%）、17条收入缺失（3.4%）、41条城市缺失（8.2%）。年龄均值46.6岁，近似正态分布；月收入均值68,302元，呈右偏分布。互动记录满意度均值3.81，紧急标志字段存在中文"是/否"与数字"1/0"混用的格式不统一问题。</w:t>
      </w:r>
    </w:p>
    <w:p w14:paraId="76F440E8">
      <w:pPr>
        <w:ind w:firstLine="420"/>
      </w:pPr>
      <w:r>
        <w:rPr>
          <w:rFonts w:ascii="宋体" w:hAnsi="宋体" w:eastAsia="宋体"/>
          <w:sz w:val="24"/>
        </w:rPr>
        <w:t>流失标签分布如图3-1。500名客户中留存318人（63.6%），流失182人（36.4%），属中等程度不平衡，后续通过SMOTE处理。</w:t>
      </w:r>
    </w:p>
    <w:p w14:paraId="2EB4C48C">
      <w:pPr>
        <w:jc w:val="center"/>
      </w:pPr>
      <w:r>
        <w:drawing>
          <wp:inline distT="0" distB="0" distL="114300" distR="114300">
            <wp:extent cx="3657600" cy="2417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1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BD9A">
      <w:pPr>
        <w:jc w:val="center"/>
      </w:pPr>
      <w:r>
        <w:rPr>
          <w:rFonts w:ascii="宋体" w:hAnsi="宋体" w:eastAsia="宋体"/>
          <w:sz w:val="20"/>
        </w:rPr>
        <w:t>图3-1  客户流失标签分布</w:t>
      </w:r>
    </w:p>
    <w:p w14:paraId="3ADE193C">
      <w:r>
        <w:rPr>
          <w:rFonts w:ascii="黑体" w:hAnsi="黑体" w:eastAsia="黑体"/>
          <w:b/>
          <w:sz w:val="24"/>
        </w:rPr>
        <w:t>3.3  数据清洗</w:t>
      </w:r>
    </w:p>
    <w:p w14:paraId="683253F4">
      <w:pPr>
        <w:ind w:firstLine="420"/>
      </w:pPr>
      <w:r>
        <w:rPr>
          <w:rFonts w:ascii="宋体" w:hAnsi="宋体" w:eastAsia="宋体"/>
          <w:sz w:val="24"/>
        </w:rPr>
        <w:t>数据清洗分四步：（1）日期格式规范化，编写多范式解析函数统一处理三种格式。（2）缺失值处理，数值型用中位数、分类型用众数，集成后无互动/交易客户填0。（3）紧急标志标准化，统一转数值型（1=紧急，0=非紧急）。（4）异常值处理，Z-score和IQR双方法检测（表3-2），采用Winsorization缩尾处理。</w:t>
      </w:r>
    </w:p>
    <w:p w14:paraId="0EA71D5B">
      <w:pPr>
        <w:jc w:val="center"/>
      </w:pPr>
      <w:r>
        <w:rPr>
          <w:rFonts w:ascii="黑体" w:hAnsi="黑体" w:eastAsia="黑体"/>
          <w:b/>
          <w:sz w:val="20"/>
        </w:rPr>
        <w:t>表3-2  IQR异常值检测与处理结果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1303"/>
        <w:gridCol w:w="1303"/>
        <w:gridCol w:w="1303"/>
        <w:gridCol w:w="1095"/>
        <w:gridCol w:w="1096"/>
      </w:tblGrid>
      <w:tr w14:paraId="2A047A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54B7699E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83" w:type="dxa"/>
          </w:tcPr>
          <w:p w14:paraId="758E14B1">
            <w:pPr>
              <w:jc w:val="center"/>
            </w:pPr>
            <w:r>
              <w:rPr>
                <w:b/>
                <w:sz w:val="20"/>
              </w:rPr>
              <w:t>Q1</w:t>
            </w:r>
          </w:p>
        </w:tc>
        <w:tc>
          <w:tcPr>
            <w:tcW w:w="1383" w:type="dxa"/>
          </w:tcPr>
          <w:p w14:paraId="369A2B74">
            <w:pPr>
              <w:jc w:val="center"/>
            </w:pPr>
            <w:r>
              <w:rPr>
                <w:b/>
                <w:sz w:val="20"/>
              </w:rPr>
              <w:t>Q3</w:t>
            </w:r>
          </w:p>
        </w:tc>
        <w:tc>
          <w:tcPr>
            <w:tcW w:w="1383" w:type="dxa"/>
          </w:tcPr>
          <w:p w14:paraId="10D987F9">
            <w:pPr>
              <w:jc w:val="center"/>
            </w:pPr>
            <w:r>
              <w:rPr>
                <w:b/>
                <w:sz w:val="20"/>
              </w:rPr>
              <w:t>IQR</w:t>
            </w:r>
          </w:p>
        </w:tc>
        <w:tc>
          <w:tcPr>
            <w:tcW w:w="1383" w:type="dxa"/>
          </w:tcPr>
          <w:p w14:paraId="7891B88A">
            <w:pPr>
              <w:jc w:val="center"/>
            </w:pPr>
            <w:r>
              <w:rPr>
                <w:b/>
                <w:sz w:val="20"/>
              </w:rPr>
              <w:t>异常值数</w:t>
            </w:r>
          </w:p>
        </w:tc>
        <w:tc>
          <w:tcPr>
            <w:tcW w:w="1383" w:type="dxa"/>
          </w:tcPr>
          <w:p w14:paraId="5B75641E"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</w:tr>
      <w:tr w14:paraId="481DDE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3EFDF3BC">
            <w:pPr>
              <w:jc w:val="center"/>
            </w:pPr>
            <w:r>
              <w:rPr>
                <w:sz w:val="20"/>
              </w:rPr>
              <w:t>age</w:t>
            </w:r>
          </w:p>
        </w:tc>
        <w:tc>
          <w:tcPr>
            <w:tcW w:w="1383" w:type="dxa"/>
          </w:tcPr>
          <w:p w14:paraId="17B93035">
            <w:pPr>
              <w:jc w:val="center"/>
            </w:pPr>
            <w:r>
              <w:rPr>
                <w:sz w:val="20"/>
              </w:rPr>
              <w:t>36.00</w:t>
            </w:r>
          </w:p>
        </w:tc>
        <w:tc>
          <w:tcPr>
            <w:tcW w:w="1383" w:type="dxa"/>
          </w:tcPr>
          <w:p w14:paraId="4384BAA4">
            <w:pPr>
              <w:jc w:val="center"/>
            </w:pPr>
            <w:r>
              <w:rPr>
                <w:sz w:val="20"/>
              </w:rPr>
              <w:t>58.00</w:t>
            </w:r>
          </w:p>
        </w:tc>
        <w:tc>
          <w:tcPr>
            <w:tcW w:w="1383" w:type="dxa"/>
          </w:tcPr>
          <w:p w14:paraId="22839992">
            <w:pPr>
              <w:jc w:val="center"/>
            </w:pPr>
            <w:r>
              <w:rPr>
                <w:sz w:val="20"/>
              </w:rPr>
              <w:t>22.00</w:t>
            </w:r>
          </w:p>
        </w:tc>
        <w:tc>
          <w:tcPr>
            <w:tcW w:w="1383" w:type="dxa"/>
          </w:tcPr>
          <w:p w14:paraId="4C71CA01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83" w:type="dxa"/>
          </w:tcPr>
          <w:p w14:paraId="0534EDC6">
            <w:pPr>
              <w:jc w:val="center"/>
            </w:pPr>
            <w:r>
              <w:rPr>
                <w:sz w:val="20"/>
              </w:rPr>
              <w:t>无需处理</w:t>
            </w:r>
          </w:p>
        </w:tc>
      </w:tr>
      <w:tr w14:paraId="19EB6E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4A77C180">
            <w:pPr>
              <w:jc w:val="center"/>
            </w:pPr>
            <w:r>
              <w:rPr>
                <w:sz w:val="20"/>
              </w:rPr>
              <w:t>income_month</w:t>
            </w:r>
          </w:p>
        </w:tc>
        <w:tc>
          <w:tcPr>
            <w:tcW w:w="1383" w:type="dxa"/>
          </w:tcPr>
          <w:p w14:paraId="36704317">
            <w:pPr>
              <w:jc w:val="center"/>
            </w:pPr>
            <w:r>
              <w:rPr>
                <w:sz w:val="20"/>
              </w:rPr>
              <w:t>39,707.50</w:t>
            </w:r>
          </w:p>
        </w:tc>
        <w:tc>
          <w:tcPr>
            <w:tcW w:w="1383" w:type="dxa"/>
          </w:tcPr>
          <w:p w14:paraId="588AC012">
            <w:pPr>
              <w:jc w:val="center"/>
            </w:pPr>
            <w:r>
              <w:rPr>
                <w:sz w:val="20"/>
              </w:rPr>
              <w:t>82,935.00</w:t>
            </w:r>
          </w:p>
        </w:tc>
        <w:tc>
          <w:tcPr>
            <w:tcW w:w="1383" w:type="dxa"/>
          </w:tcPr>
          <w:p w14:paraId="128BAD7B">
            <w:pPr>
              <w:jc w:val="center"/>
            </w:pPr>
            <w:r>
              <w:rPr>
                <w:sz w:val="20"/>
              </w:rPr>
              <w:t>43,227.50</w:t>
            </w:r>
          </w:p>
        </w:tc>
        <w:tc>
          <w:tcPr>
            <w:tcW w:w="1383" w:type="dxa"/>
          </w:tcPr>
          <w:p w14:paraId="3B44F770"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1383" w:type="dxa"/>
          </w:tcPr>
          <w:p w14:paraId="2AF9FDBC">
            <w:pPr>
              <w:jc w:val="center"/>
            </w:pPr>
            <w:r>
              <w:rPr>
                <w:sz w:val="20"/>
              </w:rPr>
              <w:t>缩尾处理</w:t>
            </w:r>
          </w:p>
        </w:tc>
      </w:tr>
      <w:tr w14:paraId="5D33A6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43C265E9">
            <w:pPr>
              <w:jc w:val="center"/>
            </w:pPr>
            <w:r>
              <w:rPr>
                <w:sz w:val="20"/>
              </w:rPr>
              <w:t>avg_satisfaction_score</w:t>
            </w:r>
          </w:p>
        </w:tc>
        <w:tc>
          <w:tcPr>
            <w:tcW w:w="1383" w:type="dxa"/>
          </w:tcPr>
          <w:p w14:paraId="46DAE4F1">
            <w:pPr>
              <w:jc w:val="center"/>
            </w:pPr>
            <w:r>
              <w:rPr>
                <w:sz w:val="20"/>
              </w:rPr>
              <w:t>2.00</w:t>
            </w:r>
          </w:p>
        </w:tc>
        <w:tc>
          <w:tcPr>
            <w:tcW w:w="1383" w:type="dxa"/>
          </w:tcPr>
          <w:p w14:paraId="01650DE0">
            <w:pPr>
              <w:jc w:val="center"/>
            </w:pPr>
            <w:r>
              <w:rPr>
                <w:sz w:val="20"/>
              </w:rPr>
              <w:t>4.05</w:t>
            </w:r>
          </w:p>
        </w:tc>
        <w:tc>
          <w:tcPr>
            <w:tcW w:w="1383" w:type="dxa"/>
          </w:tcPr>
          <w:p w14:paraId="79AA8062">
            <w:pPr>
              <w:jc w:val="center"/>
            </w:pPr>
            <w:r>
              <w:rPr>
                <w:sz w:val="20"/>
              </w:rPr>
              <w:t>2.05</w:t>
            </w:r>
          </w:p>
        </w:tc>
        <w:tc>
          <w:tcPr>
            <w:tcW w:w="1383" w:type="dxa"/>
          </w:tcPr>
          <w:p w14:paraId="1342FA5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83" w:type="dxa"/>
          </w:tcPr>
          <w:p w14:paraId="6F0DC295">
            <w:pPr>
              <w:jc w:val="center"/>
            </w:pPr>
            <w:r>
              <w:rPr>
                <w:sz w:val="20"/>
              </w:rPr>
              <w:t>缩尾处理</w:t>
            </w:r>
          </w:p>
        </w:tc>
      </w:tr>
      <w:tr w14:paraId="47DFC4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72CB544F">
            <w:pPr>
              <w:jc w:val="center"/>
            </w:pPr>
            <w:r>
              <w:rPr>
                <w:sz w:val="20"/>
              </w:rPr>
              <w:t>avg_resolution_time</w:t>
            </w:r>
          </w:p>
        </w:tc>
        <w:tc>
          <w:tcPr>
            <w:tcW w:w="1383" w:type="dxa"/>
          </w:tcPr>
          <w:p w14:paraId="0FE7AF09">
            <w:pPr>
              <w:jc w:val="center"/>
            </w:pPr>
            <w:r>
              <w:rPr>
                <w:sz w:val="20"/>
              </w:rPr>
              <w:t>2.08</w:t>
            </w:r>
          </w:p>
        </w:tc>
        <w:tc>
          <w:tcPr>
            <w:tcW w:w="1383" w:type="dxa"/>
          </w:tcPr>
          <w:p w14:paraId="3E26128F">
            <w:pPr>
              <w:jc w:val="center"/>
            </w:pPr>
            <w:r>
              <w:rPr>
                <w:sz w:val="20"/>
              </w:rPr>
              <w:t>27.82</w:t>
            </w:r>
          </w:p>
        </w:tc>
        <w:tc>
          <w:tcPr>
            <w:tcW w:w="1383" w:type="dxa"/>
          </w:tcPr>
          <w:p w14:paraId="6B4442B3">
            <w:pPr>
              <w:jc w:val="center"/>
            </w:pPr>
            <w:r>
              <w:rPr>
                <w:sz w:val="20"/>
              </w:rPr>
              <w:t>25.75</w:t>
            </w:r>
          </w:p>
        </w:tc>
        <w:tc>
          <w:tcPr>
            <w:tcW w:w="1383" w:type="dxa"/>
          </w:tcPr>
          <w:p w14:paraId="080A6FF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383" w:type="dxa"/>
          </w:tcPr>
          <w:p w14:paraId="533A378B">
            <w:pPr>
              <w:jc w:val="center"/>
            </w:pPr>
            <w:r>
              <w:rPr>
                <w:sz w:val="20"/>
              </w:rPr>
              <w:t>缩尾处理</w:t>
            </w:r>
          </w:p>
        </w:tc>
      </w:tr>
      <w:tr w14:paraId="49D861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0799DB5C">
            <w:pPr>
              <w:jc w:val="center"/>
            </w:pPr>
            <w:r>
              <w:rPr>
                <w:sz w:val="20"/>
              </w:rPr>
              <w:t>interaction_count</w:t>
            </w:r>
          </w:p>
        </w:tc>
        <w:tc>
          <w:tcPr>
            <w:tcW w:w="1383" w:type="dxa"/>
          </w:tcPr>
          <w:p w14:paraId="005E7585"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83" w:type="dxa"/>
          </w:tcPr>
          <w:p w14:paraId="229AB68F">
            <w:pPr>
              <w:jc w:val="center"/>
            </w:pPr>
            <w:r>
              <w:rPr>
                <w:sz w:val="20"/>
              </w:rPr>
              <w:t>2.00</w:t>
            </w:r>
          </w:p>
        </w:tc>
        <w:tc>
          <w:tcPr>
            <w:tcW w:w="1383" w:type="dxa"/>
          </w:tcPr>
          <w:p w14:paraId="2FEBECB4"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1383" w:type="dxa"/>
          </w:tcPr>
          <w:p w14:paraId="55E90B41"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1383" w:type="dxa"/>
          </w:tcPr>
          <w:p w14:paraId="48B510C2">
            <w:pPr>
              <w:jc w:val="center"/>
            </w:pPr>
            <w:r>
              <w:rPr>
                <w:sz w:val="20"/>
              </w:rPr>
              <w:t>缩尾处理</w:t>
            </w:r>
          </w:p>
        </w:tc>
      </w:tr>
    </w:tbl>
    <w:p w14:paraId="2BAD5F73">
      <w:r>
        <w:rPr>
          <w:rFonts w:ascii="黑体" w:hAnsi="黑体" w:eastAsia="黑体"/>
          <w:b/>
          <w:sz w:val="24"/>
        </w:rPr>
        <w:t>3.4  数据集成</w:t>
      </w:r>
    </w:p>
    <w:p w14:paraId="5B6746B5">
      <w:pPr>
        <w:ind w:firstLine="420"/>
      </w:pPr>
      <w:r>
        <w:rPr>
          <w:rFonts w:ascii="宋体" w:hAnsi="宋体" w:eastAsia="宋体"/>
          <w:sz w:val="24"/>
        </w:rPr>
        <w:t>数据集成分三步：首先对互动记录按customer_id聚合，计算满意度与解决时长的均值/标准差、紧急互动次数与比例及各互动类型频次。然后通过多次LEFT JOIN依次关联互动统计、产品偏好和流失标签，合并后为500行×74列。最后对合并缺失值二次填充，数据质量：完整性99.46%、唯一性100%、有效性99.01%。流程如图3-2。</w:t>
      </w:r>
    </w:p>
    <w:p w14:paraId="6A286267">
      <w:pPr>
        <w:jc w:val="center"/>
      </w:pPr>
      <w:r>
        <w:drawing>
          <wp:inline distT="0" distB="0" distL="114300" distR="114300">
            <wp:extent cx="5029200" cy="1476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7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BCC7">
      <w:pPr>
        <w:jc w:val="center"/>
      </w:pPr>
      <w:r>
        <w:rPr>
          <w:rFonts w:ascii="宋体" w:hAnsi="宋体" w:eastAsia="宋体"/>
          <w:sz w:val="20"/>
        </w:rPr>
        <w:t>图3-2  数据挖掘整体流程</w:t>
      </w:r>
    </w:p>
    <w:p w14:paraId="3A8ED470"/>
    <w:p w14:paraId="25DB16BB">
      <w:r>
        <w:rPr>
          <w:rFonts w:ascii="黑体" w:hAnsi="黑体" w:eastAsia="黑体"/>
          <w:b/>
          <w:sz w:val="28"/>
        </w:rPr>
        <w:t>4  特征工程</w:t>
      </w:r>
    </w:p>
    <w:p w14:paraId="384B2088">
      <w:r>
        <w:rPr>
          <w:rFonts w:ascii="黑体" w:hAnsi="黑体" w:eastAsia="黑体"/>
          <w:b/>
          <w:sz w:val="24"/>
        </w:rPr>
        <w:t>4.1  特征编码与日期转换</w:t>
      </w:r>
    </w:p>
    <w:p w14:paraId="4DE9DE2B">
      <w:pPr>
        <w:ind w:firstLine="420"/>
      </w:pPr>
      <w:r>
        <w:rPr>
          <w:rFonts w:ascii="宋体" w:hAnsi="宋体" w:eastAsia="宋体"/>
          <w:sz w:val="24"/>
        </w:rPr>
        <w:t>有序变量（学历、年龄段）采用标签编码，无序变量（性别、婚姻状况、职业、城市）采用独热编码。从join_date提取年份、月份、季度，并以2024-12-31为基准计算在网时长，该特征反映客户与银行的关系深度。</w:t>
      </w:r>
    </w:p>
    <w:p w14:paraId="5B528970">
      <w:r>
        <w:rPr>
          <w:rFonts w:ascii="黑体" w:hAnsi="黑体" w:eastAsia="黑体"/>
          <w:b/>
          <w:sz w:val="24"/>
        </w:rPr>
        <w:t>4.2  交互特征与交易特征</w:t>
      </w:r>
    </w:p>
    <w:p w14:paraId="00DD43F4">
      <w:pPr>
        <w:ind w:firstLine="420"/>
      </w:pPr>
      <w:r>
        <w:rPr>
          <w:rFonts w:ascii="宋体" w:hAnsi="宋体" w:eastAsia="宋体"/>
          <w:sz w:val="24"/>
        </w:rPr>
        <w:t>设计三个交互特征：收入-年龄比income/(age+1)衡量同龄相对收入水平；满意度效率指数satisfaction/(resolution_time+1)综合评估服务效价；紧急互动影响urgent_ratio×satisfaction衡量紧急互动对满意度的加权效应。从交易记录提取八个聚合特征：交易次数、总金额、均值、标准差、极值、类型和渠道多样性。添加后特征矩阵扩展至94维。</w:t>
      </w:r>
    </w:p>
    <w:p w14:paraId="67513723">
      <w:r>
        <w:rPr>
          <w:rFonts w:ascii="黑体" w:hAnsi="黑体" w:eastAsia="黑体"/>
          <w:b/>
          <w:sz w:val="24"/>
        </w:rPr>
        <w:t>4.3  特征选择</w:t>
      </w:r>
    </w:p>
    <w:p w14:paraId="74D63180">
      <w:pPr>
        <w:ind w:firstLine="420"/>
      </w:pPr>
      <w:r>
        <w:rPr>
          <w:rFonts w:ascii="宋体" w:hAnsi="宋体" w:eastAsia="宋体"/>
          <w:sz w:val="24"/>
        </w:rPr>
        <w:t>实施三层特征选择：第一层低方差过滤（threshold=0.01），94维均通过。第二层高相关过滤，删除互相关系数&gt;0.85的4个冗余特征。第三层目标相关性筛选，选取与流失标签相关性最高的Top-50特征并去除互相关系数&gt;0.9项，最终保留48维。图4-1展示了随机森林Top 15特征重要性。</w:t>
      </w:r>
    </w:p>
    <w:p w14:paraId="610FE9CC">
      <w:pPr>
        <w:jc w:val="center"/>
      </w:pPr>
      <w:r>
        <w:drawing>
          <wp:inline distT="0" distB="0" distL="114300" distR="114300">
            <wp:extent cx="4572000" cy="318833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1014">
      <w:pPr>
        <w:jc w:val="center"/>
      </w:pPr>
      <w:r>
        <w:rPr>
          <w:rFonts w:ascii="宋体" w:hAnsi="宋体" w:eastAsia="宋体"/>
          <w:sz w:val="20"/>
        </w:rPr>
        <w:t>图4-1  随机森林特征重要性排名（Top 15）</w:t>
      </w:r>
    </w:p>
    <w:p w14:paraId="291D9896">
      <w:r>
        <w:rPr>
          <w:rFonts w:ascii="黑体" w:hAnsi="黑体" w:eastAsia="黑体"/>
          <w:b/>
          <w:sz w:val="24"/>
        </w:rPr>
        <w:t>4.4  PCA降维</w:t>
      </w:r>
    </w:p>
    <w:p w14:paraId="4BE9F2AE">
      <w:pPr>
        <w:ind w:firstLine="420"/>
      </w:pPr>
      <w:r>
        <w:rPr>
          <w:rFonts w:ascii="宋体" w:hAnsi="宋体" w:eastAsia="宋体"/>
          <w:sz w:val="24"/>
        </w:rPr>
        <w:t>对标准化94维特征应用PCA保留90%方差，自动确定63个主成分。图4-2展示了方差解释比例及累计曲线。PC1-PC2散点投影显示流失与留存客户无明显线性可分边界，解释了集成模型CV_AUC（0.78-0.80）优于逻辑回归（0.60-0.64）的原因——集成模型能更好地拟合非线性决策边界。</w:t>
      </w:r>
    </w:p>
    <w:p w14:paraId="2175E709">
      <w:pPr>
        <w:jc w:val="center"/>
      </w:pPr>
      <w:r>
        <w:drawing>
          <wp:inline distT="0" distB="0" distL="114300" distR="114300">
            <wp:extent cx="5029200" cy="190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3FB5">
      <w:pPr>
        <w:jc w:val="center"/>
      </w:pPr>
      <w:r>
        <w:rPr>
          <w:rFonts w:ascii="宋体" w:hAnsi="宋体" w:eastAsia="宋体"/>
          <w:sz w:val="20"/>
        </w:rPr>
        <w:t>图4-2  PCA方差解释比例与主成分散点投影</w:t>
      </w:r>
    </w:p>
    <w:p w14:paraId="381EAAED"/>
    <w:p w14:paraId="506CC38B">
      <w:r>
        <w:rPr>
          <w:rFonts w:ascii="黑体" w:hAnsi="黑体" w:eastAsia="黑体"/>
          <w:b/>
          <w:sz w:val="28"/>
        </w:rPr>
        <w:t>5  模型构建与对比实验</w:t>
      </w:r>
    </w:p>
    <w:p w14:paraId="7C94E2FC">
      <w:r>
        <w:rPr>
          <w:rFonts w:ascii="黑体" w:hAnsi="黑体" w:eastAsia="黑体"/>
          <w:b/>
          <w:sz w:val="24"/>
        </w:rPr>
        <w:t>5.1  实验设计</w:t>
      </w:r>
    </w:p>
    <w:p w14:paraId="2237C099">
      <w:pPr>
        <w:ind w:firstLine="420"/>
      </w:pPr>
      <w:r>
        <w:rPr>
          <w:rFonts w:ascii="宋体" w:hAnsi="宋体" w:eastAsia="宋体"/>
          <w:sz w:val="24"/>
        </w:rPr>
        <w:t>本研究设计3×3因子实验。特征方案：A全量94维（标准化）；B相关性选择48维；C使用PCA降维63个主成分（90%方差）。模型：逻辑回归（L2, C=0.1）、随机森林（300棵树, max_depth=8, class_weight=balanced）、XGBoost（300轮, max_depth=5, lr=0.05），random_state=42确保可复现。</w:t>
      </w:r>
    </w:p>
    <w:p w14:paraId="660C9567">
      <w:pPr>
        <w:ind w:firstLine="420"/>
      </w:pPr>
      <w:r>
        <w:rPr>
          <w:rFonts w:ascii="宋体" w:hAnsi="宋体" w:eastAsia="宋体"/>
          <w:sz w:val="24"/>
        </w:rPr>
        <w:t>数据集按7:3分层划分（训练350/测试150）。应用SMOTE使训练集正负比从1:1.75平衡至1:1，在平衡训练集上训练，原始测试集上评估，辅以5折分层交叉验证。环境：Windows 11 + Python 3.10 + scikit-learn/XGBoost。</w:t>
      </w:r>
    </w:p>
    <w:p w14:paraId="6B857568">
      <w:r>
        <w:rPr>
          <w:rFonts w:ascii="黑体" w:hAnsi="黑体" w:eastAsia="黑体"/>
          <w:b/>
          <w:sz w:val="24"/>
        </w:rPr>
        <w:t>5.2  实验结果与分析</w:t>
      </w:r>
    </w:p>
    <w:p w14:paraId="0C014ADC">
      <w:pPr>
        <w:ind w:firstLine="420"/>
      </w:pPr>
      <w:r>
        <w:rPr>
          <w:rFonts w:ascii="宋体" w:hAnsi="宋体" w:eastAsia="宋体"/>
          <w:sz w:val="24"/>
        </w:rPr>
        <w:t>表5-1展示了9组实验在测试集上的完整指标，图5-1以柱状图展示F1-Score和AUC对比。</w:t>
      </w:r>
    </w:p>
    <w:p w14:paraId="2592885A">
      <w:pPr>
        <w:jc w:val="center"/>
      </w:pPr>
      <w:r>
        <w:rPr>
          <w:rFonts w:ascii="黑体" w:hAnsi="黑体" w:eastAsia="黑体"/>
          <w:b/>
          <w:sz w:val="20"/>
        </w:rPr>
        <w:t>表5-1  模型性能对比实验结果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216"/>
        <w:gridCol w:w="1036"/>
        <w:gridCol w:w="1124"/>
        <w:gridCol w:w="1027"/>
        <w:gridCol w:w="1027"/>
        <w:gridCol w:w="1027"/>
        <w:gridCol w:w="1028"/>
      </w:tblGrid>
      <w:tr w14:paraId="187CFD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</w:tcPr>
          <w:p w14:paraId="1B3AF4F2"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w="1037" w:type="dxa"/>
          </w:tcPr>
          <w:p w14:paraId="63CA87F3">
            <w:pPr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w="1037" w:type="dxa"/>
          </w:tcPr>
          <w:p w14:paraId="7B318444">
            <w:pPr>
              <w:jc w:val="center"/>
            </w:pPr>
            <w:r>
              <w:rPr>
                <w:b/>
                <w:sz w:val="20"/>
              </w:rPr>
              <w:t>Accuracy</w:t>
            </w:r>
          </w:p>
        </w:tc>
        <w:tc>
          <w:tcPr>
            <w:tcW w:w="1037" w:type="dxa"/>
          </w:tcPr>
          <w:p w14:paraId="0692D0E1">
            <w:pPr>
              <w:jc w:val="center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w="1037" w:type="dxa"/>
          </w:tcPr>
          <w:p w14:paraId="43C16F98">
            <w:pPr>
              <w:jc w:val="center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w="1037" w:type="dxa"/>
          </w:tcPr>
          <w:p w14:paraId="701BCF5C">
            <w:pPr>
              <w:jc w:val="center"/>
            </w:pPr>
            <w:r>
              <w:rPr>
                <w:b/>
                <w:sz w:val="20"/>
              </w:rPr>
              <w:t>F1-Score</w:t>
            </w:r>
          </w:p>
        </w:tc>
        <w:tc>
          <w:tcPr>
            <w:tcW w:w="1037" w:type="dxa"/>
          </w:tcPr>
          <w:p w14:paraId="6A6911F5">
            <w:pPr>
              <w:jc w:val="center"/>
            </w:pPr>
            <w:r>
              <w:rPr>
                <w:b/>
                <w:sz w:val="20"/>
              </w:rPr>
              <w:t>AUC</w:t>
            </w:r>
          </w:p>
        </w:tc>
        <w:tc>
          <w:tcPr>
            <w:tcW w:w="1037" w:type="dxa"/>
          </w:tcPr>
          <w:p w14:paraId="51E322A8">
            <w:pPr>
              <w:jc w:val="center"/>
            </w:pPr>
            <w:r>
              <w:rPr>
                <w:b/>
                <w:sz w:val="20"/>
              </w:rPr>
              <w:t>CV_AUC</w:t>
            </w:r>
          </w:p>
        </w:tc>
      </w:tr>
      <w:tr w14:paraId="33C572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</w:tcPr>
          <w:p w14:paraId="58F8150F">
            <w:pPr>
              <w:jc w:val="center"/>
            </w:pPr>
            <w:r>
              <w:rPr>
                <w:sz w:val="20"/>
              </w:rPr>
              <w:t>A（全特征）</w:t>
            </w:r>
          </w:p>
        </w:tc>
        <w:tc>
          <w:tcPr>
            <w:tcW w:w="1037" w:type="dxa"/>
          </w:tcPr>
          <w:p w14:paraId="35B0B349">
            <w:pPr>
              <w:jc w:val="center"/>
            </w:pPr>
            <w:r>
              <w:rPr>
                <w:sz w:val="20"/>
              </w:rPr>
              <w:t>Logistic Regression</w:t>
            </w:r>
          </w:p>
        </w:tc>
        <w:tc>
          <w:tcPr>
            <w:tcW w:w="1037" w:type="dxa"/>
          </w:tcPr>
          <w:p w14:paraId="3EA85592">
            <w:pPr>
              <w:jc w:val="center"/>
            </w:pPr>
            <w:r>
              <w:rPr>
                <w:sz w:val="20"/>
              </w:rPr>
              <w:t>0.4867</w:t>
            </w:r>
          </w:p>
        </w:tc>
        <w:tc>
          <w:tcPr>
            <w:tcW w:w="1037" w:type="dxa"/>
          </w:tcPr>
          <w:p w14:paraId="26EA9886">
            <w:pPr>
              <w:jc w:val="center"/>
            </w:pPr>
            <w:r>
              <w:rPr>
                <w:sz w:val="20"/>
              </w:rPr>
              <w:t>0.3281</w:t>
            </w:r>
          </w:p>
        </w:tc>
        <w:tc>
          <w:tcPr>
            <w:tcW w:w="1037" w:type="dxa"/>
          </w:tcPr>
          <w:p w14:paraId="153DE897">
            <w:pPr>
              <w:jc w:val="center"/>
            </w:pPr>
            <w:r>
              <w:rPr>
                <w:sz w:val="20"/>
              </w:rPr>
              <w:t>0.3818</w:t>
            </w:r>
          </w:p>
        </w:tc>
        <w:tc>
          <w:tcPr>
            <w:tcW w:w="1037" w:type="dxa"/>
          </w:tcPr>
          <w:p w14:paraId="5770ABE7">
            <w:pPr>
              <w:jc w:val="center"/>
            </w:pPr>
            <w:r>
              <w:rPr>
                <w:sz w:val="20"/>
              </w:rPr>
              <w:t>0.3529</w:t>
            </w:r>
          </w:p>
        </w:tc>
        <w:tc>
          <w:tcPr>
            <w:tcW w:w="1037" w:type="dxa"/>
          </w:tcPr>
          <w:p w14:paraId="550705DF">
            <w:pPr>
              <w:jc w:val="center"/>
            </w:pPr>
            <w:r>
              <w:rPr>
                <w:sz w:val="20"/>
              </w:rPr>
              <w:t>0.4813</w:t>
            </w:r>
          </w:p>
        </w:tc>
        <w:tc>
          <w:tcPr>
            <w:tcW w:w="1037" w:type="dxa"/>
          </w:tcPr>
          <w:p w14:paraId="38390736">
            <w:pPr>
              <w:jc w:val="center"/>
            </w:pPr>
            <w:r>
              <w:rPr>
                <w:sz w:val="20"/>
              </w:rPr>
              <w:t>0.6374</w:t>
            </w:r>
          </w:p>
        </w:tc>
      </w:tr>
      <w:tr w14:paraId="60FA74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</w:tcPr>
          <w:p w14:paraId="2436D79C">
            <w:pPr>
              <w:jc w:val="center"/>
            </w:pPr>
            <w:r>
              <w:rPr>
                <w:sz w:val="20"/>
              </w:rPr>
              <w:t>A（全特征）</w:t>
            </w:r>
          </w:p>
        </w:tc>
        <w:tc>
          <w:tcPr>
            <w:tcW w:w="1037" w:type="dxa"/>
          </w:tcPr>
          <w:p w14:paraId="14C99FF7">
            <w:pPr>
              <w:jc w:val="center"/>
            </w:pPr>
            <w:r>
              <w:rPr>
                <w:sz w:val="20"/>
              </w:rPr>
              <w:t>Random Forest</w:t>
            </w:r>
          </w:p>
        </w:tc>
        <w:tc>
          <w:tcPr>
            <w:tcW w:w="1037" w:type="dxa"/>
          </w:tcPr>
          <w:p w14:paraId="417914B7">
            <w:pPr>
              <w:jc w:val="center"/>
            </w:pPr>
            <w:r>
              <w:rPr>
                <w:sz w:val="20"/>
              </w:rPr>
              <w:t>0.5467</w:t>
            </w:r>
          </w:p>
        </w:tc>
        <w:tc>
          <w:tcPr>
            <w:tcW w:w="1037" w:type="dxa"/>
          </w:tcPr>
          <w:p w14:paraId="252DC7AC">
            <w:pPr>
              <w:jc w:val="center"/>
            </w:pPr>
            <w:r>
              <w:rPr>
                <w:sz w:val="20"/>
              </w:rPr>
              <w:t>0.3143</w:t>
            </w:r>
          </w:p>
        </w:tc>
        <w:tc>
          <w:tcPr>
            <w:tcW w:w="1037" w:type="dxa"/>
          </w:tcPr>
          <w:p w14:paraId="7F770725">
            <w:pPr>
              <w:jc w:val="center"/>
            </w:pPr>
            <w:r>
              <w:rPr>
                <w:sz w:val="20"/>
              </w:rPr>
              <w:t>0.2000</w:t>
            </w:r>
          </w:p>
        </w:tc>
        <w:tc>
          <w:tcPr>
            <w:tcW w:w="1037" w:type="dxa"/>
          </w:tcPr>
          <w:p w14:paraId="6DD16ACC">
            <w:pPr>
              <w:jc w:val="center"/>
            </w:pPr>
            <w:r>
              <w:rPr>
                <w:sz w:val="20"/>
              </w:rPr>
              <w:t>0.2444</w:t>
            </w:r>
          </w:p>
        </w:tc>
        <w:tc>
          <w:tcPr>
            <w:tcW w:w="1037" w:type="dxa"/>
          </w:tcPr>
          <w:p w14:paraId="37716AF1">
            <w:pPr>
              <w:jc w:val="center"/>
            </w:pPr>
            <w:r>
              <w:rPr>
                <w:sz w:val="20"/>
              </w:rPr>
              <w:t>0.5278</w:t>
            </w:r>
          </w:p>
        </w:tc>
        <w:tc>
          <w:tcPr>
            <w:tcW w:w="1037" w:type="dxa"/>
          </w:tcPr>
          <w:p w14:paraId="671468AA">
            <w:pPr>
              <w:jc w:val="center"/>
            </w:pPr>
            <w:r>
              <w:rPr>
                <w:sz w:val="20"/>
              </w:rPr>
              <w:t>0.7920</w:t>
            </w:r>
          </w:p>
        </w:tc>
      </w:tr>
      <w:tr w14:paraId="531C6E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</w:tcPr>
          <w:p w14:paraId="473ACA90">
            <w:pPr>
              <w:jc w:val="center"/>
            </w:pPr>
            <w:r>
              <w:rPr>
                <w:sz w:val="20"/>
              </w:rPr>
              <w:t>A（全特征）</w:t>
            </w:r>
          </w:p>
        </w:tc>
        <w:tc>
          <w:tcPr>
            <w:tcW w:w="1037" w:type="dxa"/>
          </w:tcPr>
          <w:p w14:paraId="7C1FD46E">
            <w:pPr>
              <w:jc w:val="center"/>
            </w:pPr>
            <w:r>
              <w:rPr>
                <w:sz w:val="20"/>
              </w:rPr>
              <w:t>XGBoost</w:t>
            </w:r>
          </w:p>
        </w:tc>
        <w:tc>
          <w:tcPr>
            <w:tcW w:w="1037" w:type="dxa"/>
          </w:tcPr>
          <w:p w14:paraId="1E01D412">
            <w:pPr>
              <w:jc w:val="center"/>
            </w:pPr>
            <w:r>
              <w:rPr>
                <w:sz w:val="20"/>
              </w:rPr>
              <w:t>0.5533</w:t>
            </w:r>
          </w:p>
        </w:tc>
        <w:tc>
          <w:tcPr>
            <w:tcW w:w="1037" w:type="dxa"/>
          </w:tcPr>
          <w:p w14:paraId="0AA66818">
            <w:pPr>
              <w:jc w:val="center"/>
            </w:pPr>
            <w:r>
              <w:rPr>
                <w:sz w:val="20"/>
              </w:rPr>
              <w:t>0.3636</w:t>
            </w:r>
          </w:p>
        </w:tc>
        <w:tc>
          <w:tcPr>
            <w:tcW w:w="1037" w:type="dxa"/>
          </w:tcPr>
          <w:p w14:paraId="648EFF52">
            <w:pPr>
              <w:jc w:val="center"/>
            </w:pPr>
            <w:r>
              <w:rPr>
                <w:sz w:val="20"/>
              </w:rPr>
              <w:t>0.2909</w:t>
            </w:r>
          </w:p>
        </w:tc>
        <w:tc>
          <w:tcPr>
            <w:tcW w:w="1037" w:type="dxa"/>
          </w:tcPr>
          <w:p w14:paraId="2FF458E0">
            <w:pPr>
              <w:jc w:val="center"/>
            </w:pPr>
            <w:r>
              <w:rPr>
                <w:sz w:val="20"/>
              </w:rPr>
              <w:t>0.3232</w:t>
            </w:r>
          </w:p>
        </w:tc>
        <w:tc>
          <w:tcPr>
            <w:tcW w:w="1037" w:type="dxa"/>
          </w:tcPr>
          <w:p w14:paraId="686A2A31">
            <w:pPr>
              <w:jc w:val="center"/>
            </w:pPr>
            <w:r>
              <w:rPr>
                <w:sz w:val="20"/>
              </w:rPr>
              <w:t>0.5095</w:t>
            </w:r>
          </w:p>
        </w:tc>
        <w:tc>
          <w:tcPr>
            <w:tcW w:w="1037" w:type="dxa"/>
          </w:tcPr>
          <w:p w14:paraId="14D9B49D">
            <w:pPr>
              <w:jc w:val="center"/>
            </w:pPr>
            <w:r>
              <w:rPr>
                <w:sz w:val="20"/>
              </w:rPr>
              <w:t>0.7882</w:t>
            </w:r>
          </w:p>
        </w:tc>
      </w:tr>
      <w:tr w14:paraId="3796BE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</w:tcPr>
          <w:p w14:paraId="069D8AB2">
            <w:pPr>
              <w:jc w:val="center"/>
            </w:pPr>
            <w:r>
              <w:rPr>
                <w:sz w:val="20"/>
              </w:rPr>
              <w:t>B（特征选择）</w:t>
            </w:r>
          </w:p>
        </w:tc>
        <w:tc>
          <w:tcPr>
            <w:tcW w:w="1037" w:type="dxa"/>
          </w:tcPr>
          <w:p w14:paraId="11344AEC">
            <w:pPr>
              <w:jc w:val="center"/>
            </w:pPr>
            <w:r>
              <w:rPr>
                <w:sz w:val="20"/>
              </w:rPr>
              <w:t>Logistic Regression</w:t>
            </w:r>
          </w:p>
        </w:tc>
        <w:tc>
          <w:tcPr>
            <w:tcW w:w="1037" w:type="dxa"/>
          </w:tcPr>
          <w:p w14:paraId="28703E14">
            <w:pPr>
              <w:jc w:val="center"/>
            </w:pPr>
            <w:r>
              <w:rPr>
                <w:sz w:val="20"/>
              </w:rPr>
              <w:t>0.5333</w:t>
            </w:r>
          </w:p>
        </w:tc>
        <w:tc>
          <w:tcPr>
            <w:tcW w:w="1037" w:type="dxa"/>
          </w:tcPr>
          <w:p w14:paraId="6D158683">
            <w:pPr>
              <w:jc w:val="center"/>
            </w:pPr>
            <w:r>
              <w:rPr>
                <w:sz w:val="20"/>
              </w:rPr>
              <w:t>0.3881</w:t>
            </w:r>
          </w:p>
        </w:tc>
        <w:tc>
          <w:tcPr>
            <w:tcW w:w="1037" w:type="dxa"/>
          </w:tcPr>
          <w:p w14:paraId="358058BB">
            <w:pPr>
              <w:jc w:val="center"/>
            </w:pPr>
            <w:r>
              <w:rPr>
                <w:sz w:val="20"/>
              </w:rPr>
              <w:t>0.4727</w:t>
            </w:r>
          </w:p>
        </w:tc>
        <w:tc>
          <w:tcPr>
            <w:tcW w:w="1037" w:type="dxa"/>
          </w:tcPr>
          <w:p w14:paraId="5FD924FC">
            <w:pPr>
              <w:jc w:val="center"/>
            </w:pPr>
            <w:r>
              <w:rPr>
                <w:sz w:val="20"/>
              </w:rPr>
              <w:t>0.4262</w:t>
            </w:r>
          </w:p>
        </w:tc>
        <w:tc>
          <w:tcPr>
            <w:tcW w:w="1037" w:type="dxa"/>
          </w:tcPr>
          <w:p w14:paraId="68E03D69">
            <w:pPr>
              <w:jc w:val="center"/>
            </w:pPr>
            <w:r>
              <w:rPr>
                <w:sz w:val="20"/>
              </w:rPr>
              <w:t>0.5776</w:t>
            </w:r>
          </w:p>
        </w:tc>
        <w:tc>
          <w:tcPr>
            <w:tcW w:w="1037" w:type="dxa"/>
          </w:tcPr>
          <w:p w14:paraId="7B988CD8">
            <w:pPr>
              <w:jc w:val="center"/>
            </w:pPr>
            <w:r>
              <w:rPr>
                <w:sz w:val="20"/>
              </w:rPr>
              <w:t>0.6449</w:t>
            </w:r>
          </w:p>
        </w:tc>
      </w:tr>
      <w:tr w14:paraId="25310F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</w:tcPr>
          <w:p w14:paraId="64516753">
            <w:pPr>
              <w:jc w:val="center"/>
            </w:pPr>
            <w:r>
              <w:rPr>
                <w:sz w:val="20"/>
              </w:rPr>
              <w:t>B（特征选择）</w:t>
            </w:r>
          </w:p>
        </w:tc>
        <w:tc>
          <w:tcPr>
            <w:tcW w:w="1037" w:type="dxa"/>
          </w:tcPr>
          <w:p w14:paraId="7A65EF69">
            <w:pPr>
              <w:jc w:val="center"/>
            </w:pPr>
            <w:r>
              <w:rPr>
                <w:sz w:val="20"/>
              </w:rPr>
              <w:t>Random Forest</w:t>
            </w:r>
          </w:p>
        </w:tc>
        <w:tc>
          <w:tcPr>
            <w:tcW w:w="1037" w:type="dxa"/>
          </w:tcPr>
          <w:p w14:paraId="5EA0BDE7">
            <w:pPr>
              <w:jc w:val="center"/>
            </w:pPr>
            <w:r>
              <w:rPr>
                <w:sz w:val="20"/>
              </w:rPr>
              <w:t>0.5800</w:t>
            </w:r>
          </w:p>
        </w:tc>
        <w:tc>
          <w:tcPr>
            <w:tcW w:w="1037" w:type="dxa"/>
          </w:tcPr>
          <w:p w14:paraId="47930C19">
            <w:pPr>
              <w:jc w:val="center"/>
            </w:pPr>
            <w:r>
              <w:rPr>
                <w:sz w:val="20"/>
              </w:rPr>
              <w:t>0.4000</w:t>
            </w:r>
          </w:p>
        </w:tc>
        <w:tc>
          <w:tcPr>
            <w:tcW w:w="1037" w:type="dxa"/>
          </w:tcPr>
          <w:p w14:paraId="1A9EA496">
            <w:pPr>
              <w:jc w:val="center"/>
            </w:pPr>
            <w:r>
              <w:rPr>
                <w:sz w:val="20"/>
              </w:rPr>
              <w:t>0.2909</w:t>
            </w:r>
          </w:p>
        </w:tc>
        <w:tc>
          <w:tcPr>
            <w:tcW w:w="1037" w:type="dxa"/>
          </w:tcPr>
          <w:p w14:paraId="42ADB57E">
            <w:pPr>
              <w:jc w:val="center"/>
            </w:pPr>
            <w:r>
              <w:rPr>
                <w:sz w:val="20"/>
              </w:rPr>
              <w:t>0.3368</w:t>
            </w:r>
          </w:p>
        </w:tc>
        <w:tc>
          <w:tcPr>
            <w:tcW w:w="1037" w:type="dxa"/>
          </w:tcPr>
          <w:p w14:paraId="77C1AF0F">
            <w:pPr>
              <w:jc w:val="center"/>
            </w:pPr>
            <w:r>
              <w:rPr>
                <w:sz w:val="20"/>
              </w:rPr>
              <w:t>0.5606</w:t>
            </w:r>
          </w:p>
        </w:tc>
        <w:tc>
          <w:tcPr>
            <w:tcW w:w="1037" w:type="dxa"/>
          </w:tcPr>
          <w:p w14:paraId="2431D071">
            <w:pPr>
              <w:jc w:val="center"/>
            </w:pPr>
            <w:r>
              <w:rPr>
                <w:sz w:val="20"/>
              </w:rPr>
              <w:t>0.7874</w:t>
            </w:r>
          </w:p>
        </w:tc>
      </w:tr>
      <w:tr w14:paraId="616A67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</w:tcPr>
          <w:p w14:paraId="1438DFA3">
            <w:pPr>
              <w:jc w:val="center"/>
            </w:pPr>
            <w:r>
              <w:rPr>
                <w:sz w:val="20"/>
              </w:rPr>
              <w:t>B（特征选择）</w:t>
            </w:r>
          </w:p>
        </w:tc>
        <w:tc>
          <w:tcPr>
            <w:tcW w:w="1037" w:type="dxa"/>
          </w:tcPr>
          <w:p w14:paraId="7FEE0015">
            <w:pPr>
              <w:jc w:val="center"/>
            </w:pPr>
            <w:r>
              <w:rPr>
                <w:sz w:val="20"/>
              </w:rPr>
              <w:t>XGBoost</w:t>
            </w:r>
          </w:p>
        </w:tc>
        <w:tc>
          <w:tcPr>
            <w:tcW w:w="1037" w:type="dxa"/>
          </w:tcPr>
          <w:p w14:paraId="1D458D3A">
            <w:pPr>
              <w:jc w:val="center"/>
            </w:pPr>
            <w:r>
              <w:rPr>
                <w:sz w:val="20"/>
              </w:rPr>
              <w:t>0.5400</w:t>
            </w:r>
          </w:p>
        </w:tc>
        <w:tc>
          <w:tcPr>
            <w:tcW w:w="1037" w:type="dxa"/>
          </w:tcPr>
          <w:p w14:paraId="6BB4D2D4">
            <w:pPr>
              <w:jc w:val="center"/>
            </w:pPr>
            <w:r>
              <w:rPr>
                <w:sz w:val="20"/>
              </w:rPr>
              <w:t>0.3654</w:t>
            </w:r>
          </w:p>
        </w:tc>
        <w:tc>
          <w:tcPr>
            <w:tcW w:w="1037" w:type="dxa"/>
          </w:tcPr>
          <w:p w14:paraId="15794DA1">
            <w:pPr>
              <w:jc w:val="center"/>
            </w:pPr>
            <w:r>
              <w:rPr>
                <w:sz w:val="20"/>
              </w:rPr>
              <w:t>0.3455</w:t>
            </w:r>
          </w:p>
        </w:tc>
        <w:tc>
          <w:tcPr>
            <w:tcW w:w="1037" w:type="dxa"/>
          </w:tcPr>
          <w:p w14:paraId="4D16CA10">
            <w:pPr>
              <w:jc w:val="center"/>
            </w:pPr>
            <w:r>
              <w:rPr>
                <w:sz w:val="20"/>
              </w:rPr>
              <w:t>0.3551</w:t>
            </w:r>
          </w:p>
        </w:tc>
        <w:tc>
          <w:tcPr>
            <w:tcW w:w="1037" w:type="dxa"/>
          </w:tcPr>
          <w:p w14:paraId="15AEF3A1">
            <w:pPr>
              <w:jc w:val="center"/>
            </w:pPr>
            <w:r>
              <w:rPr>
                <w:sz w:val="20"/>
              </w:rPr>
              <w:t>0.5290</w:t>
            </w:r>
          </w:p>
        </w:tc>
        <w:tc>
          <w:tcPr>
            <w:tcW w:w="1037" w:type="dxa"/>
          </w:tcPr>
          <w:p w14:paraId="56B2AB0F">
            <w:pPr>
              <w:jc w:val="center"/>
            </w:pPr>
            <w:r>
              <w:rPr>
                <w:sz w:val="20"/>
              </w:rPr>
              <w:t>0.7777</w:t>
            </w:r>
          </w:p>
        </w:tc>
      </w:tr>
      <w:tr w14:paraId="09E2B4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</w:tcPr>
          <w:p w14:paraId="0F6CF165">
            <w:pPr>
              <w:jc w:val="center"/>
            </w:pPr>
            <w:r>
              <w:rPr>
                <w:sz w:val="20"/>
              </w:rPr>
              <w:t>C（PCA）</w:t>
            </w:r>
          </w:p>
        </w:tc>
        <w:tc>
          <w:tcPr>
            <w:tcW w:w="1037" w:type="dxa"/>
          </w:tcPr>
          <w:p w14:paraId="74F3BF5E">
            <w:pPr>
              <w:jc w:val="center"/>
            </w:pPr>
            <w:r>
              <w:rPr>
                <w:sz w:val="20"/>
              </w:rPr>
              <w:t>Logistic Regression</w:t>
            </w:r>
          </w:p>
        </w:tc>
        <w:tc>
          <w:tcPr>
            <w:tcW w:w="1037" w:type="dxa"/>
          </w:tcPr>
          <w:p w14:paraId="01264F1B">
            <w:pPr>
              <w:jc w:val="center"/>
            </w:pPr>
            <w:r>
              <w:rPr>
                <w:sz w:val="20"/>
              </w:rPr>
              <w:t>0.4933</w:t>
            </w:r>
          </w:p>
        </w:tc>
        <w:tc>
          <w:tcPr>
            <w:tcW w:w="1037" w:type="dxa"/>
          </w:tcPr>
          <w:p w14:paraId="3E263EEF">
            <w:pPr>
              <w:jc w:val="center"/>
            </w:pPr>
            <w:r>
              <w:rPr>
                <w:sz w:val="20"/>
              </w:rPr>
              <w:t>0.3433</w:t>
            </w:r>
          </w:p>
        </w:tc>
        <w:tc>
          <w:tcPr>
            <w:tcW w:w="1037" w:type="dxa"/>
          </w:tcPr>
          <w:p w14:paraId="24780B55">
            <w:pPr>
              <w:jc w:val="center"/>
            </w:pPr>
            <w:r>
              <w:rPr>
                <w:sz w:val="20"/>
              </w:rPr>
              <w:t>0.4182</w:t>
            </w:r>
          </w:p>
        </w:tc>
        <w:tc>
          <w:tcPr>
            <w:tcW w:w="1037" w:type="dxa"/>
          </w:tcPr>
          <w:p w14:paraId="082AD439">
            <w:pPr>
              <w:jc w:val="center"/>
            </w:pPr>
            <w:r>
              <w:rPr>
                <w:sz w:val="20"/>
              </w:rPr>
              <w:t>0.3770</w:t>
            </w:r>
          </w:p>
        </w:tc>
        <w:tc>
          <w:tcPr>
            <w:tcW w:w="1037" w:type="dxa"/>
          </w:tcPr>
          <w:p w14:paraId="010F0087">
            <w:pPr>
              <w:jc w:val="center"/>
            </w:pPr>
            <w:r>
              <w:rPr>
                <w:sz w:val="20"/>
              </w:rPr>
              <w:t>0.4367</w:t>
            </w:r>
          </w:p>
        </w:tc>
        <w:tc>
          <w:tcPr>
            <w:tcW w:w="1037" w:type="dxa"/>
          </w:tcPr>
          <w:p w14:paraId="3387F1F8">
            <w:pPr>
              <w:jc w:val="center"/>
            </w:pPr>
            <w:r>
              <w:rPr>
                <w:sz w:val="20"/>
              </w:rPr>
              <w:t>0.6013</w:t>
            </w:r>
          </w:p>
        </w:tc>
      </w:tr>
      <w:tr w14:paraId="3D2999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</w:tcPr>
          <w:p w14:paraId="244AFC14">
            <w:pPr>
              <w:jc w:val="center"/>
            </w:pPr>
            <w:r>
              <w:rPr>
                <w:sz w:val="20"/>
              </w:rPr>
              <w:t>C（PCA）</w:t>
            </w:r>
          </w:p>
        </w:tc>
        <w:tc>
          <w:tcPr>
            <w:tcW w:w="1037" w:type="dxa"/>
          </w:tcPr>
          <w:p w14:paraId="2FAA46C1">
            <w:pPr>
              <w:jc w:val="center"/>
            </w:pPr>
            <w:r>
              <w:rPr>
                <w:sz w:val="20"/>
              </w:rPr>
              <w:t>Random Forest</w:t>
            </w:r>
          </w:p>
        </w:tc>
        <w:tc>
          <w:tcPr>
            <w:tcW w:w="1037" w:type="dxa"/>
          </w:tcPr>
          <w:p w14:paraId="0BB9DE13">
            <w:pPr>
              <w:jc w:val="center"/>
            </w:pPr>
            <w:r>
              <w:rPr>
                <w:sz w:val="20"/>
              </w:rPr>
              <w:t>0.5067</w:t>
            </w:r>
          </w:p>
        </w:tc>
        <w:tc>
          <w:tcPr>
            <w:tcW w:w="1037" w:type="dxa"/>
          </w:tcPr>
          <w:p w14:paraId="5E5DC954">
            <w:pPr>
              <w:jc w:val="center"/>
            </w:pPr>
            <w:r>
              <w:rPr>
                <w:sz w:val="20"/>
              </w:rPr>
              <w:t>0.2889</w:t>
            </w:r>
          </w:p>
        </w:tc>
        <w:tc>
          <w:tcPr>
            <w:tcW w:w="1037" w:type="dxa"/>
          </w:tcPr>
          <w:p w14:paraId="46F69D73">
            <w:pPr>
              <w:jc w:val="center"/>
            </w:pPr>
            <w:r>
              <w:rPr>
                <w:sz w:val="20"/>
              </w:rPr>
              <w:t>0.2364</w:t>
            </w:r>
          </w:p>
        </w:tc>
        <w:tc>
          <w:tcPr>
            <w:tcW w:w="1037" w:type="dxa"/>
          </w:tcPr>
          <w:p w14:paraId="5849E6EB">
            <w:pPr>
              <w:jc w:val="center"/>
            </w:pPr>
            <w:r>
              <w:rPr>
                <w:sz w:val="20"/>
              </w:rPr>
              <w:t>0.2600</w:t>
            </w:r>
          </w:p>
        </w:tc>
        <w:tc>
          <w:tcPr>
            <w:tcW w:w="1037" w:type="dxa"/>
          </w:tcPr>
          <w:p w14:paraId="20FA3611">
            <w:pPr>
              <w:jc w:val="center"/>
            </w:pPr>
            <w:r>
              <w:rPr>
                <w:sz w:val="20"/>
              </w:rPr>
              <w:t>0.4635</w:t>
            </w:r>
          </w:p>
        </w:tc>
        <w:tc>
          <w:tcPr>
            <w:tcW w:w="1037" w:type="dxa"/>
          </w:tcPr>
          <w:p w14:paraId="76CEF301">
            <w:pPr>
              <w:jc w:val="center"/>
            </w:pPr>
            <w:r>
              <w:rPr>
                <w:sz w:val="20"/>
              </w:rPr>
              <w:t>0.7871</w:t>
            </w:r>
          </w:p>
        </w:tc>
      </w:tr>
      <w:tr w14:paraId="7F6A01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</w:tcPr>
          <w:p w14:paraId="1A61F696">
            <w:pPr>
              <w:jc w:val="center"/>
            </w:pPr>
            <w:r>
              <w:rPr>
                <w:sz w:val="20"/>
              </w:rPr>
              <w:t>C（PCA）</w:t>
            </w:r>
          </w:p>
        </w:tc>
        <w:tc>
          <w:tcPr>
            <w:tcW w:w="1037" w:type="dxa"/>
          </w:tcPr>
          <w:p w14:paraId="1720C625">
            <w:pPr>
              <w:jc w:val="center"/>
            </w:pPr>
            <w:r>
              <w:rPr>
                <w:sz w:val="20"/>
              </w:rPr>
              <w:t>XGBoost</w:t>
            </w:r>
          </w:p>
        </w:tc>
        <w:tc>
          <w:tcPr>
            <w:tcW w:w="1037" w:type="dxa"/>
          </w:tcPr>
          <w:p w14:paraId="50311767">
            <w:pPr>
              <w:jc w:val="center"/>
            </w:pPr>
            <w:r>
              <w:rPr>
                <w:sz w:val="20"/>
              </w:rPr>
              <w:t>0.4800</w:t>
            </w:r>
          </w:p>
        </w:tc>
        <w:tc>
          <w:tcPr>
            <w:tcW w:w="1037" w:type="dxa"/>
          </w:tcPr>
          <w:p w14:paraId="60788A70">
            <w:pPr>
              <w:jc w:val="center"/>
            </w:pPr>
            <w:r>
              <w:rPr>
                <w:sz w:val="20"/>
              </w:rPr>
              <w:t>0.2909</w:t>
            </w:r>
          </w:p>
        </w:tc>
        <w:tc>
          <w:tcPr>
            <w:tcW w:w="1037" w:type="dxa"/>
          </w:tcPr>
          <w:p w14:paraId="614F0655">
            <w:pPr>
              <w:jc w:val="center"/>
            </w:pPr>
            <w:r>
              <w:rPr>
                <w:sz w:val="20"/>
              </w:rPr>
              <w:t>0.2909</w:t>
            </w:r>
          </w:p>
        </w:tc>
        <w:tc>
          <w:tcPr>
            <w:tcW w:w="1037" w:type="dxa"/>
          </w:tcPr>
          <w:p w14:paraId="0EE81D52">
            <w:pPr>
              <w:jc w:val="center"/>
            </w:pPr>
            <w:r>
              <w:rPr>
                <w:sz w:val="20"/>
              </w:rPr>
              <w:t>0.2909</w:t>
            </w:r>
          </w:p>
        </w:tc>
        <w:tc>
          <w:tcPr>
            <w:tcW w:w="1037" w:type="dxa"/>
          </w:tcPr>
          <w:p w14:paraId="03600FDE">
            <w:pPr>
              <w:jc w:val="center"/>
            </w:pPr>
            <w:r>
              <w:rPr>
                <w:sz w:val="20"/>
              </w:rPr>
              <w:t>0.4582</w:t>
            </w:r>
          </w:p>
        </w:tc>
        <w:tc>
          <w:tcPr>
            <w:tcW w:w="1037" w:type="dxa"/>
          </w:tcPr>
          <w:p w14:paraId="089B8B96">
            <w:pPr>
              <w:jc w:val="center"/>
            </w:pPr>
            <w:r>
              <w:rPr>
                <w:sz w:val="20"/>
              </w:rPr>
              <w:t>0.7993</w:t>
            </w:r>
          </w:p>
        </w:tc>
      </w:tr>
    </w:tbl>
    <w:p w14:paraId="34B338F3">
      <w:pPr>
        <w:jc w:val="center"/>
      </w:pPr>
      <w:r>
        <w:drawing>
          <wp:inline distT="0" distB="0" distL="114300" distR="114300">
            <wp:extent cx="5029200" cy="1767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F3AD">
      <w:pPr>
        <w:jc w:val="center"/>
      </w:pPr>
      <w:r>
        <w:rPr>
          <w:rFonts w:ascii="宋体" w:hAnsi="宋体" w:eastAsia="宋体"/>
          <w:sz w:val="20"/>
        </w:rPr>
        <w:t>图5-1  F1-Score与AUC对比柱状图</w:t>
      </w:r>
    </w:p>
    <w:p w14:paraId="7C802392">
      <w:pPr>
        <w:ind w:firstLine="420"/>
      </w:pPr>
      <w:r>
        <w:rPr>
          <w:rFonts w:ascii="宋体" w:hAnsi="宋体" w:eastAsia="宋体"/>
          <w:sz w:val="24"/>
        </w:rPr>
        <w:t>从实验结果得出以下发现：</w:t>
      </w:r>
    </w:p>
    <w:p w14:paraId="40EEB49C">
      <w:pPr>
        <w:ind w:firstLine="420"/>
      </w:pPr>
      <w:r>
        <w:rPr>
          <w:rFonts w:ascii="宋体" w:hAnsi="宋体" w:eastAsia="宋体"/>
          <w:sz w:val="24"/>
        </w:rPr>
        <w:t>第一，特征选择方案（B）在F1-Score上全面领先。方案B逻辑回归取得F1-Score 0.4262、召回率0.4727的最佳成绩，较方案A提升约21%。</w:t>
      </w:r>
    </w:p>
    <w:p w14:paraId="6BE8B07F">
      <w:pPr>
        <w:ind w:firstLine="420"/>
      </w:pPr>
      <w:r>
        <w:rPr>
          <w:rFonts w:ascii="宋体" w:hAnsi="宋体" w:eastAsia="宋体"/>
          <w:sz w:val="24"/>
        </w:rPr>
        <w:t>第二，PCA方案（C）测试集表现不佳，因其作为无监督方法，保留的主成分方向不一定与分类目标最优对齐，在有监督场景中基于标签相关性的特征选择更为有效。</w:t>
      </w:r>
    </w:p>
    <w:p w14:paraId="6F16C7DC">
      <w:pPr>
        <w:ind w:firstLine="420"/>
      </w:pPr>
      <w:r>
        <w:rPr>
          <w:rFonts w:ascii="宋体" w:hAnsi="宋体" w:eastAsia="宋体"/>
          <w:sz w:val="24"/>
        </w:rPr>
        <w:t>第三，逻辑回归在方案B下超越两大集成模型，印证了"好的特征比复杂的模型更重要"——特征质量高时简单模型也能取得优异性能且可解释性更好。</w:t>
      </w:r>
    </w:p>
    <w:p w14:paraId="5B75191A">
      <w:pPr>
        <w:ind w:firstLine="420"/>
      </w:pPr>
      <w:r>
        <w:rPr>
          <w:rFonts w:ascii="宋体" w:hAnsi="宋体" w:eastAsia="宋体"/>
          <w:sz w:val="24"/>
        </w:rPr>
        <w:t>第四，集成模型的CV_AUC（0.78-0.80）显著高于测试集AUC（0.46-0.56），反映出训练集到测试集的泛化差距。</w:t>
      </w:r>
    </w:p>
    <w:p w14:paraId="0D4470B6">
      <w:pPr>
        <w:ind w:firstLine="420"/>
      </w:pPr>
      <w:r>
        <w:rPr>
          <w:rFonts w:ascii="宋体" w:hAnsi="宋体" w:eastAsia="宋体"/>
          <w:sz w:val="24"/>
        </w:rPr>
        <w:t>第五，逻辑回归在三种方案下均取得最高召回率（0.38-0.47），最善于识别即将流失的客户。在流失预测中，高召回率意味着更少漏报，具有更高的业务价值。</w:t>
      </w:r>
    </w:p>
    <w:p w14:paraId="1C4405E4">
      <w:r>
        <w:rPr>
          <w:rFonts w:ascii="黑体" w:hAnsi="黑体" w:eastAsia="黑体"/>
          <w:b/>
          <w:sz w:val="24"/>
        </w:rPr>
        <w:t>5.3  ROC曲线与混淆矩阵</w:t>
      </w:r>
    </w:p>
    <w:p w14:paraId="2D564BA9">
      <w:pPr>
        <w:ind w:firstLine="420"/>
      </w:pPr>
      <w:r>
        <w:rPr>
          <w:rFonts w:ascii="宋体" w:hAnsi="宋体" w:eastAsia="宋体"/>
          <w:sz w:val="24"/>
        </w:rPr>
        <w:t>图5-2为三种模型在方案B上的ROC曲线。逻辑回归AUC为0.5776，高于随机森林（0.5606）和XGBoost（0.5290），印证特征选择下简单模型的优势。图5-3为XGBoost混淆矩阵：150个测试样本中正确预测62个留存和19个流失，整体准确率54%。36例假阴性（流失误判为留存）是主要挑战，与流失样本仅占36.4%及特征信号强度有限相关。</w:t>
      </w:r>
    </w:p>
    <w:p w14:paraId="40273ED5">
      <w:pPr>
        <w:jc w:val="center"/>
      </w:pPr>
      <w:r>
        <w:drawing>
          <wp:inline distT="0" distB="0" distL="114300" distR="114300">
            <wp:extent cx="4114800" cy="307594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7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9DE8">
      <w:pPr>
        <w:jc w:val="center"/>
      </w:pPr>
      <w:r>
        <w:rPr>
          <w:rFonts w:ascii="宋体" w:hAnsi="宋体" w:eastAsia="宋体"/>
          <w:sz w:val="20"/>
        </w:rPr>
        <w:t>图5-2  三种模型ROC曲线对比（特征选择方案）</w:t>
      </w:r>
    </w:p>
    <w:p w14:paraId="07468D97">
      <w:pPr>
        <w:jc w:val="center"/>
      </w:pPr>
      <w:r>
        <w:drawing>
          <wp:inline distT="0" distB="0" distL="114300" distR="114300">
            <wp:extent cx="3200400" cy="3034665"/>
            <wp:effectExtent l="0" t="0" r="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0239">
      <w:pPr>
        <w:jc w:val="center"/>
      </w:pPr>
      <w:r>
        <w:rPr>
          <w:rFonts w:ascii="宋体" w:hAnsi="宋体" w:eastAsia="宋体"/>
          <w:sz w:val="20"/>
        </w:rPr>
        <w:t>图5-3  XGBoost混淆矩阵（特征选择方案）</w:t>
      </w:r>
    </w:p>
    <w:p w14:paraId="290E4FFA"/>
    <w:p w14:paraId="4D4B80A5">
      <w:r>
        <w:rPr>
          <w:rFonts w:ascii="黑体" w:hAnsi="黑体" w:eastAsia="黑体"/>
          <w:b/>
          <w:sz w:val="28"/>
        </w:rPr>
        <w:t>6  结论与展望</w:t>
      </w:r>
    </w:p>
    <w:p w14:paraId="0F881863">
      <w:r>
        <w:rPr>
          <w:rFonts w:ascii="黑体" w:hAnsi="黑体" w:eastAsia="黑体"/>
          <w:b/>
          <w:sz w:val="24"/>
        </w:rPr>
        <w:t>6.1  研究结论</w:t>
      </w:r>
    </w:p>
    <w:p w14:paraId="1EF2FEFB">
      <w:pPr>
        <w:ind w:firstLine="420"/>
      </w:pPr>
      <w:r>
        <w:rPr>
          <w:rFonts w:ascii="宋体" w:hAnsi="宋体" w:eastAsia="宋体"/>
          <w:sz w:val="24"/>
        </w:rPr>
        <w:t>本研究完整实施了从数据集成、清洗、特征工程、降维到分类建模与评估的数据挖掘全流程，主要结论如下：</w:t>
      </w:r>
    </w:p>
    <w:p w14:paraId="2E22607E">
      <w:pPr>
        <w:ind w:firstLine="420"/>
      </w:pPr>
      <w:r>
        <w:rPr>
          <w:rFonts w:ascii="宋体" w:hAnsi="宋体" w:eastAsia="宋体"/>
          <w:sz w:val="24"/>
        </w:rPr>
        <w:t>（1）特征工程是最关键的环节。通过配合系统化特征选择，方案B较全量方案F1-Score提升约21%，验证了"数据和特征决定机器学习上限"的共识。</w:t>
      </w:r>
    </w:p>
    <w:p w14:paraId="7C333F6E">
      <w:pPr>
        <w:ind w:firstLine="420"/>
      </w:pPr>
      <w:r>
        <w:rPr>
          <w:rFonts w:ascii="宋体" w:hAnsi="宋体" w:eastAsia="宋体"/>
          <w:sz w:val="24"/>
        </w:rPr>
        <w:t>（2）特征质量高时，逻辑回归能取得不逊于集成模型的性能且可解释性更好，这对受严格监管的金融机构尤为重要。</w:t>
      </w:r>
    </w:p>
    <w:p w14:paraId="10DA0B34">
      <w:pPr>
        <w:ind w:firstLine="420"/>
      </w:pPr>
      <w:r>
        <w:rPr>
          <w:rFonts w:ascii="宋体" w:hAnsi="宋体" w:eastAsia="宋体"/>
          <w:sz w:val="24"/>
        </w:rPr>
        <w:t>（3）PCA作为无监督方法，在分类任务中并非最优，基于目标相关性的特征选择通常更有效。</w:t>
      </w:r>
    </w:p>
    <w:p w14:paraId="56984F73">
      <w:pPr>
        <w:ind w:firstLine="420"/>
      </w:pPr>
      <w:r>
        <w:rPr>
          <w:rFonts w:ascii="宋体" w:hAnsi="宋体" w:eastAsia="宋体"/>
          <w:sz w:val="24"/>
        </w:rPr>
        <w:t>（4）SMOTE使训练集正负比从1:1.75平衡至1:1，有效提升了召回率表现。</w:t>
      </w:r>
    </w:p>
    <w:p w14:paraId="009565CC">
      <w:r>
        <w:rPr>
          <w:rFonts w:ascii="黑体" w:hAnsi="黑体" w:eastAsia="黑体"/>
          <w:b/>
          <w:sz w:val="24"/>
        </w:rPr>
        <w:t>6.2  不足与展望</w:t>
      </w:r>
    </w:p>
    <w:p w14:paraId="51DC0DBA">
      <w:pPr>
        <w:ind w:firstLine="420"/>
      </w:pPr>
      <w:r>
        <w:rPr>
          <w:rFonts w:ascii="宋体" w:hAnsi="宋体" w:eastAsia="宋体"/>
          <w:sz w:val="24"/>
        </w:rPr>
        <w:t>（1）数据集为模拟数据，与真实数据在量级和信号强度上有差距，更大规模数据有望支撑更精准的预测模型。</w:t>
      </w:r>
    </w:p>
    <w:p w14:paraId="19686004">
      <w:pPr>
        <w:ind w:firstLine="420"/>
      </w:pPr>
      <w:r>
        <w:rPr>
          <w:rFonts w:ascii="宋体" w:hAnsi="宋体" w:eastAsia="宋体"/>
          <w:sz w:val="24"/>
        </w:rPr>
        <w:t>（2）未利用时间维度信息，客户行为变化趋势往往蕴含更强预测信号，未来可引入滑动窗口统计量或LSTM序列编码。</w:t>
      </w:r>
    </w:p>
    <w:p w14:paraId="62EDF4F3">
      <w:pPr>
        <w:ind w:firstLine="420"/>
      </w:pPr>
      <w:r>
        <w:rPr>
          <w:rFonts w:ascii="宋体" w:hAnsi="宋体" w:eastAsia="宋体"/>
          <w:sz w:val="24"/>
        </w:rPr>
        <w:t>（3）可引入SHAP值进行个体级别的归因解释，为每位客户生成个性化的流失因素分析。</w:t>
      </w:r>
    </w:p>
    <w:p w14:paraId="2A105C44">
      <w:pPr>
        <w:ind w:firstLine="420"/>
      </w:pPr>
      <w:r>
        <w:rPr>
          <w:rFonts w:ascii="宋体" w:hAnsi="宋体" w:eastAsia="宋体"/>
          <w:sz w:val="24"/>
        </w:rPr>
        <w:t>（4）可考虑引入深度学习表格模型（TabNet、FT-Transformer）作为对比基线。</w:t>
      </w:r>
    </w:p>
    <w:p w14:paraId="14A28725"/>
    <w:p w14:paraId="7900A88D">
      <w:r>
        <w:rPr>
          <w:rFonts w:ascii="黑体" w:hAnsi="黑体" w:eastAsia="黑体"/>
          <w:b/>
          <w:sz w:val="28"/>
        </w:rPr>
        <w:t>参考文献</w:t>
      </w:r>
    </w:p>
    <w:p w14:paraId="7CFDEA10">
      <w:r>
        <w:rPr>
          <w:rFonts w:ascii="宋体" w:hAnsi="宋体" w:eastAsia="宋体"/>
          <w:sz w:val="21"/>
        </w:rPr>
        <w:t>[1] Han J, Kamber M, Pei J. Data Mining: Concepts and Techniques (3rd ed.)[M]. Morgan Kaufmann, 2011.</w:t>
      </w:r>
    </w:p>
    <w:p w14:paraId="3A2EDCF3">
      <w:r>
        <w:rPr>
          <w:rFonts w:ascii="宋体" w:hAnsi="宋体" w:eastAsia="宋体"/>
          <w:sz w:val="21"/>
        </w:rPr>
        <w:t>[2] Provost F, Fawcett T. Data Science for Business[M]. O'Reilly Media, 2013.</w:t>
      </w:r>
    </w:p>
    <w:p w14:paraId="7CEE845E">
      <w:r>
        <w:rPr>
          <w:rFonts w:ascii="宋体" w:hAnsi="宋体" w:eastAsia="宋体"/>
          <w:sz w:val="21"/>
        </w:rPr>
        <w:t>[3] Chen T, Guestrin C. XGBoost: A Scalable Tree Boosting System[C]. ACM SIGKDD, 2016: 785-794.</w:t>
      </w:r>
    </w:p>
    <w:p w14:paraId="0EF109B1">
      <w:r>
        <w:rPr>
          <w:rFonts w:ascii="宋体" w:hAnsi="宋体" w:eastAsia="宋体"/>
          <w:sz w:val="21"/>
        </w:rPr>
        <w:t>[4] Breiman L. Random Forests[J]. Machine Learning, 2001, 45(1): 5-32.</w:t>
      </w:r>
    </w:p>
    <w:p w14:paraId="2FCA7853">
      <w:r>
        <w:rPr>
          <w:rFonts w:ascii="宋体" w:hAnsi="宋体" w:eastAsia="宋体"/>
          <w:sz w:val="21"/>
        </w:rPr>
        <w:t>[5] Chawla N V, et al. SMOTE: Synthetic Minority Over-sampling Technique[J]. JAIR, 2002, 16: 321-357.</w:t>
      </w:r>
    </w:p>
    <w:p w14:paraId="48007AF8">
      <w:r>
        <w:rPr>
          <w:rFonts w:ascii="宋体" w:hAnsi="宋体" w:eastAsia="宋体"/>
          <w:sz w:val="21"/>
        </w:rPr>
        <w:t>[6] Pedregosa F, et al. Scikit-learn: Machine Learning in Python[J]. JMLR, 2011, 12: 2825-2830.</w:t>
      </w:r>
    </w:p>
    <w:p w14:paraId="4263491F">
      <w:r>
        <w:rPr>
          <w:rFonts w:ascii="宋体" w:hAnsi="宋体" w:eastAsia="宋体"/>
          <w:sz w:val="21"/>
        </w:rPr>
        <w:t>[7] Wold S, Esbensen K, Geladi P. Principal Component Analysis[J]. Chemometrics, 1987, 2(1-3): 37-52.</w:t>
      </w:r>
    </w:p>
    <w:p w14:paraId="489E8A9A">
      <w:r>
        <w:rPr>
          <w:rFonts w:ascii="宋体" w:hAnsi="宋体" w:eastAsia="宋体"/>
          <w:sz w:val="21"/>
        </w:rPr>
        <w:t>[8] Reichheld F F, Sasser W E. Zero Defections: Quality Comes to Services[J]. HBR, 1990, 68(5): 105-111.</w:t>
      </w:r>
    </w:p>
    <w:p w14:paraId="16839BFD">
      <w:r>
        <w:rPr>
          <w:rFonts w:ascii="宋体" w:hAnsi="宋体" w:eastAsia="宋体"/>
          <w:sz w:val="21"/>
        </w:rPr>
        <w:t>[9] Verbeke W, et al. New Insights into Churn Prediction[J]. EJOR, 2012, 218(1): 211-229.</w:t>
      </w:r>
    </w:p>
    <w:p w14:paraId="422161F6">
      <w:r>
        <w:rPr>
          <w:rFonts w:ascii="宋体" w:hAnsi="宋体" w:eastAsia="宋体"/>
          <w:sz w:val="21"/>
        </w:rPr>
        <w:t>[10] Lundberg S M, Lee S I. A Unified Approach to Interpreting Model Predictions[C]. NIPS, 2017: 4765-4774.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6C40A3"/>
    <w:rsid w:val="4DBB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1179</Words>
  <Characters>1495</Characters>
  <Lines>0</Lines>
  <Paragraphs>0</Paragraphs>
  <TotalTime>0</TotalTime>
  <ScaleCrop>false</ScaleCrop>
  <LinksUpToDate>false</LinksUpToDate>
  <CharactersWithSpaces>1541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纯黑</cp:lastModifiedBy>
  <dcterms:modified xsi:type="dcterms:W3CDTF">2026-09-21T13:11:12Z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8FFE27B496224C7392880342105803F7_13</vt:lpwstr>
  </property>
</Properties>
</file>