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财经文本智能批处理流水线</w:t>
        <w:br/>
        <w:t>项目说明文档</w:t>
      </w:r>
    </w:p>
    <w:p>
      <w:pPr>
        <w:jc w:val="center"/>
      </w:pPr>
      <w:r>
        <w:rPr>
          <w:i/>
        </w:rPr>
        <w:t>DocETL 长文档处理方案的本地化复现与改造 · 当前版本：可运行原型</w:t>
      </w:r>
    </w:p>
    <w:p>
      <w:pPr>
        <w:pStyle w:val="Heading1"/>
      </w:pPr>
      <w:r>
        <w:t>1. 项目概览</w:t>
      </w:r>
    </w:p>
    <w:p>
      <w:r>
        <w:t>本项目面向证券研报、行业报告与财经新闻，构建一条“来源冻结—文本解析—结构化抽取—证据校验—统计聚合—离线展示”的批处理流水线。项目把模型限制在事件、情绪和风险等语义抽取环节；去重、枚举检查、证据命中、数量统计和筛选交给确定性代码完成。输出用于信息整理与风险信号提取，不构成投资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项目项</w:t>
            </w:r>
          </w:p>
        </w:tc>
        <w:tc>
          <w:tcPr>
            <w:tcW w:type="dxa" w:w="4986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当前结果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报告语料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份本地报告，111 页，生成 58 个页边界文本块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新闻语料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 个关键词、50 条冻结新闻快照；按标题、日期和链接哈希去重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统一来源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108 个来源，128 条模型候选事件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正式输出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117 条证据验证通过事件，11 条进入待复核队列，0 个失败来源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证据检查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有效事件的 PDF 页码或新闻链接证据命中率 100%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运行成本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LiteLLM 估算约 0.395924 美元；第三方供应商实际账单以后台为准</w:t>
            </w:r>
          </w:p>
        </w:tc>
      </w:tr>
    </w:tbl>
    <w:p>
      <w:pPr>
        <w:spacing w:after="20"/>
      </w:pPr>
    </w:p>
    <w:p>
      <w:r>
        <w:t>状态说明：项目已完成完整语料运行、确定性统计与离线 Demo，仍应以“原型”表述。评测参考集为 assistant_reviewed AI 辅助候选集，不是人工金标准，内部指标不用于简历或对外准确率宣传。</w:t>
      </w:r>
    </w:p>
    <w:p>
      <w:pPr>
        <w:pStyle w:val="Heading1"/>
      </w:pPr>
      <w:r>
        <w:t>2. Demo 功能与使用方法</w:t>
      </w:r>
    </w:p>
    <w:p>
      <w:r>
        <w:t>根目录 index.html 是不依赖网络、API Key、服务端或外部字体/库的单文件入口。可以直接双击打开，也可以用本地静态服务器预览。</w:t>
      </w:r>
    </w:p>
    <w:p>
      <w:pPr>
        <w:pStyle w:val="CodeBlock"/>
      </w:pPr>
      <w:r>
        <w:t># 在项目根目录执行</w:t>
        <w:br/>
        <w:t>python -m http.server 8765</w:t>
        <w:br/>
        <w:t># 浏览器打开 http://127.0.0.1:8765/index.html</w:t>
      </w:r>
    </w:p>
    <w:p>
      <w:pPr>
        <w:pStyle w:val="ListBullet"/>
        <w:spacing w:after="60"/>
      </w:pPr>
      <w:r>
        <w:t>运行概览：查看来源规模、有效事件、证据命中率、事件类型、情绪、风险和年份分布。</w:t>
      </w:r>
    </w:p>
    <w:p>
      <w:pPr>
        <w:pStyle w:val="ListBullet"/>
        <w:spacing w:after="60"/>
      </w:pPr>
      <w:r>
        <w:t>事件检索：按公司、来源类型、事件类型、情绪、风险、年份或关键词筛选，并分页查看验证通过事件。</w:t>
      </w:r>
    </w:p>
    <w:p>
      <w:pPr>
        <w:pStyle w:val="ListBullet"/>
        <w:spacing w:after="60"/>
      </w:pPr>
      <w:r>
        <w:t>证据抽屉：点击事件查看结构化字段、原文摘录、PDF 页码或新闻原文链接；可复制证据。</w:t>
      </w:r>
    </w:p>
    <w:p>
      <w:pPr>
        <w:pStyle w:val="ListBullet"/>
        <w:spacing w:after="60"/>
      </w:pPr>
      <w:r>
        <w:t>待复核队列：单独展示未进入正式统计的 11 条记录及其复核原因。</w:t>
      </w:r>
    </w:p>
    <w:p>
      <w:pPr>
        <w:pStyle w:val="ListBullet"/>
        <w:spacing w:after="60"/>
      </w:pPr>
      <w:r>
        <w:t>方法与边界：查看抽取流程、评测边界、成本信息和“不构成投资建议”提示。</w:t>
      </w:r>
    </w:p>
    <w:p>
      <w:pPr>
        <w:pStyle w:val="ListBullet"/>
        <w:spacing w:after="60"/>
      </w:pPr>
      <w:r>
        <w:t>主题、键盘焦点、Escape 关闭、移动端导航和减少动态效果均已覆盖。</w:t>
      </w:r>
    </w:p>
    <w:p>
      <w:pPr>
        <w:pStyle w:val="Heading2"/>
      </w:pPr>
      <w:r>
        <w:t>2.1 本地文本分析工作台</w:t>
      </w:r>
    </w:p>
    <w:p>
      <w:r>
        <w:t>Demo 另提供一个不依赖 API 的本地分析工作台。用户可以上传或粘贴 TXT、Markdown、JSON、CSV 文本，浏览器在本地完成段落切分、财经关键词统计、公司主体词典匹配、合作/投资/市场/风险线索提示、情绪词粗略计数和原文段落检索。</w:t>
      </w:r>
    </w:p>
    <w:p>
      <w:pPr>
        <w:pStyle w:val="ListBullet"/>
        <w:spacing w:after="60"/>
      </w:pPr>
      <w:r>
        <w:t>输入限制：单个文本文件建议不超过 2 MB；JSON 会先格式化后参与分析。</w:t>
      </w:r>
    </w:p>
    <w:p>
      <w:pPr>
        <w:pStyle w:val="ListBullet"/>
        <w:spacing w:after="60"/>
      </w:pPr>
      <w:r>
        <w:t>输出内容：字符数、段落数、识别主体、风险提示、关键词、事件线索及原文段落位置。</w:t>
      </w:r>
    </w:p>
    <w:p>
      <w:pPr>
        <w:pStyle w:val="ListBullet"/>
        <w:spacing w:after="60"/>
      </w:pPr>
      <w:r>
        <w:t>验证操作：在段落检索框输入摘录，点击‘验证摘录’，检查其是否在当前文本中逐字出现。</w:t>
      </w:r>
    </w:p>
    <w:p>
      <w:pPr>
        <w:pStyle w:val="ListBullet"/>
        <w:spacing w:after="60"/>
      </w:pPr>
      <w:r>
        <w:t>边界：该模块是规则/启发式初筛，不调用模型、不上传文本，也不能替代 DocETL 管线和人工复核。</w:t>
      </w:r>
    </w:p>
    <w:p>
      <w:pPr>
        <w:pStyle w:val="Heading1"/>
      </w:pPr>
      <w:r>
        <w:t>3. 命令行用法</w:t>
      </w:r>
    </w:p>
    <w:p>
      <w:pPr>
        <w:pStyle w:val="CodeBlock"/>
      </w:pPr>
      <w:r>
        <w:t># 环境与离线测试</w:t>
        <w:br/>
        <w:t>uv sync --frozen --all-groups</w:t>
        <w:br/>
        <w:t>uv run finance-text-pipeline doctor</w:t>
        <w:br/>
        <w:t>uv run pytest -q</w:t>
        <w:br/>
        <w:t>uv run ruff check .</w:t>
      </w:r>
    </w:p>
    <w:p>
      <w:pPr>
        <w:pStyle w:val="CodeBlock"/>
      </w:pPr>
      <w:r>
        <w:t># 采集与抽取</w:t>
        <w:br/>
        <w:t>uv run finance-text-pipeline ingest reports</w:t>
        <w:br/>
        <w:t>uv run finance-text-pipeline ingest news</w:t>
        <w:br/>
        <w:t>uv run finance-text-pipeline run --mode sample</w:t>
        <w:br/>
        <w:t>uv run finance-text-pipeline run --mode full --confirm-full-run</w:t>
      </w:r>
    </w:p>
    <w:p>
      <w:pPr>
        <w:pStyle w:val="CodeBlock"/>
      </w:pPr>
      <w:r>
        <w:t># 统计与 Demo</w:t>
        <w:br/>
        <w:t>uv run finance-text-pipeline summarize --run-directory runs\optimized-v1.2-throttled-final</w:t>
        <w:br/>
        <w:t>uv run finance-text-pipeline build-demo --run-directory runs\optimized-v1.2-throttled-final</w:t>
      </w:r>
    </w:p>
    <w:p>
      <w:r>
        <w:t>首次在线运行前，将 API Key、兼容端点和模型 ID 放在本机环境变量中；项目不会把真实密钥写入代码或交付包。使用第三方 OpenAI 兼容供应商时，需要配置 OPENAI_API_BASE，避免把 Key 错发到官方端点。</w:t>
      </w:r>
    </w:p>
    <w:p>
      <w:pPr>
        <w:pStyle w:val="Heading1"/>
      </w:pPr>
      <w:r>
        <w:t>4. 系统原理与处理链路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32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处理内容</w:t>
            </w:r>
          </w:p>
        </w:tc>
        <w:tc>
          <w:tcPr>
            <w:tcW w:type="dxa" w:w="332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确定性/模型边界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来源冻结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记录 PDF 文件哈希、新闻快照、抓取状态与运行清单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确定性代码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页码解析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PyMuPDF 逐页提取，清洗高频页眉页脚并记录质量字段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确定性代码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分块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按完整页边界组合约 800–1200 token 的文本块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确定性代码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语义抽取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DocETL map/unnest 生成实体、事件、情绪、风险与证据字段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模型抽取，枚举受配置约束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证据校验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规范化后逐字查找摘录；失败记录进入待复核队列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确定性代码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统计聚合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按公司、类型、情绪、风险和年份统计并生成报告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确定性代码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离线展示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将冻结结果、样式和脚本内联到单文件 HTML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确定性代码</w:t>
            </w:r>
          </w:p>
        </w:tc>
      </w:tr>
    </w:tbl>
    <w:p>
      <w:pPr>
        <w:spacing w:after="20"/>
      </w:pPr>
    </w:p>
    <w:p>
      <w:r>
        <w:t>统一事件记录包括来源、实体、事件、风险、证据、审核状态和运行信息。事件类型、情绪和风险标签来自版本化 taxonomy 配置，模型不能自由创造新标签。公司别名优先用确定性词典统一；resolve 仅作为独立对照实验。</w:t>
      </w:r>
    </w:p>
    <w:p>
      <w:pPr>
        <w:pStyle w:val="Heading1"/>
      </w:pPr>
      <w:r>
        <w:t>5. 制作方法与关键实现</w:t>
      </w:r>
    </w:p>
    <w:p>
      <w:pPr>
        <w:pStyle w:val="ListBullet"/>
        <w:spacing w:after="60"/>
      </w:pPr>
      <w:r>
        <w:t>工程化：使用 Python 3.12、uv、DocETL 0.3.0、PyMuPDF、Pandas、AKShare 1.18.96，按 CLI 命令组织采集、运行、评测和 Demo 构建。</w:t>
      </w:r>
    </w:p>
    <w:p>
      <w:pPr>
        <w:pStyle w:val="ListBullet"/>
        <w:spacing w:after="60"/>
      </w:pPr>
      <w:r>
        <w:t>可靠性：每 10 条输入形成确定性批次，保存输入哈希、结果、失败原因与费用；启用缓存，重复运行不重复调用未变化步骤。</w:t>
      </w:r>
    </w:p>
    <w:p>
      <w:pPr>
        <w:pStyle w:val="ListBullet"/>
        <w:spacing w:after="60"/>
      </w:pPr>
      <w:r>
        <w:t>证据优先：报告事件必须能回到 PDF 起止页码，新闻事件必须保留链接；摘录无法在所属文本块逐字命中时不进入正式统计。</w:t>
      </w:r>
    </w:p>
    <w:p>
      <w:pPr>
        <w:pStyle w:val="ListBullet"/>
        <w:spacing w:after="60"/>
      </w:pPr>
      <w:r>
        <w:t>成本控制：先运行 5+5 样本，按批次预测剩余成本；全量运行前要求显式确认，预算和第三方账单边界写入运行记录。</w:t>
      </w:r>
    </w:p>
    <w:p>
      <w:pPr>
        <w:pStyle w:val="ListBullet"/>
        <w:spacing w:after="60"/>
      </w:pPr>
      <w:r>
        <w:t>展示交付：以冻结运行目录生成 data.js，再将 CSS、JS、数据内联为根目录 index.html，确保无网络状态仍能筛选和查看证据。</w:t>
      </w:r>
    </w:p>
    <w:p>
      <w:pPr>
        <w:pStyle w:val="Heading1"/>
      </w:pPr>
      <w:r>
        <w:t>6. 目录与主要产物</w:t>
      </w:r>
    </w:p>
    <w:p>
      <w:pPr>
        <w:pStyle w:val="CodeBlock"/>
      </w:pPr>
      <w:r>
        <w:t>index.html                         # 可双击打开的单文件 Demo</w:t>
        <w:br/>
        <w:t>demo/                               # 可维护的 HTML/CSS/JS 源文件</w:t>
        <w:br/>
        <w:t>runs/optimized-v1.2-throttled-final/ # 完整运行结果与统计</w:t>
        <w:br/>
        <w:t>config/                             # 来源与标签配置</w:t>
        <w:br/>
        <w:t>src/finance_text_pipeline/          # CLI、采集、抽取、校验、统计和 Demo 构建代码</w:t>
        <w:br/>
        <w:t>docs/                               # 阶段记录、评测和项目说明</w:t>
        <w:br/>
        <w:t>tests/                              # 离线单元测试</w:t>
      </w:r>
    </w:p>
    <w:p>
      <w:r>
        <w:t>交付包不包含 .env、API Key、虚拟环境、缓存、批次中间文件或原始 PDF；原始材料仅在本地按来源清单读取。</w:t>
      </w:r>
    </w:p>
    <w:p>
      <w:pPr>
        <w:pStyle w:val="Heading1"/>
      </w:pPr>
      <w:r>
        <w:t>7. 验证结果与边界</w:t>
      </w:r>
    </w:p>
    <w:p>
      <w:pPr>
        <w:pStyle w:val="ListBullet"/>
        <w:spacing w:after="60"/>
      </w:pPr>
      <w:r>
        <w:t>三份报告共 111 页均完成提取，无空页和替换乱码字符；报告块保留页码边界。</w:t>
      </w:r>
    </w:p>
    <w:p>
      <w:pPr>
        <w:pStyle w:val="ListBullet"/>
        <w:spacing w:after="60"/>
      </w:pPr>
      <w:r>
        <w:t>五个新闻关键词均形成冻结快照；网络失败、空结果、重复记录和字段缺失均有质量报告记录。</w:t>
      </w:r>
    </w:p>
    <w:p>
      <w:pPr>
        <w:pStyle w:val="ListBullet"/>
        <w:spacing w:after="60"/>
      </w:pPr>
      <w:r>
        <w:t>完整运行 108 个来源，117 条事件通过证据校验，11 条保留在待复核队列；Demo 中两类状态严格分开。</w:t>
      </w:r>
    </w:p>
    <w:p>
      <w:pPr>
        <w:pStyle w:val="ListBullet"/>
        <w:spacing w:after="60"/>
      </w:pPr>
      <w:r>
        <w:t>评测候选集仅作内部误差诊断；在真人金标准建立前，不将内部 F1 或准确率写成正式成果。</w:t>
      </w:r>
    </w:p>
    <w:p>
      <w:pPr>
        <w:pStyle w:val="ListBullet"/>
        <w:spacing w:after="60"/>
      </w:pPr>
      <w:r>
        <w:t>项目输出是结构化信息整理和风险信号抽取，不构成投资建议，也不替代人工研究或投资决策。</w:t>
      </w:r>
    </w:p>
    <w:p>
      <w:pPr>
        <w:pStyle w:val="Heading1"/>
      </w:pPr>
      <w:r>
        <w:t>8. 简历项目表述</w:t>
      </w:r>
    </w:p>
    <w:p>
      <w:r>
        <w:t>财经文本智能批处理流水线 · AI大数据处理项目（2026）</w:t>
      </w:r>
    </w:p>
    <w:p>
      <w:pPr>
        <w:pStyle w:val="ListBullet"/>
        <w:spacing w:after="60"/>
      </w:pPr>
      <w:r>
        <w:t>基于 DocETL、PyMuPDF 与 AKShare 搭建双数据源处理原型，处理3份研报58个文本块及50条新闻冻结快照，抽取事件、情绪与风险标签。</w:t>
      </w:r>
    </w:p>
    <w:p>
      <w:pPr>
        <w:pStyle w:val="ListBullet"/>
        <w:spacing w:after="60"/>
      </w:pPr>
      <w:r>
        <w:t>保留 PDF 页码或新闻链接证据并逐字校验，形成117条验证通过事件和11条待复核记录，支持离线筛选与证据查看 Demo。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6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40"/>
      <w:ind w:left="227" w:right="227"/>
    </w:pPr>
    <w:rPr>
      <w:rFonts w:ascii="Consolas" w:hAnsi="Consolas" w:eastAsia="Consolas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