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上周工作内容：2026.05.26-2026.06.01</w:t>
        <w:br/>
        <w:br/>
        <w:t>1. AI预警系统优化</w:t>
        <w:br/>
        <w:t xml:space="preserve">   - 完成预警模型准确率从85%提升至92%，通过调整特征权重和增加训练样本</w:t>
        <w:br/>
        <w:t xml:space="preserve">   - 发现数据漂移问题，分析了近3个月的数据分布变化，制定了月度校准方案</w:t>
        <w:br/>
        <w:t xml:space="preserve">   - 输出优化报告1份，包含A/B测试结果对比</w:t>
        <w:br/>
        <w:br/>
        <w:t>2. 激光雷达测试</w:t>
        <w:br/>
        <w:t xml:space="preserve">   - 参与第二轮激光雷达性能测试，覆盖5个测试场景</w:t>
        <w:br/>
        <w:t xml:space="preserve">   - 发现识别率在雨天场景下降15%，已提交bug报告并跟踪修复</w:t>
        <w:br/>
        <w:t xml:space="preserve">   - 与硬件团队确认下周补充雨天场景的硬件优化方案</w:t>
        <w:br/>
        <w:br/>
        <w:t>3. 考勤系统维护</w:t>
        <w:br/>
        <w:t xml:space="preserve">   - 修复考勤打卡偶发超时问题，根因是数据库连接池配置不当</w:t>
        <w:br/>
        <w:t xml:space="preserve">   - 优化查询性能，平均响应时间从800ms降至200ms</w:t>
        <w:br/>
        <w:br/>
        <w:t>本周工作计划：2026.06.02-2026.06.08</w:t>
        <w:br/>
        <w:br/>
        <w:t>1. AI预警系统上线部署</w:t>
        <w:br/>
        <w:t xml:space="preserve">   - 周三前完成生产环境部署，包含灰度发布方案</w:t>
        <w:br/>
        <w:t xml:space="preserve">   - 周五前完成监控告警配置，确保上线后可实时观测</w:t>
        <w:br/>
        <w:br/>
        <w:t>2. 激光雷达雨天场景优化</w:t>
        <w:br/>
        <w:t xml:space="preserve">   - 配合硬件团队完成雨天场景的固件升级测试</w:t>
        <w:br/>
        <w:t xml:space="preserve">   - 目标：雨天识别率恢复至90%以上</w:t>
        <w:br/>
        <w:br/>
        <w:t>3. 考勤系统周报模块开发</w:t>
        <w:br/>
        <w:t xml:space="preserve">   - 设计周报模板编辑器原型</w:t>
        <w:br/>
        <w:t xml:space="preserve">   - 完成后端API开发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