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GAAP I/S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- cost</w:t>
      </w:r>
    </w:p>
    <w:p>
      <w:pPr>
        <w:pStyle w:val="2"/>
        <w:rPr>
          <w:rFonts w:hint="eastAsia" w:ascii="宋体" w:hAnsi="宋体" w:eastAsia="宋体" w:cs="宋体"/>
          <w:highlight w:val="yellow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yellow"/>
        </w:rPr>
        <w:t>CSC</w:t>
      </w:r>
    </w:p>
    <w:p>
      <w:pPr>
        <w:pStyle w:val="2"/>
        <w:rPr>
          <w:rFonts w:hint="eastAsia" w:ascii="宋体" w:hAnsi="宋体" w:eastAsia="宋体" w:cs="宋体"/>
          <w:highlight w:val="yellow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green"/>
        </w:rPr>
        <w:t>interest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expected return of plan asset(养老金基金)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+ E(r)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= NI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Cash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FV of plan asset_end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  <w:highlight w:val="lightGray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>Liability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PBO_end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PBO_begin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yellow"/>
        </w:rPr>
        <w:t>current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green"/>
        </w:rPr>
        <w:t>interest cost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  <w:highlight w:val="red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red"/>
        </w:rPr>
        <w:t>past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RE_b + NI - DIV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还剩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  <w:r>
        <w:rPr>
          <w:rFonts w:ascii="宋体" w:hAnsi="宋体" w:eastAsia="宋体" w:cs="宋体"/>
          <w:highlight w:val="lightGray"/>
        </w:rPr>
        <w:t xml:space="preserve">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Liablity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red"/>
        </w:rPr>
        <w:t>PSC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+ actuarial cost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+</w:t>
      </w:r>
      <w:r>
        <w:rPr>
          <w:rFonts w:ascii="宋体" w:hAnsi="宋体" w:eastAsia="宋体" w:cs="宋体"/>
        </w:rPr>
        <w:t xml:space="preserve"> expected return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解决方法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先摊销</w:t>
      </w:r>
      <w:r>
        <w:rPr>
          <w:rFonts w:ascii="宋体" w:hAnsi="宋体" w:eastAsia="宋体" w:cs="宋体"/>
        </w:rPr>
        <w:t>，未摊销的进OCI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摊销</w:t>
      </w:r>
      <w:r>
        <w:rPr>
          <w:rFonts w:ascii="宋体" w:hAnsi="宋体" w:eastAsia="宋体" w:cs="宋体"/>
        </w:rPr>
        <w:t>进</w:t>
      </w: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…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cost</w:t>
      </w:r>
    </w:p>
    <w:p>
      <w:pPr>
        <w:pStyle w:val="2"/>
        <w:ind w:left="630" w:leftChars="3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PSC amortization</w:t>
      </w:r>
    </w:p>
    <w:p>
      <w:pPr>
        <w:pStyle w:val="2"/>
        <w:ind w:left="630" w:leftChars="3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- 广义精算误差</w:t>
      </w:r>
      <w:r>
        <w:rPr>
          <w:rFonts w:ascii="宋体" w:hAnsi="宋体" w:eastAsia="宋体" w:cs="宋体"/>
        </w:rPr>
        <w:t>摊销</w:t>
      </w:r>
    </w:p>
    <w:p>
      <w:pPr>
        <w:pStyle w:val="2"/>
        <w:ind w:left="630" w:leftChars="300" w:firstLine="21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 xml:space="preserve">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  <w:r>
        <w:rPr>
          <w:rFonts w:ascii="宋体" w:hAnsi="宋体" w:eastAsia="宋体" w:cs="宋体"/>
        </w:rPr>
        <w:t>) amortization</w:t>
      </w:r>
    </w:p>
    <w:p>
      <w:pPr>
        <w:pStyle w:val="2"/>
        <w:ind w:left="630" w:leftChars="300" w:firstLine="21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expected return</w:t>
      </w:r>
      <w:r>
        <w:rPr>
          <w:rFonts w:ascii="宋体" w:hAnsi="宋体" w:eastAsia="宋体" w:cs="宋体"/>
        </w:rPr>
        <w:t xml:space="preserve"> - actual</w:t>
      </w:r>
      <w:r>
        <w:rPr>
          <w:rFonts w:hint="eastAsia" w:ascii="宋体" w:hAnsi="宋体" w:eastAsia="宋体" w:cs="宋体"/>
        </w:rPr>
        <w:t xml:space="preserve"> return</w:t>
      </w:r>
      <w:r>
        <w:rPr>
          <w:rFonts w:ascii="宋体" w:hAnsi="宋体" w:eastAsia="宋体" w:cs="宋体"/>
        </w:rPr>
        <w:t>) amortization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2. </w:t>
      </w:r>
      <w:r>
        <w:rPr>
          <w:rFonts w:hint="eastAsia" w:ascii="宋体" w:hAnsi="宋体" w:eastAsia="宋体" w:cs="宋体"/>
        </w:rPr>
        <w:t>未摊销</w:t>
      </w:r>
      <w:r>
        <w:rPr>
          <w:rFonts w:ascii="宋体" w:hAnsi="宋体" w:eastAsia="宋体" w:cs="宋体"/>
        </w:rPr>
        <w:t>进OCI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OCI_end = OCI_begin 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PSC unamortized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- 广义精算误差未</w:t>
      </w:r>
      <w:r>
        <w:rPr>
          <w:rFonts w:ascii="宋体" w:hAnsi="宋体" w:eastAsia="宋体" w:cs="宋体"/>
        </w:rPr>
        <w:t>摊销</w:t>
      </w:r>
      <w:r>
        <w:rPr>
          <w:rFonts w:hint="eastAsia" w:ascii="宋体" w:hAnsi="宋体" w:eastAsia="宋体" w:cs="宋体"/>
        </w:rPr>
        <w:t>部分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 xml:space="preserve">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  <w:r>
        <w:rPr>
          <w:rFonts w:ascii="宋体" w:hAnsi="宋体" w:eastAsia="宋体" w:cs="宋体"/>
        </w:rPr>
        <w:t>) unamortized</w:t>
      </w:r>
    </w:p>
    <w:p>
      <w:pPr>
        <w:pStyle w:val="2"/>
        <w:ind w:left="210" w:leftChars="1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expected return</w:t>
      </w:r>
      <w:r>
        <w:rPr>
          <w:rFonts w:ascii="宋体" w:hAnsi="宋体" w:eastAsia="宋体" w:cs="宋体"/>
        </w:rPr>
        <w:t xml:space="preserve"> - actual</w:t>
      </w:r>
      <w:r>
        <w:rPr>
          <w:rFonts w:hint="eastAsia" w:ascii="宋体" w:hAnsi="宋体" w:eastAsia="宋体" w:cs="宋体"/>
        </w:rPr>
        <w:t xml:space="preserve"> return</w:t>
      </w:r>
      <w:r>
        <w:rPr>
          <w:rFonts w:ascii="宋体" w:hAnsi="宋体" w:eastAsia="宋体" w:cs="宋体"/>
        </w:rPr>
        <w:t>) unamortized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PSC </w:t>
      </w:r>
      <w:r>
        <w:rPr>
          <w:rFonts w:hint="eastAsia" w:ascii="宋体" w:hAnsi="宋体" w:eastAsia="宋体" w:cs="宋体"/>
        </w:rPr>
        <w:t>摊销</w:t>
      </w:r>
      <w:r>
        <w:rPr>
          <w:rFonts w:ascii="宋体" w:hAnsi="宋体" w:eastAsia="宋体" w:cs="宋体"/>
        </w:rPr>
        <w:t>方法：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</w:t>
      </w:r>
      <w:r>
        <w:rPr>
          <w:rFonts w:ascii="宋体" w:hAnsi="宋体" w:eastAsia="宋体" w:cs="宋体"/>
        </w:rPr>
        <w:t xml:space="preserve">remaining service life = </w:t>
      </w:r>
      <w:r>
        <w:rPr>
          <w:rFonts w:hint="eastAsia" w:ascii="宋体" w:hAnsi="宋体" w:eastAsia="宋体" w:cs="宋体"/>
        </w:rPr>
        <w:t>职工剩余</w:t>
      </w:r>
      <w:r>
        <w:rPr>
          <w:rFonts w:ascii="宋体" w:hAnsi="宋体" w:eastAsia="宋体" w:cs="宋体"/>
        </w:rPr>
        <w:t>工作年限，</w:t>
      </w:r>
      <w:r>
        <w:rPr>
          <w:rFonts w:hint="eastAsia" w:ascii="宋体" w:hAnsi="宋体" w:eastAsia="宋体" w:cs="宋体"/>
        </w:rPr>
        <w:t>线性摊销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广义精算误差摊销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corridor approach</w:t>
      </w:r>
      <w:r>
        <w:rPr>
          <w:rFonts w:hint="eastAsia" w:ascii="宋体" w:hAnsi="宋体" w:eastAsia="宋体" w:cs="宋体"/>
        </w:rPr>
        <w:t>: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如果:</w:t>
      </w:r>
    </w:p>
    <w:p>
      <w:pPr>
        <w:pStyle w:val="2"/>
        <w:ind w:left="84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广义精算误差 </w:t>
      </w:r>
      <w:r>
        <w:rPr>
          <w:rFonts w:ascii="宋体" w:hAnsi="宋体" w:eastAsia="宋体" w:cs="宋体"/>
        </w:rPr>
        <w:t>&gt; max(PBO_b, FV_b)* 10%</w:t>
      </w:r>
    </w:p>
    <w:p>
      <w:pPr>
        <w:pStyle w:val="2"/>
        <w:ind w:left="840" w:leftChars="0" w:firstLine="42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=&gt; </w:t>
      </w:r>
      <w:r>
        <w:rPr>
          <w:rFonts w:hint="eastAsia" w:ascii="宋体" w:hAnsi="宋体" w:eastAsia="宋体" w:cs="宋体"/>
        </w:rPr>
        <w:t>摊销</w:t>
      </w:r>
      <w:r>
        <w:rPr>
          <w:rFonts w:hint="eastAsia" w:ascii="宋体" w:hAnsi="宋体" w:eastAsia="宋体" w:cs="宋体"/>
          <w:lang w:eastAsia="zh-CN"/>
        </w:rPr>
        <w:t>部分</w:t>
      </w:r>
      <w:r>
        <w:rPr>
          <w:rFonts w:ascii="宋体" w:hAnsi="宋体" w:eastAsia="宋体" w:cs="宋体"/>
        </w:rPr>
        <w:t xml:space="preserve">= </w:t>
      </w:r>
      <w:r>
        <w:rPr>
          <w:rFonts w:hint="eastAsia" w:ascii="宋体" w:hAnsi="宋体" w:eastAsia="宋体" w:cs="宋体"/>
        </w:rPr>
        <w:t xml:space="preserve">(广义精算误差 </w:t>
      </w:r>
      <w:r>
        <w:rPr>
          <w:rFonts w:ascii="宋体" w:hAnsi="宋体" w:eastAsia="宋体" w:cs="宋体"/>
        </w:rPr>
        <w:t>- max(PBO_b, FV_b)* 10%)/remaining service life</w:t>
      </w:r>
      <w:r>
        <w:rPr>
          <w:rFonts w:hint="eastAsia" w:ascii="宋体" w:hAnsi="宋体" w:eastAsia="宋体" w:cs="宋体"/>
          <w:lang w:val="en-US" w:eastAsia="zh-CN"/>
        </w:rPr>
        <w:t>, 进I/S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=&gt; 未摊销部分 = 广义精算误差 - 摊销部分, 进OCI</w:t>
      </w:r>
      <w:bookmarkStart w:id="0" w:name="_GoBack"/>
      <w:bookmarkEnd w:id="0"/>
    </w:p>
    <w:p>
      <w:pPr>
        <w:pStyle w:val="2"/>
        <w:ind w:left="840" w:firstLine="420"/>
        <w:rPr>
          <w:rFonts w:ascii="宋体" w:hAnsi="宋体" w:eastAsia="宋体" w:cs="宋体"/>
        </w:rPr>
      </w:pP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C52CD"/>
    <w:multiLevelType w:val="multilevel"/>
    <w:tmpl w:val="775C5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92C1E"/>
    <w:rsid w:val="00164073"/>
    <w:rsid w:val="00210312"/>
    <w:rsid w:val="0022138A"/>
    <w:rsid w:val="00225E02"/>
    <w:rsid w:val="002335A6"/>
    <w:rsid w:val="002A1C55"/>
    <w:rsid w:val="002C73DE"/>
    <w:rsid w:val="003823F8"/>
    <w:rsid w:val="003A4FC7"/>
    <w:rsid w:val="004E29D6"/>
    <w:rsid w:val="0062056F"/>
    <w:rsid w:val="00702A9A"/>
    <w:rsid w:val="00712B6F"/>
    <w:rsid w:val="00826304"/>
    <w:rsid w:val="00834E51"/>
    <w:rsid w:val="00843E1E"/>
    <w:rsid w:val="00863FF5"/>
    <w:rsid w:val="00870CC7"/>
    <w:rsid w:val="00900E9B"/>
    <w:rsid w:val="0091574F"/>
    <w:rsid w:val="009A3460"/>
    <w:rsid w:val="00A17FC3"/>
    <w:rsid w:val="00A66E29"/>
    <w:rsid w:val="00A92205"/>
    <w:rsid w:val="00AF5285"/>
    <w:rsid w:val="00B573EE"/>
    <w:rsid w:val="00BA1A4B"/>
    <w:rsid w:val="00BE3BA6"/>
    <w:rsid w:val="00C155FD"/>
    <w:rsid w:val="00C20CDC"/>
    <w:rsid w:val="00C34D4B"/>
    <w:rsid w:val="00C70B2C"/>
    <w:rsid w:val="00DE1319"/>
    <w:rsid w:val="00EE68FB"/>
    <w:rsid w:val="00FA6AF0"/>
    <w:rsid w:val="046E12C9"/>
    <w:rsid w:val="0D491BA4"/>
    <w:rsid w:val="18C22BBA"/>
    <w:rsid w:val="251B20F5"/>
    <w:rsid w:val="5F7951D7"/>
    <w:rsid w:val="63415A1D"/>
    <w:rsid w:val="72446F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5"/>
    <w:link w:val="2"/>
    <w:qFormat/>
    <w:uiPriority w:val="99"/>
    <w:rPr>
      <w:rFonts w:hAnsi="Courier New" w:cs="Courier New" w:asciiTheme="minorEastAsia"/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963</Characters>
  <Lines>8</Lines>
  <Paragraphs>2</Paragraphs>
  <ScaleCrop>false</ScaleCrop>
  <LinksUpToDate>false</LinksUpToDate>
  <CharactersWithSpaces>1129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2017-03-19T09:08:00Z</dcterms:created>
  <dc:creator>黄锴</dc:creator>
  <cp:lastModifiedBy>Administrator</cp:lastModifiedBy>
  <dcterms:modified xsi:type="dcterms:W3CDTF">2017-05-29T08:35:22Z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