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数据库设计规范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7 5.6之后的所有表都必须用Innodb存储引擎，Innodb支持事务，行级锁，更好的恢复性，高并发下性能更好</w:t>
      </w:r>
    </w:p>
    <w:p>
      <w:pPr>
        <w:rPr>
          <w:rFonts w:hint="default"/>
          <w:lang w:val="en-US" w:eastAsia="zh-CN"/>
        </w:rPr>
      </w:pPr>
      <w:r>
        <w:rPr>
          <w:rFonts w:hint="eastAsia"/>
          <w:lang w:val="en-US" w:eastAsia="zh-CN"/>
        </w:rPr>
        <w:t>8 数据库和表的字符集统一使用UTF-8（兼容性更好），UTF8字符集汉字占3个字节，ASCLL码占用1个字节</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767247"/>
    <w:rsid w:val="3960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2020-09-09T09:46:00Z</dcterms:created>
  <dc:creator>DELL</dc:creator>
  <cp:lastModifiedBy>xiongzhuang</cp:lastModifiedBy>
  <dcterms:modified xsi:type="dcterms:W3CDTF">2020-09-18T05:24:29Z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