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“校园二手物品交易助手”软件系统的需求构思及描述</w:t>
      </w:r>
    </w:p>
    <w:p w14:paraId="7771AA3B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0" w:name="_Toc81982490"/>
      <w:r>
        <w:rPr>
          <w:rFonts w:hint="eastAsia" w:ascii="宋体" w:hAnsi="宋体" w:eastAsia="宋体" w:cs="宋体"/>
          <w:sz w:val="24"/>
          <w:szCs w:val="24"/>
        </w:rPr>
        <w:t>一、背景介绍</w:t>
      </w:r>
    </w:p>
    <w:p w14:paraId="687647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随着高校办学规模持续扩大，在校师生人数基数庞大，校园内产生的二手闲置物品数量逐年递增，主要涵盖书籍教材、电子产品、生活用品、体育器材、宿舍家具、考研公考资料等品类。高校学生具有流动性强、更新迭代快的特点，每届学生毕业、新学期入学、学期中途物品更替，都会产生大量可循环利用的闲置物品，具备极大的二手交易与资源循环利用需求。</w:t>
      </w:r>
    </w:p>
    <w:p w14:paraId="00C5C0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从校园场景现状来看，传统校园二手交易长期依赖线下摆摊、班级群、朋友圈、校园论坛等零散渠道，交易形式碎片化、</w:t>
      </w:r>
    </w:p>
    <w:p w14:paraId="7E70BAC2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二、欲解决问题</w:t>
      </w:r>
    </w:p>
    <w:p w14:paraId="69EE6B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本系统针对当前校园二手交易存在的各类痛点问题进行针对性解决，具体涵盖交易渠道、交易安全、信息管理、资源利用、交易效率五大核心问题：</w:t>
      </w:r>
    </w:p>
    <w:p w14:paraId="337781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交易渠道零散，信息流通低效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传统校园二手交易依赖微信群、QQ群、线下地摊、校园贴吧等非专业渠道，物品信息发布杂乱、无分类、易刷屏、易过期。师生难以快速精准检索所需物品，闲置物品曝光率低，大量优质闲置资源长期闲置，无法实现快速流转。</w:t>
      </w:r>
    </w:p>
    <w:p w14:paraId="156BB4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交易缺乏监管，安全风险突出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通用二手平台人员混杂、无校园身份核验，校外人员可随意交易，存在诈骗、假货、线下交易纠纷、隐私泄露等风险。而校园私域交易无平台监管，交易无凭证，出现质量问题、钱款纠纷后无维权渠道，师生交易权益无法保障。</w:t>
      </w:r>
    </w:p>
    <w:p w14:paraId="385FDF2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物品匹配度低，交易成本较高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：传统交易无智能匹配功能，买家需要手动翻找海量信息，卖家被动等待咨询；同时线下交易无统一的沟通、预约机制，沟通成本高、交易耗时久，部分远距离、跨楼栋交易极为不便。</w:t>
      </w:r>
    </w:p>
    <w:p w14:paraId="24CD02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闲置资源浪费，绿色流转不足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：每学年大量教材、家具、电器等可重复使用物品被丢弃、变卖废品，造成资源浪费，不符合绿色校园、循环经济的建设要求，校园闲置资源利用率极低。</w:t>
      </w:r>
    </w:p>
    <w:p w14:paraId="412BF6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 无专属校园配套服务，适配性差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：通用二手平台功能繁杂，包含同城、跨城、快递交易等冗余功能，不适配校园近距离面交的核心场景，缺少校园自提、校内预约、教材专区、毕业清仓、失物招领等校园专属功能，无法贴合师生真实使用习惯。</w:t>
      </w:r>
    </w:p>
    <w:p w14:paraId="0D68A21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三、软件创意</w:t>
      </w:r>
    </w:p>
    <w:p w14:paraId="192E89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本系统依托计算机软件开发技术，结合移动端设备、云端服务器、校园身份认证体系、即时通信服务、智能算法推荐、校园线下履约场景，打造</w:t>
      </w: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专属校园、轻量化、高安全、智能化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的二手交易辅助系统，全方位解决校园二手交易痛点，核心创意与解决方案如下：</w:t>
      </w:r>
    </w:p>
    <w:p w14:paraId="08E2FE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基于软件系统搭建专属校园交易平台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开发移动端适配的校园二手交易助手系统，搭建标准化的物品发布、分类检索、在线沟通、订单管理、交易记录、评价售后功能模块。对校园二手物品进行精细化分类，区分教材资料、电子产品、生活用品、文体器材等专区，实现物品信息规范化发布、精准化检索，解决信息杂乱问题。</w:t>
      </w:r>
    </w:p>
    <w:p w14:paraId="3886B6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结合校园身份认证系统保障交易安全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对接校园学生/教职工身份信息核验机制，仅允许本校实名认证用户注册登录，彻底隔绝校外陌生人员，从源头杜绝陌生诈骗、校外人员违规交易问题。所有交易绑定真实校园身份，留存交易凭证，建立校园专属信用评价体系，规范师生交易行为。</w:t>
      </w:r>
    </w:p>
    <w:p w14:paraId="0F7308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依托智能算法实现精准匹配推荐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通过后台大数据算法，根据用户浏览记录、搜索关键词、收藏物品，智能推送适配的闲置物品；同时支持卖家一键发布、物品置顶、需求求购功能，实现买卖双向精准匹配，大幅提升交易效率，降低信息获取成本。</w:t>
      </w:r>
    </w:p>
    <w:p w14:paraId="0F29F3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结合移动端与校园线下场景优化交易体验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依托智能手机移动端设备，支持随时随地发布、浏览、沟通交易；新增校园专属功能，包括校内楼栋自提、预约面交、毕业清仓专场、教材互助、物品续租、闲置捐赠等特色服务，适配校园近距离交易场景，摒弃通用平台的冗余功能，轻量化贴合师生需求。</w:t>
      </w:r>
    </w:p>
    <w:p w14:paraId="254147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 依托云端服务实现数据持久化管理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：借助云端服务器存储用户信息、物品数据、交易记录、评价信息，保障数据安全稳定、永久留存；同时搭配消息推送服务，实现私信、订单更新、物品上新实时提醒，保障交易沟通及时高效。</w:t>
      </w:r>
    </w:p>
    <w:p w14:paraId="5E9976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 附加公益化服务助力绿色校园建设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：增设闲置物品公益捐赠、旧物回收板块，联动校园学生会、公益社团，将无人流转的闲置物品统一回收利用，实现资源循环，践行绿色低碳校园理念。</w:t>
      </w:r>
    </w:p>
    <w:p w14:paraId="406F1E5E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四、竞品分析</w:t>
      </w:r>
    </w:p>
    <w:p w14:paraId="04C082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目前市场上二手交易产品主要分为</w:t>
      </w: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通用综合二手平台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零散校园自制渠道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两类，各类产品均存在明显短板，无法适配校园专属场景，为本系统的开发提供了核心价值支撑，具体分析如下：</w:t>
      </w:r>
    </w:p>
    <w:p w14:paraId="513D18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通用主流二手平台（闲鱼、转转等）</w:t>
      </w:r>
    </w:p>
    <w:p w14:paraId="44B1602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产品特点：平台体量庞大、物品种类齐全、用户基数大，支持全国物流交易、担保交易、售后维权，功能覆盖全品类二手交易，技术成熟、体系完善。</w:t>
      </w:r>
    </w:p>
    <w:p w14:paraId="6CE1E4E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存在不足：① 无校园身份限制，用户混杂，校外人员、商家居多，校园交易诈骗、假货、虚假引流问题频发，安全性无法保障；② 功能冗余复杂，包含同城、跨城、快递、美妆、数码、奢侈品等海量非校园品类，师生检索校园闲置物品效率极低；③ 无校园专属场景功能，不支持校内面交预约、教材专区、毕业清仓等特色需求，适配性极差；④ 平台商业化严重，充斥大量商家广告、引流信息，个人闲置交易被稀释，体验差。</w:t>
      </w:r>
    </w:p>
    <w:p w14:paraId="147E0F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校园私域交易渠道（班级群、校园论坛、朋友圈、线下摆摊）</w:t>
      </w:r>
    </w:p>
    <w:p w14:paraId="04C135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产品特点：零门槛、无需注册、即时沟通，仅面向本校师生，信任度相对较高，适合临时小额闲置交易。</w:t>
      </w:r>
    </w:p>
    <w:p w14:paraId="46728E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存在不足：① 无系统化管理，信息刷屏快、留存时间短、无法分类检索，信息利用率极低；② 无交易监管与维权机制，口头约定交易，出现质量问题、钱款纠纷无凭证、无追责渠道；③ 无用户信用体系，无法甄别不良交易用户，易出现恶意砍价、爽约等问题；④ 线下摆摊受天气、场地、时间限制极大，效率低下，且不符合校园规范化管理要求。</w:t>
      </w:r>
    </w:p>
    <w:p w14:paraId="19FF65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本产品核心优势总结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：本系统聚焦</w:t>
      </w: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纯校园垂直场景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兼顾安全性、专业性和适配性，既解决了通用平台风险高、不贴合校园场景的问题，又弥补了传统私域渠道无规范、无管理、效率低的短板，轻量化、专业化、安全化的校园专属二手交易系统，更适配高校师生的真实使用需求。</w:t>
      </w:r>
    </w:p>
    <w:p w14:paraId="2088131A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五、系统的组成和部署</w:t>
      </w:r>
    </w:p>
    <w:p w14:paraId="7F5F7B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本校园二手物品交易助手系统整体采用</w:t>
      </w: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移动端前端+云端服务器后端+数据库+校园认证服务+线下场景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的架构体系，由软件系统、支撑硬件、配套服务、基础设施四部分组成，各要素相互协同、分层部署，具体组成、关联关系及部署方案如下：</w:t>
      </w:r>
    </w:p>
    <w:p w14:paraId="665A608D">
      <w:pPr>
        <w:pStyle w:val="4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（一）系统核心组成要素</w:t>
      </w:r>
    </w:p>
    <w:p w14:paraId="3AD7F36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核心软件系统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包含移动端用户端、后台管理系统两大核心软件模块。用户端面向师生，实现注册登录、身份认证、物品发布、分类浏览、智能推荐、在线私信、订单管理、评价反馈、公益捐赠等全部用户功能；后台管理端面向校园管理员，实现用户审核、物品审核、违规信息删除、交易监管、数据统计、用户管理、纠纷处理等管理功能。</w:t>
      </w:r>
    </w:p>
    <w:p w14:paraId="62CC52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支撑硬件设备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：核心终端设备为师生智能手机（安卓、iOS系统），作为用户操作入口；后端依托云端服务器完成数据运算、业务处理、消息推送；无需额外专用硬件，轻量化部署，硬件门槛极低。</w:t>
      </w:r>
    </w:p>
    <w:p w14:paraId="50FB20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配套服务体系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：包含校园身份认证服务、云端数据存储服务、即时通信推送服务、智能算法推荐服务、交易监管服务、售后纠纷处理服务六大配套服务，为软件功能提供技术支撑与运营保障。</w:t>
      </w:r>
    </w:p>
    <w:p w14:paraId="5D4A31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基础计算设施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：依托互联网网络环境、校园局域网、云端算力基础设施、数据库存储设施，保障系统全天候稳定运行、数据安全存储、信息快速传输。</w:t>
      </w:r>
    </w:p>
    <w:p w14:paraId="2F747255">
      <w:pPr>
        <w:pStyle w:val="4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（二）各要素相互关系</w:t>
      </w:r>
    </w:p>
    <w:p w14:paraId="71D87D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整体采用前后端分离架构，层级清晰、协同运行：移动端用户端作为交互入口，接收用户操作指令并上传至后端服务器；云端服务器结合身份认证服务、算法服务完成业务逻辑处理；数据库负责存储所有用户数据、物品数据、交易数据；后台管理系统调取服务器与数据库数据，实现全平台监管；所有软硬件、服务依托网络基础设施实现数据互通、实时交互，形成“用户交互-数据处理-存储管理-监管运维”的完整闭环。</w:t>
      </w:r>
    </w:p>
    <w:p w14:paraId="30411CC6">
      <w:pPr>
        <w:pStyle w:val="4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（三）系统部署方案</w:t>
      </w:r>
    </w:p>
    <w:p w14:paraId="278B8DD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前端部署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：移动端程序打包适配安卓、iOS主流手机系统，师生可直接安装使用，兼容各类校园个人移动设备，无需复杂配置，即装即用。</w:t>
      </w:r>
    </w:p>
    <w:p w14:paraId="2B61B6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后端与数据库部署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：将后端程序、数据库部署在通用云端服务器，采用云部署模式，无需校园本地物理服务器，降低部署成本与运维难度，支持7×24小时不间断运行，可根据用户量弹性扩容。</w:t>
      </w:r>
    </w:p>
    <w:p w14:paraId="33267E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服务接口部署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：对接校园统一身份认证接口、消息推送接口，实现校园实名一键核验、交易消息实时推送，接口轻量化接入，不占用校园系统资源，不影响原有校园平台运行。</w:t>
      </w:r>
    </w:p>
    <w:p w14:paraId="1EAD50AF">
      <w:pPr>
        <w:pStyle w:val="4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（四）依赖的软硬件与基础设施</w:t>
      </w:r>
    </w:p>
    <w:p w14:paraId="668F260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软件依赖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：智能手机操作系统（安卓/iOS）、云端服务器操作系统、数据库管理系统、前后端开发运行环境、网络通信协议、校园身份认证系统接口。</w:t>
      </w:r>
    </w:p>
    <w:p w14:paraId="509786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硬件依赖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：师生个人智能手机、云端算力服务器、网络传输设备。</w:t>
      </w:r>
    </w:p>
    <w:p w14:paraId="0992D3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基础设施依赖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：校园互联网/移动网络环境、云端存储与算力基础设施、数据安全防护体系，保障系统稳定运行、数据安全不泄露、交易流程顺畅。</w:t>
      </w:r>
    </w:p>
    <w:p w14:paraId="726D9451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</w:p>
    <w:bookmarkEnd w:id="0"/>
    <w:p w14:paraId="16587F6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bCs w:val="0"/>
          <w:sz w:val="24"/>
          <w:szCs w:val="24"/>
        </w:rPr>
      </w:pPr>
      <w:bookmarkStart w:id="1" w:name="_Toc81982489"/>
      <w:r>
        <w:rPr>
          <w:rFonts w:ascii="微软雅黑" w:hAnsi="微软雅黑" w:eastAsia="微软雅黑"/>
          <w:sz w:val="24"/>
          <w:szCs w:val="24"/>
        </w:rPr>
        <w:t>软件功能需求描述</w:t>
      </w:r>
      <w:bookmarkEnd w:id="1"/>
    </w:p>
    <w:p w14:paraId="56693EBC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.1 </w:t>
      </w:r>
      <w:r>
        <w:rPr>
          <w:rFonts w:hint="eastAsia" w:ascii="微软雅黑" w:hAnsi="微软雅黑" w:eastAsia="微软雅黑"/>
          <w:sz w:val="24"/>
          <w:szCs w:val="24"/>
        </w:rPr>
        <w:t>软件功能概述</w:t>
      </w:r>
    </w:p>
    <w:p w14:paraId="46E821E5">
      <w:pPr>
        <w:pStyle w:val="10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72" w:beforeAutospacing="0" w:after="72" w:afterAutospacing="0" w:line="9" w:lineRule="atLeast"/>
        <w:ind w:left="0" w:right="0" w:firstLine="0"/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本系统围绕"发布—检索—推荐—沟通—交易—评价—运营"全链路设计，共 8 项功能点，均不依赖地理位置服务。功能标识、描述、优先级与使用场景如下：</w:t>
      </w:r>
    </w:p>
    <w:tbl>
      <w:tblPr>
        <w:tblW w:w="10560" w:type="dxa"/>
        <w:tblCellSpacing w:w="15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840"/>
        <w:gridCol w:w="4593"/>
        <w:gridCol w:w="770"/>
        <w:gridCol w:w="2637"/>
      </w:tblGrid>
      <w:tr w14:paraId="0748514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F3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B4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功能标识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67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EA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AB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20" w:lineRule="atLeast"/>
              <w:ind w:left="0" w:right="0" w:firstLine="0"/>
              <w:jc w:val="left"/>
              <w:rPr>
                <w:b/>
                <w:bCs/>
                <w:color w:val="171717"/>
              </w:rPr>
            </w:pPr>
            <w:r>
              <w:rPr>
                <w:rFonts w:ascii="宋体" w:hAnsi="宋体" w:eastAsia="宋体" w:cs="宋体"/>
                <w:b/>
                <w:bCs/>
                <w:color w:val="1717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典型使用场景</w:t>
            </w:r>
          </w:p>
        </w:tc>
      </w:tr>
      <w:tr w14:paraId="043E55F4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90A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3A3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物品发布与全生命周期管理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649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卖家多图上传、类目选择（教材/数码/生活等），支持编辑、下架、重新上架、标记已售，覆盖物品从发布到下架的完整状态流转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E69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26E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毕业季学长批量上架教材；卖家临时下架待售商品</w:t>
            </w:r>
          </w:p>
        </w:tc>
      </w:tr>
      <w:tr w14:paraId="6EE30BF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6CD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7BF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高性能全文检索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476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 Elasticsearch，对标题/描述多关键词模糊匹配，支持拼音、同义词扩展，毫秒级返回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F18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02A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买家搜索"高数"自动匹配"高等数学"；搜"二手自行车"命中描述含"单车"的商品</w:t>
            </w:r>
          </w:p>
        </w:tc>
      </w:tr>
      <w:tr w14:paraId="02E23CD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75B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570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个性化推荐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F09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基于用户协同过滤（行为相似度），在首页为用户推荐可能感兴趣的商品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2CF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0D5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大三学生浏览过考研教材，首页推荐同类备考资料</w:t>
            </w:r>
          </w:p>
        </w:tc>
      </w:tr>
      <w:tr w14:paraId="01CA775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159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AF1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多维度筛选与排序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F80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按价格区间、发布时间、热度（浏览量/收藏量）筛选排序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63E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44C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买家按价格升序找 50 元以下生活用品；按热度找全校爆款</w:t>
            </w:r>
          </w:p>
        </w:tc>
      </w:tr>
      <w:tr w14:paraId="54FED23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AC2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36E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WebSocket 即时通讯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10B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买卖双方在线聊天、发送图片、在线议价，长连接实时推送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63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8D8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买家就"英语词典"价格与卖家实时议价并要求看清书页</w:t>
            </w:r>
          </w:p>
        </w:tc>
      </w:tr>
      <w:tr w14:paraId="4E0D1E0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8E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1E4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双向信用评价与积分体系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81E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交易后买卖双方互评（好评/中评/差评+评语），信用积分影响商品曝光权重，违规用户降权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873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D96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买家收到货后给卖家好评；系统对刷单用户自动降权</w:t>
            </w:r>
          </w:p>
        </w:tc>
      </w:tr>
      <w:tr w14:paraId="02C5BAE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18D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C88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站内热度榜单与趋势分析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3BE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基于点击量、收藏量、交易量统计，展示今日/本周最热、飙升榜及各分类热榜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4F0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7A7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新生开学查"本周最热数码榜"了解校园流行趋势</w:t>
            </w:r>
          </w:p>
        </w:tc>
      </w:tr>
      <w:tr w14:paraId="2D4A6A9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5DD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F8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C7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后台管理与数据面板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A21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类目管理、违规审核、敏感词过滤（DFA 算法），统计日活/成交率等运营指标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4D3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E5E7EB" w:sz="2" w:space="0"/>
              <w:bottom w:val="nil"/>
              <w:right w:val="single" w:color="E5E7EB" w:sz="2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EEE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2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color w:val="40404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40404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管理员审核举报商品；运营查看当日成交转化率</w:t>
            </w:r>
          </w:p>
        </w:tc>
      </w:tr>
    </w:tbl>
    <w:p w14:paraId="1CF3208F">
      <w:pPr>
        <w:pStyle w:val="10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72" w:beforeAutospacing="0" w:after="72" w:afterAutospacing="0" w:line="9" w:lineRule="atLeast"/>
        <w:ind w:left="0" w:right="0" w:firstLine="0"/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</w:rPr>
      </w:pPr>
      <w:r>
        <w:rPr>
          <w:rStyle w:val="15"/>
          <w:rFonts w:hint="default" w:ascii="Segoe UI" w:hAnsi="Segoe UI" w:eastAsia="Segoe UI" w:cs="Segoe UI"/>
          <w:b/>
          <w:bCs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优先级说明</w:t>
      </w:r>
      <w:r>
        <w:rPr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：高优先级（F1、F2、F4、F5、F6）构成系统核心交易闭环与信任基础，为 MVP 必交付项；中优先级（F3、F7、F8）为增强体验与运营能力，可分期迭代。</w:t>
      </w:r>
    </w:p>
    <w:p w14:paraId="62069993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633DDAC6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2" w:name="_Toc81982491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.2 </w:t>
      </w:r>
      <w:r>
        <w:rPr>
          <w:rFonts w:hint="eastAsia" w:ascii="微软雅黑" w:hAnsi="微软雅黑" w:eastAsia="微软雅黑"/>
          <w:sz w:val="24"/>
          <w:szCs w:val="24"/>
        </w:rPr>
        <w:t>软件需求的用例模型</w:t>
      </w:r>
      <w:bookmarkEnd w:id="2"/>
    </w:p>
    <w:p w14:paraId="05385D6C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系统涉及三类参与者：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买家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、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卖家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（校园实名认证用户，可兼任买卖双方）、</w:t>
      </w:r>
      <w:r>
        <w:rPr>
          <w:rStyle w:val="15"/>
          <w:rFonts w:hint="default"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。下图给出系统总体用例图，</w:t>
      </w:r>
    </w:p>
    <w:p w14:paraId="23B2556F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5273040" cy="2527300"/>
            <wp:effectExtent l="0" t="0" r="0" b="2540"/>
            <wp:docPr id="4" name="图片 4" descr="c552488e1554d4fb45be484b282ee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52488e1554d4fb45be484b282ee23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F653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6 个核心实体类构成领域骨干。</w:t>
      </w:r>
      <w:r>
        <w:rPr>
          <w:rStyle w:val="17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（用户，含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creditScore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信用分）与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（商品，含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viewCount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/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favCount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热度统计与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status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生命周期字段）以"发布 1..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"关联；</w:t>
      </w:r>
      <w:r>
        <w:rPr>
          <w:rStyle w:val="17"/>
          <w:rFonts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Item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经"交易"产生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Order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（订单记录买卖双方与成交价）；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ChatSession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（会话）关联 1 个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Item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与 2 个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User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（买卖双方），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Message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属于会话；</w:t>
      </w:r>
      <w:r>
        <w:rPr>
          <w:rStyle w:val="17"/>
          <w:rFonts w:hint="default" w:ascii="monospace" w:hAnsi="monospace" w:eastAsia="monospace" w:cs="monospace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Order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6"/>
          <w:rFonts w:hint="default" w:ascii="Segoe UI" w:hAnsi="Segoe UI" w:eastAsia="Segoe UI" w:cs="Segoe UI"/>
          <w:caps w:val="0"/>
          <w:color w:val="171717"/>
          <w:spacing w:val="0"/>
          <w:sz w:val="21"/>
          <w:szCs w:val="21"/>
          <w:bdr w:val="single" w:color="E5E7EB" w:sz="2" w:space="0"/>
          <w:shd w:val="clear" w:fill="FFFFFF"/>
        </w:rPr>
        <w:t>完成 1..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CreditReview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（评价，含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rating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与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reviewerId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）。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为领域核心类（品牌色），承载关键操作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publish()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、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offShelf()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。</w:t>
      </w:r>
    </w:p>
    <w:p w14:paraId="4E708282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67219268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3" w:name="_Toc81982492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.3 </w:t>
      </w:r>
      <w:r>
        <w:rPr>
          <w:rFonts w:hint="eastAsia" w:ascii="微软雅黑" w:hAnsi="微软雅黑" w:eastAsia="微软雅黑"/>
          <w:sz w:val="24"/>
          <w:szCs w:val="24"/>
        </w:rPr>
        <w:t>软件需求的分析模型</w:t>
      </w:r>
      <w:bookmarkEnd w:id="3"/>
    </w:p>
    <w:p w14:paraId="6C3C4E5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Style w:val="15"/>
          <w:rFonts w:ascii="Segoe UI" w:hAnsi="Segoe UI" w:eastAsia="Segoe UI" w:cs="Segoe UI"/>
          <w:b/>
          <w:bCs/>
          <w:i w:val="0"/>
          <w:iCs w:val="0"/>
          <w:caps w:val="0"/>
          <w:color w:val="17181A"/>
          <w:spacing w:val="0"/>
          <w:sz w:val="21"/>
          <w:szCs w:val="21"/>
          <w:bdr w:val="single" w:color="E5E7EB" w:sz="2" w:space="0"/>
          <w:shd w:val="clear" w:fill="FFFFFF"/>
        </w:rPr>
        <w:t>顺序图：买卖双方即时通讯议价流程</w:t>
      </w:r>
    </w:p>
    <w:p w14:paraId="64AF5C1C">
      <w:pPr>
        <w:ind w:firstLine="420"/>
        <w:jc w:val="left"/>
      </w:pPr>
      <w:r>
        <w:drawing>
          <wp:inline distT="0" distB="0" distL="114300" distR="114300">
            <wp:extent cx="5265420" cy="3649345"/>
            <wp:effectExtent l="0" t="0" r="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4CFA">
      <w:pPr>
        <w:ind w:firstLine="42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以 WebSocket 即时通讯议价为例，揭示"会话建立（HTTP 握手获取凭证）→ 长连接建立 → 双向消息推送 → 持久化"的时序，突出 WebSocket 服务的长连接激活期与实时推送特性。</w:t>
      </w:r>
    </w:p>
    <w:p w14:paraId="74ED9CF8">
      <w:pPr>
        <w:ind w:firstLine="420"/>
        <w:jc w:val="left"/>
      </w:pPr>
    </w:p>
    <w:p w14:paraId="36AAAB31">
      <w:pPr>
        <w:ind w:firstLine="42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系统分析类图，展示 6 个核心实体类的属性与关联关系。**Item（商品）**为领域核心类（品牌色高亮），承载全生命周期状态与热度统计字段。</w:t>
      </w:r>
    </w:p>
    <w:p w14:paraId="22FA154B">
      <w:pPr>
        <w:ind w:firstLine="420"/>
        <w:jc w:val="left"/>
      </w:pPr>
      <w:r>
        <w:drawing>
          <wp:inline distT="0" distB="0" distL="114300" distR="114300">
            <wp:extent cx="5264785" cy="3366770"/>
            <wp:effectExtent l="0" t="0" r="63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AC72">
      <w:pPr>
        <w:ind w:firstLine="420"/>
        <w:jc w:val="left"/>
      </w:pPr>
      <w:r>
        <w:drawing>
          <wp:inline distT="0" distB="0" distL="114300" distR="114300">
            <wp:extent cx="5261610" cy="2643505"/>
            <wp:effectExtent l="0" t="0" r="3810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22DD">
      <w:pPr>
        <w:ind w:firstLine="420"/>
        <w:jc w:val="left"/>
      </w:pPr>
      <w:r>
        <w:rPr>
          <w:rStyle w:val="17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bdr w:val="single" w:color="E5E7EB" w:sz="2" w:space="0"/>
        </w:rPr>
        <w:t>Item</w:t>
      </w: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生命周期包含 5 个状态——草稿→在售（核心活跃态）↔已下架→违规下架；在售可迁移至已售（终态）或违规下架（终态）。关键迁移触发事件为：发布（敏感词 DFA 校验通过）、卖家下架、重新上架、标记已售/成交、管理员审核违规。</w:t>
      </w:r>
    </w:p>
    <w:p w14:paraId="2F41D94A">
      <w:pPr>
        <w:ind w:firstLine="420"/>
        <w:jc w:val="left"/>
        <w:rPr>
          <w:rFonts w:hint="eastAsia"/>
        </w:rPr>
      </w:pPr>
    </w:p>
    <w:p w14:paraId="1F9CE2B1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21119E58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bookmarkStart w:id="4" w:name="_GoBack"/>
      <w:bookmarkEnd w:id="4"/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21"/>
          <w:szCs w:val="21"/>
          <w:shd w:val="clear" w:fill="FFFFFF"/>
        </w:rPr>
        <w:t>作为校园实验项目，技术、条件、规模可行性均较高，时间偏紧但可分期缓解。主要风险集中在 ES 内存与 WebSocket 调试，均有降级预案，整体可行。</w:t>
      </w:r>
    </w:p>
    <w:p w14:paraId="1E0CEE5D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A4206DA"/>
    <w:rsid w:val="0B01399E"/>
    <w:rsid w:val="1173042F"/>
    <w:rsid w:val="11D32F1C"/>
    <w:rsid w:val="129A1646"/>
    <w:rsid w:val="130F7E50"/>
    <w:rsid w:val="15185CA7"/>
    <w:rsid w:val="151B46AD"/>
    <w:rsid w:val="172D1D81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9"/>
    <w:unhideWhenUsed/>
    <w:qFormat/>
    <w:uiPriority w:val="99"/>
    <w:pPr>
      <w:jc w:val="left"/>
    </w:pPr>
  </w:style>
  <w:style w:type="paragraph" w:styleId="6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paragraph" w:styleId="11">
    <w:name w:val="annotation subject"/>
    <w:basedOn w:val="5"/>
    <w:next w:val="5"/>
    <w:link w:val="20"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qFormat/>
    <w:uiPriority w:val="20"/>
    <w:rPr>
      <w:i/>
    </w:rPr>
  </w:style>
  <w:style w:type="character" w:styleId="17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styleId="18">
    <w:name w:val="annotation reference"/>
    <w:basedOn w:val="14"/>
    <w:unhideWhenUsed/>
    <w:qFormat/>
    <w:uiPriority w:val="99"/>
    <w:rPr>
      <w:sz w:val="21"/>
      <w:szCs w:val="21"/>
    </w:rPr>
  </w:style>
  <w:style w:type="character" w:customStyle="1" w:styleId="19">
    <w:name w:val="批注文字 字符"/>
    <w:basedOn w:val="14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0">
    <w:name w:val="批注主题 字符"/>
    <w:basedOn w:val="19"/>
    <w:link w:val="11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21">
    <w:name w:val="批注框文本 字符"/>
    <w:basedOn w:val="14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列出段落1"/>
    <w:basedOn w:val="1"/>
    <w:qFormat/>
    <w:uiPriority w:val="99"/>
    <w:pPr>
      <w:ind w:firstLine="420" w:firstLineChars="200"/>
    </w:pPr>
  </w:style>
  <w:style w:type="character" w:customStyle="1" w:styleId="23">
    <w:name w:val="标题 2 字符"/>
    <w:basedOn w:val="14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4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5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6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7">
    <w:name w:val="标题 3 字符"/>
    <w:basedOn w:val="14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8">
    <w:name w:val="页眉 字符"/>
    <w:basedOn w:val="14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9">
    <w:name w:val="页脚 字符"/>
    <w:basedOn w:val="14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30">
    <w:name w:val="正文2"/>
    <w:basedOn w:val="1"/>
    <w:qFormat/>
    <w:uiPriority w:val="0"/>
    <w:pPr>
      <w:adjustRightInd w:val="0"/>
      <w:spacing w:line="520" w:lineRule="atLeast"/>
      <w:ind w:left="480" w:firstLine="360"/>
    </w:pPr>
    <w:rPr>
      <w:rFonts w:ascii="Times New Roman" w:hAnsi="Times New Roman" w:eastAsia="楷体_GB2312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1095</Words>
  <Characters>1102</Characters>
  <Lines>3</Lines>
  <Paragraphs>1</Paragraphs>
  <TotalTime>2</TotalTime>
  <ScaleCrop>false</ScaleCrop>
  <LinksUpToDate>false</LinksUpToDate>
  <CharactersWithSpaces>1108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ALIENWARE</cp:lastModifiedBy>
  <dcterms:modified xsi:type="dcterms:W3CDTF">2026-09-11T04:27:33Z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eyJoZGlkIjoiZGNjZWNhMjVkMThkZjQ0MzkwYWRhZGU5ZWRiODkxOGUifQ==</vt:lpwstr>
  </property>
  <property fmtid="{D5CDD505-2E9C-101B-9397-08002B2CF9AE}" pid="4" name="ICV">
    <vt:lpwstr>52233A76A5AB4344A96C8479A0FFAB98_13</vt:lpwstr>
  </property>
</Properties>
</file>