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“***”软件系统的需求构思及描述</w:t>
      </w:r>
    </w:p>
    <w:p w14:paraId="2A7EE9A9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背景介绍</w:t>
      </w:r>
    </w:p>
    <w:p w14:paraId="61D6B921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介绍与本软件系统相关的应用领域及背景。</w:t>
      </w:r>
    </w:p>
    <w:p w14:paraId="058924CC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欲解决问题</w:t>
      </w:r>
    </w:p>
    <w:p w14:paraId="7955589C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阐明</w:t>
      </w:r>
      <w:r>
        <w:rPr>
          <w:rFonts w:ascii="楷体" w:hAnsi="楷体" w:eastAsia="楷体" w:cs="楷体"/>
          <w:sz w:val="24"/>
          <w:szCs w:val="24"/>
        </w:rPr>
        <w:t>本软件</w:t>
      </w:r>
      <w:r>
        <w:rPr>
          <w:rFonts w:hint="eastAsia" w:ascii="楷体" w:hAnsi="楷体" w:eastAsia="楷体" w:cs="楷体"/>
          <w:sz w:val="24"/>
          <w:szCs w:val="24"/>
        </w:rPr>
        <w:t>系统试图</w:t>
      </w:r>
      <w:r>
        <w:rPr>
          <w:rFonts w:ascii="楷体" w:hAnsi="楷体" w:eastAsia="楷体" w:cs="楷体"/>
          <w:sz w:val="24"/>
          <w:szCs w:val="24"/>
        </w:rPr>
        <w:t>解决的</w:t>
      </w:r>
      <w:r>
        <w:rPr>
          <w:rFonts w:hint="eastAsia" w:ascii="楷体" w:hAnsi="楷体" w:eastAsia="楷体" w:cs="楷体"/>
          <w:sz w:val="24"/>
          <w:szCs w:val="24"/>
        </w:rPr>
        <w:t>应用</w:t>
      </w:r>
      <w:r>
        <w:rPr>
          <w:rFonts w:ascii="楷体" w:hAnsi="楷体" w:eastAsia="楷体" w:cs="楷体"/>
          <w:sz w:val="24"/>
          <w:szCs w:val="24"/>
        </w:rPr>
        <w:t>问题</w:t>
      </w:r>
      <w:r>
        <w:rPr>
          <w:rFonts w:hint="eastAsia" w:ascii="楷体" w:hAnsi="楷体" w:eastAsia="楷体" w:cs="楷体"/>
          <w:sz w:val="24"/>
          <w:szCs w:val="24"/>
        </w:rPr>
        <w:t>。</w:t>
      </w:r>
    </w:p>
    <w:p w14:paraId="5A3542D8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软件创意</w:t>
      </w:r>
    </w:p>
    <w:p w14:paraId="48524125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说明如何基于计算机软件并结合其他设备、系统和服务等来共同解决应用问题。</w:t>
      </w:r>
    </w:p>
    <w:p w14:paraId="29CA2108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竞品分析</w:t>
      </w:r>
    </w:p>
    <w:p w14:paraId="14116BBA">
      <w:pPr>
        <w:ind w:left="420"/>
        <w:rPr>
          <w:rFonts w:hint="eastAsia"/>
        </w:rPr>
      </w:pPr>
      <w:r>
        <w:rPr>
          <w:rFonts w:hint="eastAsia" w:ascii="楷体" w:hAnsi="楷体" w:eastAsia="楷体" w:cs="楷体"/>
          <w:sz w:val="24"/>
          <w:szCs w:val="24"/>
        </w:rPr>
        <w:t>分析相似产品的特点及不足，以佐证本产品的价值。</w:t>
      </w:r>
    </w:p>
    <w:p w14:paraId="1699F8C4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系统的组成和部署</w:t>
      </w:r>
    </w:p>
    <w:p w14:paraId="2BE94641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介绍系统由哪些要素（包括计算机软件、其他设备、服务和系统等）组成，这些要素间的相互关系，如何</w:t>
      </w:r>
      <w:r>
        <w:rPr>
          <w:rFonts w:ascii="楷体" w:hAnsi="楷体" w:eastAsia="楷体" w:cs="楷体"/>
          <w:sz w:val="24"/>
          <w:szCs w:val="24"/>
        </w:rPr>
        <w:t>部署</w:t>
      </w:r>
      <w:r>
        <w:rPr>
          <w:rFonts w:hint="eastAsia" w:ascii="楷体" w:hAnsi="楷体" w:eastAsia="楷体" w:cs="楷体"/>
          <w:sz w:val="24"/>
          <w:szCs w:val="24"/>
        </w:rPr>
        <w:t>这些系统要素，它们需要依赖哪些软硬件系统或者计算基础设施。</w:t>
      </w:r>
    </w:p>
    <w:p w14:paraId="16587F62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bCs w:val="0"/>
          <w:sz w:val="24"/>
          <w:szCs w:val="24"/>
        </w:rPr>
      </w:pPr>
      <w:bookmarkStart w:id="0" w:name="_Toc81982489"/>
      <w:r>
        <w:rPr>
          <w:rFonts w:ascii="微软雅黑" w:hAnsi="微软雅黑" w:eastAsia="微软雅黑"/>
          <w:sz w:val="24"/>
          <w:szCs w:val="24"/>
        </w:rPr>
        <w:t>软件功能需求描述</w:t>
      </w:r>
      <w:bookmarkEnd w:id="0"/>
    </w:p>
    <w:p w14:paraId="56693EBC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1" w:name="_Toc81982491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.1 </w:t>
      </w:r>
      <w:r>
        <w:rPr>
          <w:rFonts w:hint="eastAsia" w:ascii="微软雅黑" w:hAnsi="微软雅黑" w:eastAsia="微软雅黑"/>
          <w:sz w:val="24"/>
          <w:szCs w:val="24"/>
        </w:rPr>
        <w:t>软件功能概述</w:t>
      </w:r>
    </w:p>
    <w:p w14:paraId="46E821E5">
      <w:pPr>
        <w:pStyle w:val="10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72" w:beforeAutospacing="0" w:after="72" w:afterAutospacing="0" w:line="9" w:lineRule="atLeast"/>
        <w:ind w:left="0" w:right="0" w:firstLine="0"/>
        <w:rPr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本系统围绕"发布—检索—推荐—沟通—交易—评价—运营"全链路设计，共 8 项功能点，均不依赖地理位置服务。功能标识、描述、优先级与使用场景如下：</w:t>
      </w:r>
    </w:p>
    <w:tbl>
      <w:tblPr>
        <w:tblStyle w:val="12"/>
        <w:tblW w:w="10560" w:type="dxa"/>
        <w:tblCellSpacing w:w="15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1840"/>
        <w:gridCol w:w="4593"/>
        <w:gridCol w:w="770"/>
        <w:gridCol w:w="2637"/>
      </w:tblGrid>
      <w:tr w14:paraId="0748514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F3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20" w:lineRule="atLeast"/>
              <w:ind w:left="0" w:right="0" w:firstLine="0"/>
              <w:jc w:val="left"/>
              <w:rPr>
                <w:b/>
                <w:bCs/>
                <w:color w:val="171717"/>
              </w:rPr>
            </w:pPr>
            <w:r>
              <w:rPr>
                <w:rFonts w:ascii="宋体" w:hAnsi="宋体" w:eastAsia="宋体" w:cs="宋体"/>
                <w:b/>
                <w:bCs/>
                <w:color w:val="171717"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B4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20" w:lineRule="atLeast"/>
              <w:ind w:left="0" w:right="0" w:firstLine="0"/>
              <w:jc w:val="left"/>
              <w:rPr>
                <w:b/>
                <w:bCs/>
                <w:color w:val="171717"/>
              </w:rPr>
            </w:pPr>
            <w:r>
              <w:rPr>
                <w:rFonts w:ascii="宋体" w:hAnsi="宋体" w:eastAsia="宋体" w:cs="宋体"/>
                <w:b/>
                <w:bCs/>
                <w:color w:val="171717"/>
                <w:kern w:val="0"/>
                <w:sz w:val="24"/>
                <w:szCs w:val="24"/>
                <w:lang w:val="en-US" w:eastAsia="zh-CN" w:bidi="ar"/>
              </w:rPr>
              <w:t>功能标识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67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20" w:lineRule="atLeast"/>
              <w:ind w:left="0" w:right="0" w:firstLine="0"/>
              <w:jc w:val="left"/>
              <w:rPr>
                <w:b/>
                <w:bCs/>
                <w:color w:val="171717"/>
              </w:rPr>
            </w:pPr>
            <w:r>
              <w:rPr>
                <w:rFonts w:ascii="宋体" w:hAnsi="宋体" w:eastAsia="宋体" w:cs="宋体"/>
                <w:b/>
                <w:bCs/>
                <w:color w:val="171717"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DEA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20" w:lineRule="atLeast"/>
              <w:ind w:left="0" w:right="0" w:firstLine="0"/>
              <w:jc w:val="left"/>
              <w:rPr>
                <w:b/>
                <w:bCs/>
                <w:color w:val="171717"/>
              </w:rPr>
            </w:pPr>
            <w:r>
              <w:rPr>
                <w:rFonts w:ascii="宋体" w:hAnsi="宋体" w:eastAsia="宋体" w:cs="宋体"/>
                <w:b/>
                <w:bCs/>
                <w:color w:val="171717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AB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20" w:lineRule="atLeast"/>
              <w:ind w:left="0" w:right="0" w:firstLine="0"/>
              <w:jc w:val="left"/>
              <w:rPr>
                <w:b/>
                <w:bCs/>
                <w:color w:val="171717"/>
              </w:rPr>
            </w:pPr>
            <w:r>
              <w:rPr>
                <w:rFonts w:ascii="宋体" w:hAnsi="宋体" w:eastAsia="宋体" w:cs="宋体"/>
                <w:b/>
                <w:bCs/>
                <w:color w:val="171717"/>
                <w:kern w:val="0"/>
                <w:sz w:val="24"/>
                <w:szCs w:val="24"/>
                <w:lang w:val="en-US" w:eastAsia="zh-CN" w:bidi="ar"/>
              </w:rPr>
              <w:t>典型使用场景</w:t>
            </w:r>
          </w:p>
        </w:tc>
      </w:tr>
      <w:tr w14:paraId="043E55F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90A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F1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3A3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物品发布与全生命周期管理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6649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卖家多图上传、类目选择（教材/数码/生活等），支持编辑、下架、重新上架、标记已售，覆盖物品从发布到下架的完整状态流转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E69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26E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毕业季学长批量上架教材；卖家临时下架待售商品</w:t>
            </w:r>
          </w:p>
        </w:tc>
      </w:tr>
      <w:tr w14:paraId="6EE30BF8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96CD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F2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7BF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高性能全文检索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E476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基于 Elasticsearch，对标题/描述多关键词模糊匹配，支持拼音、同义词扩展，毫秒级返回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F18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902A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买家搜索"高数"自动匹配"高等数学"；搜"二手自行车"命中描述含"单车"的商品</w:t>
            </w:r>
          </w:p>
        </w:tc>
      </w:tr>
      <w:tr w14:paraId="02E23CD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75B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F3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570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个性化推荐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F09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基于用户协同过滤（行为相似度），在首页为用户推荐可能感兴趣的商品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2CF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0D5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大三学生浏览过考研教材，首页推荐同类备考资料</w:t>
            </w:r>
          </w:p>
        </w:tc>
      </w:tr>
      <w:tr w14:paraId="01CA775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2159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F4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AF1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多维度筛选与排序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0F80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按价格区间、发布时间、热度（浏览量/收藏量）筛选排序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63E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44C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买家按价格升序找 50 元以下生活用品；按热度找全校爆款</w:t>
            </w:r>
          </w:p>
        </w:tc>
      </w:tr>
      <w:tr w14:paraId="54FED23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AC2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F5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536E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WebSocket 即时通讯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10B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买卖双方在线聊天、发送图片、在线议价，长连接实时推送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863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8D8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买家就"英语词典"价格与卖家实时议价并要求看清书页</w:t>
            </w:r>
          </w:p>
        </w:tc>
      </w:tr>
      <w:tr w14:paraId="4E0D1E0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C8E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F6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51E4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双向信用评价与积分体系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81E8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交易后买卖双方互评（好评/中评/差评+评语），信用积分影响商品曝光权重，违规用户降权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873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D96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买家收到货后给卖家好评；系统对刷单用户自动降权</w:t>
            </w:r>
          </w:p>
        </w:tc>
      </w:tr>
      <w:tr w14:paraId="02C5BAE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18D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F7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C88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站内热度榜单与趋势分析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3BE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基于点击量、收藏量、交易量统计，展示今日/本周最热、飙升榜及各分类热榜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4F0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77A7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新生开学查"本周最热数码榜"了解校园流行趋势</w:t>
            </w:r>
          </w:p>
        </w:tc>
      </w:tr>
      <w:tr w14:paraId="2D4A6A9C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nil"/>
              <w:right w:val="single" w:color="E5E7EB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5DD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F8</w:t>
            </w:r>
          </w:p>
        </w:tc>
        <w:tc>
          <w:tcPr>
            <w:tcW w:w="0" w:type="auto"/>
            <w:tcBorders>
              <w:top w:val="single" w:color="E5E7EB" w:sz="2" w:space="0"/>
              <w:bottom w:val="nil"/>
              <w:right w:val="single" w:color="E5E7EB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5C7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后台管理与数据面板</w:t>
            </w:r>
          </w:p>
        </w:tc>
        <w:tc>
          <w:tcPr>
            <w:tcW w:w="0" w:type="auto"/>
            <w:tcBorders>
              <w:top w:val="single" w:color="E5E7EB" w:sz="2" w:space="0"/>
              <w:bottom w:val="nil"/>
              <w:right w:val="single" w:color="E5E7EB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A21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类目管理、违规审核、敏感词过滤（DFA 算法），统计日活/成交率等运营指标</w:t>
            </w:r>
          </w:p>
        </w:tc>
        <w:tc>
          <w:tcPr>
            <w:tcW w:w="0" w:type="auto"/>
            <w:tcBorders>
              <w:top w:val="single" w:color="E5E7EB" w:sz="2" w:space="0"/>
              <w:bottom w:val="nil"/>
              <w:right w:val="single" w:color="E5E7EB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4D3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E5E7EB" w:sz="2" w:space="0"/>
              <w:bottom w:val="nil"/>
              <w:right w:val="single" w:color="E5E7EB" w:sz="2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EEE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lang w:val="en-US" w:eastAsia="zh-CN" w:bidi="ar"/>
              </w:rPr>
              <w:t>管理员审核举报商品；运营查看当日成交转化率</w:t>
            </w:r>
          </w:p>
        </w:tc>
      </w:tr>
    </w:tbl>
    <w:p w14:paraId="1CF3208F">
      <w:pPr>
        <w:pStyle w:val="10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72" w:beforeAutospacing="0" w:after="72" w:afterAutospacing="0" w:line="9" w:lineRule="atLeast"/>
        <w:ind w:left="0" w:right="0" w:firstLine="0"/>
        <w:rPr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</w:rPr>
      </w:pPr>
      <w:r>
        <w:rPr>
          <w:rStyle w:val="15"/>
          <w:rFonts w:hint="default" w:ascii="Segoe UI" w:hAnsi="Segoe UI" w:eastAsia="Segoe UI" w:cs="Segoe UI"/>
          <w:b/>
          <w:bCs/>
          <w:caps w:val="0"/>
          <w:color w:val="17181A"/>
          <w:spacing w:val="0"/>
          <w:sz w:val="21"/>
          <w:szCs w:val="21"/>
          <w:bdr w:val="single" w:color="E5E7EB" w:sz="2" w:space="0"/>
          <w:shd w:val="clear" w:fill="FFFFFF"/>
        </w:rPr>
        <w:t>优先级说明</w:t>
      </w:r>
      <w:r>
        <w:rPr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：高优先级（F1、F2、F4、F5、F6）构成系统核心交易闭环与信任基础，为 MVP 必交付项；中优先级（F3、F7、F8）为增强体验与运营能力，可分期迭代。</w:t>
      </w:r>
    </w:p>
    <w:p w14:paraId="622E7720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.2 </w:t>
      </w:r>
      <w:r>
        <w:rPr>
          <w:rFonts w:hint="eastAsia" w:ascii="微软雅黑" w:hAnsi="微软雅黑" w:eastAsia="微软雅黑"/>
          <w:sz w:val="24"/>
          <w:szCs w:val="24"/>
        </w:rPr>
        <w:t>软件需求的用例模型</w:t>
      </w:r>
      <w:bookmarkEnd w:id="1"/>
    </w:p>
    <w:p w14:paraId="05385D6C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系统涉及三类参与者：</w:t>
      </w: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17181A"/>
          <w:spacing w:val="0"/>
          <w:sz w:val="21"/>
          <w:szCs w:val="21"/>
          <w:bdr w:val="single" w:color="E5E7EB" w:sz="2" w:space="0"/>
          <w:shd w:val="clear" w:fill="FFFFFF"/>
        </w:rPr>
        <w:t>买家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、</w:t>
      </w: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17181A"/>
          <w:spacing w:val="0"/>
          <w:sz w:val="21"/>
          <w:szCs w:val="21"/>
          <w:bdr w:val="single" w:color="E5E7EB" w:sz="2" w:space="0"/>
          <w:shd w:val="clear" w:fill="FFFFFF"/>
        </w:rPr>
        <w:t>卖家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（校园实名认证用户，可兼任买卖双方）、</w:t>
      </w: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17181A"/>
          <w:spacing w:val="0"/>
          <w:sz w:val="21"/>
          <w:szCs w:val="21"/>
          <w:bdr w:val="single" w:color="E5E7EB" w:sz="2" w:space="0"/>
          <w:shd w:val="clear" w:fill="FFFFFF"/>
        </w:rPr>
        <w:t>管理员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。下图给出系统总体用例图，</w:t>
      </w:r>
    </w:p>
    <w:p w14:paraId="23B2556F">
      <w:pPr>
        <w:ind w:firstLine="42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drawing>
          <wp:inline distT="0" distB="0" distL="114300" distR="114300">
            <wp:extent cx="5273040" cy="2527300"/>
            <wp:effectExtent l="0" t="0" r="0" b="2540"/>
            <wp:docPr id="4" name="图片 4" descr="c552488e1554d4fb45be484b282ee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552488e1554d4fb45be484b282ee23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F653">
      <w:pPr>
        <w:ind w:firstLine="42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6 个核心实体类构成领域骨干。</w:t>
      </w:r>
      <w:r>
        <w:rPr>
          <w:rStyle w:val="17"/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User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（用户，含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creditScore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信用分）与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Item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（商品，含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viewCount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/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favCount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热度统计与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生命周期字段）以"发布 1..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"关联；</w:t>
      </w:r>
      <w:r>
        <w:rPr>
          <w:rStyle w:val="17"/>
          <w:rFonts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Item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经"交易"产生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Order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（订单记录买卖双方与成交价）；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ChatSession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（会话）关联 1 个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Item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与 2 个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User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（买卖双方），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Message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属于会话；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Order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完成 1..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CreditReview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（评价，含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rating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与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reviewerId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）。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Item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为领域核心类（品牌色），承载关键操作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publish()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、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offShelf()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。</w:t>
      </w:r>
    </w:p>
    <w:p w14:paraId="4E708282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</w:p>
    <w:p w14:paraId="41864B6A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2" w:name="_Toc81982492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.3 </w:t>
      </w:r>
      <w:r>
        <w:rPr>
          <w:rFonts w:hint="eastAsia" w:ascii="微软雅黑" w:hAnsi="微软雅黑" w:eastAsia="微软雅黑"/>
          <w:sz w:val="24"/>
          <w:szCs w:val="24"/>
        </w:rPr>
        <w:t>软件需求的分析模型</w:t>
      </w:r>
      <w:bookmarkEnd w:id="2"/>
    </w:p>
    <w:p w14:paraId="6C3C4E5B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Style w:val="15"/>
          <w:rFonts w:ascii="Segoe UI" w:hAnsi="Segoe UI" w:eastAsia="Segoe UI" w:cs="Segoe UI"/>
          <w:b/>
          <w:bCs/>
          <w:i w:val="0"/>
          <w:iCs w:val="0"/>
          <w:caps w:val="0"/>
          <w:color w:val="17181A"/>
          <w:spacing w:val="0"/>
          <w:sz w:val="21"/>
          <w:szCs w:val="21"/>
          <w:bdr w:val="single" w:color="E5E7EB" w:sz="2" w:space="0"/>
          <w:shd w:val="clear" w:fill="FFFFFF"/>
        </w:rPr>
        <w:t>顺序图：买卖双方即时通讯议价流程</w:t>
      </w:r>
    </w:p>
    <w:p w14:paraId="64AF5C1C">
      <w:pPr>
        <w:ind w:firstLine="420"/>
        <w:jc w:val="left"/>
      </w:pPr>
      <w:r>
        <w:drawing>
          <wp:inline distT="0" distB="0" distL="114300" distR="114300">
            <wp:extent cx="5265420" cy="3649345"/>
            <wp:effectExtent l="0" t="0" r="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4CFA">
      <w:pPr>
        <w:ind w:firstLine="42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以 WebSocket 即时通讯议价为例，揭示"会话建立（HTTP 握手获取凭证）→ 长连接建立 → 双向消息推送 → 持久化"的时序，突出 WebSocket 服务的长连接激活期与实时推送特性。</w:t>
      </w:r>
    </w:p>
    <w:p w14:paraId="74ED9CF8">
      <w:pPr>
        <w:ind w:firstLine="420"/>
        <w:jc w:val="left"/>
      </w:pPr>
    </w:p>
    <w:p w14:paraId="36AAAB31">
      <w:pPr>
        <w:ind w:firstLine="42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系统分析类图，展示 6 个核心实体类的属性与关联关系。**Item（商品）**为领域核心类（品牌色高亮），承载全生命周期状态与热度统计字段。</w:t>
      </w:r>
    </w:p>
    <w:p w14:paraId="22FA154B">
      <w:pPr>
        <w:ind w:firstLine="420"/>
        <w:jc w:val="left"/>
      </w:pPr>
      <w:r>
        <w:drawing>
          <wp:inline distT="0" distB="0" distL="114300" distR="114300">
            <wp:extent cx="5264785" cy="3366770"/>
            <wp:effectExtent l="0" t="0" r="635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AC72">
      <w:pPr>
        <w:ind w:firstLine="420"/>
        <w:jc w:val="left"/>
      </w:pPr>
      <w:r>
        <w:drawing>
          <wp:inline distT="0" distB="0" distL="114300" distR="114300">
            <wp:extent cx="5261610" cy="2643505"/>
            <wp:effectExtent l="0" t="0" r="3810" b="6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22DD">
      <w:pPr>
        <w:ind w:firstLine="420"/>
        <w:jc w:val="left"/>
      </w:pPr>
      <w:r>
        <w:rPr>
          <w:rStyle w:val="17"/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Item</w:t>
      </w: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生命周期包含 5 个状态——草稿→在售（核心活跃态）↔已下架→违规下架；在售可迁移至已售（终态）或违规下架（终态）。关键迁移触发事件为：发布（敏感词 DFA 校验通过）、卖家下架、重新上架、标记已售/成交、管理员审核违规。</w:t>
      </w:r>
    </w:p>
    <w:p w14:paraId="2F41D94A">
      <w:pPr>
        <w:ind w:firstLine="420"/>
        <w:jc w:val="left"/>
        <w:rPr>
          <w:rFonts w:hint="eastAsia"/>
        </w:rPr>
      </w:pPr>
    </w:p>
    <w:p w14:paraId="6E304B9D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可行性及潜在风险</w:t>
      </w:r>
    </w:p>
    <w:p w14:paraId="21119E58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bookmarkStart w:id="3" w:name="_GoBack"/>
      <w:bookmarkEnd w:id="3"/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作为校园实验项目，技术、条件、规模可行性均较高，时间偏紧但可分期缓解。主要风险集中在 ES 内存与 WebSocket 调试，均有降级预案，整体可行。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E7330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D6BD5"/>
    <w:rsid w:val="006F246B"/>
    <w:rsid w:val="00832401"/>
    <w:rsid w:val="00835BA5"/>
    <w:rsid w:val="008409AA"/>
    <w:rsid w:val="008951FA"/>
    <w:rsid w:val="008C3A99"/>
    <w:rsid w:val="0092673D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340FC"/>
    <w:rsid w:val="00E85078"/>
    <w:rsid w:val="00EB4961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EAB3259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58F3A9E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9"/>
    <w:unhideWhenUsed/>
    <w:qFormat/>
    <w:uiPriority w:val="99"/>
    <w:pPr>
      <w:jc w:val="left"/>
    </w:pPr>
  </w:style>
  <w:style w:type="paragraph" w:styleId="6">
    <w:name w:val="Balloon Text"/>
    <w:basedOn w:val="1"/>
    <w:link w:val="21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Normal (Web)"/>
    <w:basedOn w:val="1"/>
    <w:semiHidden/>
    <w:unhideWhenUsed/>
    <w:qFormat/>
    <w:uiPriority w:val="99"/>
    <w:rPr>
      <w:sz w:val="24"/>
    </w:rPr>
  </w:style>
  <w:style w:type="paragraph" w:styleId="11">
    <w:name w:val="annotation subject"/>
    <w:basedOn w:val="5"/>
    <w:next w:val="5"/>
    <w:link w:val="20"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Emphasis"/>
    <w:basedOn w:val="14"/>
    <w:qFormat/>
    <w:uiPriority w:val="20"/>
    <w:rPr>
      <w:i/>
    </w:rPr>
  </w:style>
  <w:style w:type="character" w:styleId="17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styleId="18">
    <w:name w:val="annotation reference"/>
    <w:basedOn w:val="14"/>
    <w:unhideWhenUsed/>
    <w:qFormat/>
    <w:uiPriority w:val="99"/>
    <w:rPr>
      <w:sz w:val="21"/>
      <w:szCs w:val="21"/>
    </w:rPr>
  </w:style>
  <w:style w:type="character" w:customStyle="1" w:styleId="19">
    <w:name w:val="批注文字 字符"/>
    <w:basedOn w:val="14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0">
    <w:name w:val="批注主题 字符"/>
    <w:basedOn w:val="19"/>
    <w:link w:val="11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21">
    <w:name w:val="批注框文本 字符"/>
    <w:basedOn w:val="14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2">
    <w:name w:val="列出段落1"/>
    <w:basedOn w:val="1"/>
    <w:qFormat/>
    <w:uiPriority w:val="99"/>
    <w:pPr>
      <w:ind w:firstLine="420" w:firstLineChars="200"/>
    </w:pPr>
  </w:style>
  <w:style w:type="character" w:customStyle="1" w:styleId="23">
    <w:name w:val="标题 2 字符"/>
    <w:basedOn w:val="14"/>
    <w:link w:val="3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4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5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6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7">
    <w:name w:val="标题 3 字符"/>
    <w:basedOn w:val="14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8">
    <w:name w:val="页眉 字符"/>
    <w:basedOn w:val="14"/>
    <w:link w:val="8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9">
    <w:name w:val="页脚 字符"/>
    <w:basedOn w:val="14"/>
    <w:link w:val="7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30">
    <w:name w:val="正文2"/>
    <w:basedOn w:val="1"/>
    <w:uiPriority w:val="0"/>
    <w:pPr>
      <w:adjustRightInd w:val="0"/>
      <w:spacing w:line="520" w:lineRule="atLeast"/>
      <w:ind w:left="480" w:firstLine="360"/>
    </w:pPr>
    <w:rPr>
      <w:rFonts w:ascii="Times New Roman" w:hAnsi="Times New Roman" w:eastAsia="楷体_GB2312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635</Words>
  <Characters>783</Characters>
  <Lines>3</Lines>
  <Paragraphs>1</Paragraphs>
  <TotalTime>0</TotalTime>
  <ScaleCrop>false</ScaleCrop>
  <LinksUpToDate>false</LinksUpToDate>
  <CharactersWithSpaces>823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ALIENWARE</cp:lastModifiedBy>
  <dcterms:modified xsi:type="dcterms:W3CDTF">2026-09-11T04:32:32Z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eyJoZGlkIjoiZGNjZWNhMjVkMThkZjQ0MzkwYWRhZGU5ZWRiODkxOGUifQ==</vt:lpwstr>
  </property>
  <property fmtid="{D5CDD505-2E9C-101B-9397-08002B2CF9AE}" pid="4" name="ICV">
    <vt:lpwstr>5FE4738424094E53B17FE0EB0979B174_13</vt:lpwstr>
  </property>
</Properties>
</file>