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ind w:firstLine="560" w:firstLineChars="200"/>
        <w:textAlignment w:val="auto"/>
      </w:pPr>
      <w:r>
        <w:rPr>
          <w:lang w:val="en-US" w:eastAsia="zh-CN"/>
        </w:rPr>
        <w:t>节选其中第三部分“数据质量控制说明”的内容</w:t>
      </w:r>
    </w:p>
    <w:p>
      <w:pPr>
        <w:keepNext w:val="0"/>
        <w:keepLines w:val="0"/>
        <w:pageBreakBefore w:val="0"/>
        <w:widowControl w:val="0"/>
        <w:kinsoku/>
        <w:wordWrap/>
        <w:overflowPunct/>
        <w:topLinePunct w:val="0"/>
        <w:autoSpaceDE/>
        <w:autoSpaceDN/>
        <w:bidi w:val="0"/>
        <w:adjustRightInd/>
        <w:snapToGrid/>
        <w:ind w:firstLine="560" w:firstLineChars="200"/>
        <w:textAlignment w:val="auto"/>
      </w:pPr>
      <w:r>
        <w:rPr>
          <w:lang w:val="en-US" w:eastAsia="zh-CN"/>
        </w:rPr>
        <w:t>本研究中所使用的材料腐蚀失效测试平台为实验室自主搭建而成</w:t>
      </w:r>
      <w:r>
        <w:rPr>
          <w:rFonts w:hint="eastAsia"/>
          <w:lang w:val="en-US" w:eastAsia="zh-CN"/>
        </w:rPr>
        <w:t>，</w:t>
      </w:r>
      <w:r>
        <w:rPr>
          <w:lang w:val="en-US" w:eastAsia="zh-CN"/>
        </w:rPr>
        <w:t>所研究的各个环境参数、载荷参数均配备相应的测量和控制系统。相关测量所用仪器、仪表和传感器均定期进行检定和校准，满足相应的高精度测量需求。</w:t>
      </w:r>
    </w:p>
    <w:p>
      <w:pPr>
        <w:pStyle w:val="2"/>
        <w:bidi w:val="0"/>
      </w:pPr>
      <w:r>
        <w:rPr>
          <w:rFonts w:hint="eastAsia"/>
        </w:rPr>
        <w:t xml:space="preserve">均匀腐蚀增重测试系统 </w:t>
      </w:r>
    </w:p>
    <w:p>
      <w:pPr>
        <w:pStyle w:val="3"/>
        <w:bidi w:val="0"/>
        <w:rPr>
          <w:rFonts w:hint="eastAsia"/>
        </w:rPr>
      </w:pPr>
      <w:r>
        <w:rPr>
          <w:rFonts w:hint="eastAsia"/>
        </w:rPr>
        <w:t xml:space="preserve">样品制备及处理的质量控制： </w:t>
      </w:r>
    </w:p>
    <w:p>
      <w:pPr>
        <w:numPr>
          <w:ilvl w:val="0"/>
          <w:numId w:val="3"/>
        </w:numPr>
        <w:bidi w:val="0"/>
        <w:ind w:left="420" w:leftChars="0" w:hanging="420" w:firstLineChars="0"/>
        <w:rPr>
          <w:rFonts w:hint="eastAsia"/>
        </w:rPr>
      </w:pPr>
      <w:r>
        <w:rPr>
          <w:rFonts w:hint="eastAsia"/>
        </w:rPr>
        <w:t xml:space="preserve">样品加工：均匀腐蚀所用样品为挂片试样，根据测试需求，其表面使用不同目数的碳化硅砂纸进行机械打磨抛光，使用设备为蔚仪生产的MoPao160E金相试样磨抛机进行打磨抛光。 </w:t>
      </w:r>
    </w:p>
    <w:p>
      <w:pPr>
        <w:numPr>
          <w:ilvl w:val="0"/>
          <w:numId w:val="3"/>
        </w:numPr>
        <w:bidi w:val="0"/>
        <w:ind w:left="420" w:leftChars="0" w:hanging="420" w:firstLineChars="0"/>
        <w:rPr>
          <w:rFonts w:hint="eastAsia"/>
        </w:rPr>
      </w:pPr>
      <w:r>
        <w:rPr>
          <w:rFonts w:hint="eastAsia"/>
        </w:rPr>
        <w:t xml:space="preserve">尺寸与重量测量：样品在均匀腐蚀测试前使用游标卡尺进行表面尺寸测量并计算表面积，所用数显式游标卡尺的精度为0.01 mm；在测试前后使用LiCHEN FA2204电子天平进行称重，天平精度为0.01 mg，且定期进行检定。 </w:t>
      </w:r>
    </w:p>
    <w:p>
      <w:pPr>
        <w:numPr>
          <w:ilvl w:val="0"/>
          <w:numId w:val="3"/>
        </w:numPr>
        <w:bidi w:val="0"/>
        <w:ind w:left="420" w:leftChars="0" w:hanging="420" w:firstLineChars="0"/>
        <w:rPr>
          <w:rFonts w:hint="eastAsia"/>
        </w:rPr>
      </w:pPr>
      <w:r>
        <w:rPr>
          <w:rFonts w:hint="eastAsia"/>
        </w:rPr>
        <w:t xml:space="preserve">测量数据重复性：对样品的尺寸和重量测量过程中均进行3次测量取平均，以减小测量误差；在同批次的腐蚀增重测试过程中，使用的平行样品3~5个。 </w:t>
      </w:r>
    </w:p>
    <w:p>
      <w:pPr>
        <w:numPr>
          <w:ilvl w:val="0"/>
          <w:numId w:val="3"/>
        </w:numPr>
        <w:bidi w:val="0"/>
        <w:ind w:left="420" w:leftChars="0" w:hanging="420" w:firstLineChars="0"/>
        <w:rPr>
          <w:rFonts w:hint="eastAsia"/>
        </w:rPr>
      </w:pPr>
      <w:r>
        <w:rPr>
          <w:rFonts w:hint="eastAsia"/>
        </w:rPr>
        <w:t xml:space="preserve">其他：样品在测试前后和称重前均经过超纯水、酒精的超声清洗并干燥，以去除表面残留的灰尘和杂质。 </w:t>
      </w:r>
    </w:p>
    <w:p>
      <w:pPr>
        <w:pStyle w:val="3"/>
        <w:bidi w:val="0"/>
        <w:rPr>
          <w:rFonts w:hint="eastAsia"/>
        </w:rPr>
      </w:pPr>
      <w:r>
        <w:rPr>
          <w:rFonts w:hint="eastAsia"/>
        </w:rPr>
        <w:t xml:space="preserve">水化学参数的测量与控制： </w:t>
      </w:r>
    </w:p>
    <w:p>
      <w:pPr>
        <w:numPr>
          <w:ilvl w:val="0"/>
          <w:numId w:val="4"/>
        </w:numPr>
        <w:bidi w:val="0"/>
        <w:ind w:left="420" w:leftChars="0" w:hanging="420" w:firstLineChars="0"/>
        <w:rPr>
          <w:rFonts w:hint="eastAsia"/>
        </w:rPr>
      </w:pPr>
      <w:r>
        <w:rPr>
          <w:rFonts w:hint="eastAsia"/>
        </w:rPr>
        <w:t xml:space="preserve">水化学参数主要包括工质温度、压力、溶解氧及离子浓度（或pH）。水化学参数的测量与控制由实验室自主搭建的的水回路系统实现，各参数的测控方法如下： </w:t>
      </w:r>
    </w:p>
    <w:p>
      <w:pPr>
        <w:numPr>
          <w:ilvl w:val="0"/>
          <w:numId w:val="4"/>
        </w:numPr>
        <w:bidi w:val="0"/>
        <w:ind w:left="420" w:leftChars="0" w:hanging="420" w:firstLineChars="0"/>
        <w:rPr>
          <w:rFonts w:hint="eastAsia"/>
        </w:rPr>
      </w:pPr>
      <w:r>
        <w:rPr>
          <w:rFonts w:hint="eastAsia"/>
        </w:rPr>
        <w:t xml:space="preserve">釜内温度：使用2-3个K型热电偶对高压釜（反应釜）的内部温度进行测量，使用多个镍铬丝加热圈对高压釜进行分段加热以保证内部温度均匀，测量和控制所用仪表为宇电生产的AI-518型温度控制器（可调精度0.1 ℃）。温度测控系统最终可实现测试样品所在均温区的温度可调范围为25~650 ℃，测试过程中温度与设定值的误差为±0.2 ℃。 </w:t>
      </w:r>
    </w:p>
    <w:p>
      <w:pPr>
        <w:numPr>
          <w:ilvl w:val="0"/>
          <w:numId w:val="4"/>
        </w:numPr>
        <w:bidi w:val="0"/>
        <w:ind w:left="420" w:leftChars="0" w:hanging="420" w:firstLineChars="0"/>
        <w:rPr>
          <w:rFonts w:hint="eastAsia"/>
        </w:rPr>
      </w:pPr>
      <w:r>
        <w:rPr>
          <w:rFonts w:hint="eastAsia"/>
        </w:rPr>
        <w:t xml:space="preserve">釜内压力：压力的检测包含机械式仪表和电子式压力传感器两套系统，所用仪表包括GT-lok，LF-lok等生产的压力表及压力传感器，根据应用环节，其量程有0.00~0.60 MPa，0.0~25.0 MPa，0.0~40.0 MPa等多种型号。系统压力通过背压阀和高压泵进行控制和调节，测试过程中釜内压力与设定值的误差在0.2 MPa以内。 </w:t>
      </w:r>
    </w:p>
    <w:p>
      <w:pPr>
        <w:numPr>
          <w:ilvl w:val="0"/>
          <w:numId w:val="4"/>
        </w:numPr>
        <w:bidi w:val="0"/>
        <w:ind w:left="420" w:leftChars="0" w:hanging="420" w:firstLineChars="0"/>
        <w:rPr>
          <w:rFonts w:hint="eastAsia"/>
        </w:rPr>
      </w:pPr>
      <w:r>
        <w:rPr>
          <w:rFonts w:hint="eastAsia"/>
        </w:rPr>
        <w:t xml:space="preserve">溶解氧：溶解氧的测量通过Hanic 144系列溶氧表实现，测量范围0.1~40000.0 ppb (mg/kg)，仪表及其探头每6~12个月进行检定和校准。溶解氧的调控由七星EX700系列气体质量流量计实现，可调范围0.5~100 cc/min，气体流量计调节进入水回路的氩气（99.95% Ar）、氧氩混合气（5% O2）的流量，从而实现对溶解气体的控制，测试过程中实测值与设定值的误差在5%以内。 </w:t>
      </w:r>
    </w:p>
    <w:p>
      <w:pPr>
        <w:numPr>
          <w:ilvl w:val="0"/>
          <w:numId w:val="4"/>
        </w:numPr>
        <w:bidi w:val="0"/>
        <w:ind w:left="420" w:leftChars="0" w:hanging="420" w:firstLineChars="0"/>
        <w:rPr>
          <w:rFonts w:hint="eastAsia"/>
        </w:rPr>
      </w:pPr>
      <w:r>
        <w:rPr>
          <w:rFonts w:hint="eastAsia"/>
        </w:rPr>
        <w:t xml:space="preserve">离子浓度：离子浓度的测量主要通过pH和电导率的测量实现，相关参数的测量工具为Hanic 144系列的pH计和电导率仪表，仪表及探头每6~12个月进行检定和校准。水回路的净化使用核级树脂实现，纯水工况的工质电导率控制在0.06 μS/cm以下，其他离子浓度的调节则根据实验需求，使用相应的分析纯（AR，99.7%）极试剂进行溶液配置。 </w:t>
      </w:r>
    </w:p>
    <w:p>
      <w:pPr>
        <w:pStyle w:val="2"/>
        <w:bidi w:val="0"/>
        <w:rPr>
          <w:rFonts w:hint="eastAsia"/>
        </w:rPr>
      </w:pPr>
      <w:r>
        <w:rPr>
          <w:rFonts w:hint="eastAsia"/>
        </w:rPr>
        <w:t xml:space="preserve">应力腐蚀裂纹扩展速率测试系统： </w:t>
      </w:r>
    </w:p>
    <w:p>
      <w:pPr>
        <w:pStyle w:val="3"/>
        <w:numPr>
          <w:numId w:val="5"/>
        </w:numPr>
        <w:bidi w:val="0"/>
        <w:rPr>
          <w:rFonts w:hint="eastAsia"/>
        </w:rPr>
      </w:pPr>
      <w:r>
        <w:rPr>
          <w:rFonts w:hint="eastAsia"/>
        </w:rPr>
        <w:t xml:space="preserve">样品制备及处理的质量控制： </w:t>
      </w:r>
    </w:p>
    <w:p>
      <w:pPr>
        <w:numPr>
          <w:ilvl w:val="0"/>
          <w:numId w:val="6"/>
        </w:numPr>
        <w:bidi w:val="0"/>
        <w:ind w:left="420" w:leftChars="0" w:hanging="420" w:firstLineChars="0"/>
        <w:rPr>
          <w:rFonts w:hint="eastAsia"/>
        </w:rPr>
      </w:pPr>
      <w:r>
        <w:rPr>
          <w:rFonts w:hint="eastAsia"/>
        </w:rPr>
        <w:t xml:space="preserve">样品加工：所用样品为0.5T紧凑拉伸试样（0.5T CT），样品表面经过机加工并打磨至相同粗糙度（Ra1.6）。 </w:t>
      </w:r>
    </w:p>
    <w:p>
      <w:pPr>
        <w:numPr>
          <w:ilvl w:val="0"/>
          <w:numId w:val="6"/>
        </w:numPr>
        <w:bidi w:val="0"/>
        <w:ind w:left="420" w:leftChars="0" w:hanging="420" w:firstLineChars="0"/>
        <w:rPr>
          <w:rFonts w:hint="eastAsia"/>
        </w:rPr>
      </w:pPr>
      <w:r>
        <w:rPr>
          <w:rFonts w:hint="eastAsia"/>
        </w:rPr>
        <w:t xml:space="preserve">尺寸测量：测试前按裂纹扩展测量的方法对试样的长、宽、厚、加载长及初始裂纹长度等尺寸进行测量，使用的数显式游标卡尺精度为0.01 mm，各尺寸均经过3次测量取平均减少测量误差。 </w:t>
      </w:r>
    </w:p>
    <w:p>
      <w:pPr>
        <w:pStyle w:val="3"/>
        <w:bidi w:val="0"/>
        <w:rPr>
          <w:rFonts w:hint="eastAsia"/>
        </w:rPr>
      </w:pPr>
      <w:r>
        <w:rPr>
          <w:rFonts w:hint="eastAsia"/>
        </w:rPr>
        <w:t xml:space="preserve">加载系统的质量控制： </w:t>
      </w:r>
    </w:p>
    <w:p>
      <w:pPr>
        <w:numPr>
          <w:numId w:val="0"/>
        </w:numPr>
        <w:bidi w:val="0"/>
        <w:ind w:leftChars="0" w:firstLine="560" w:firstLineChars="200"/>
        <w:rPr>
          <w:rFonts w:hint="eastAsia"/>
        </w:rPr>
      </w:pPr>
      <w:r>
        <w:rPr>
          <w:rFonts w:hint="eastAsia"/>
        </w:rPr>
        <w:t xml:space="preserve">由百若?（Bairoe/Cor-Force/）的拉伸机系统及其控制软件实现，载荷范围50 kN，精度0.1N。运动范围±40 mm，运动速率可调范围1×10-5~20 mm/min，位置精度0.0001 mm。 </w:t>
      </w:r>
    </w:p>
    <w:p>
      <w:pPr>
        <w:pStyle w:val="3"/>
        <w:bidi w:val="0"/>
        <w:rPr>
          <w:rFonts w:hint="eastAsia"/>
        </w:rPr>
      </w:pPr>
      <w:r>
        <w:rPr>
          <w:rFonts w:hint="eastAsia"/>
        </w:rPr>
        <w:t xml:space="preserve">裂纹长度监测系统： </w:t>
      </w:r>
    </w:p>
    <w:p>
      <w:pPr>
        <w:numPr>
          <w:numId w:val="0"/>
        </w:numPr>
        <w:bidi w:val="0"/>
        <w:ind w:leftChars="0" w:firstLine="560" w:firstLineChars="200"/>
        <w:rPr>
          <w:rFonts w:hint="eastAsia"/>
        </w:rPr>
      </w:pPr>
      <w:r>
        <w:rPr>
          <w:rFonts w:hint="eastAsia"/>
        </w:rPr>
        <w:t>裂纹长度由自主设计搭建的在线测量系统组成，测量原理为直流电压降方法（DCPD），测量系统主要包含安捷伦生产的的6611C可编程恒流电源、34420A高精度纳伏表、34970多通道转换器。系统可实现</w:t>
      </w:r>
      <w:r>
        <w:rPr>
          <w:rFonts w:hint="default" w:ascii="Times New Roman" w:hAnsi="Times New Roman" w:cs="Times New Roman"/>
        </w:rPr>
        <w:t xml:space="preserve">1 </w:t>
      </w:r>
      <w:r>
        <w:rPr>
          <w:rFonts w:hint="default" w:ascii="Times New Roman" w:hAnsi="Times New Roman" w:eastAsia="微软雅黑" w:cs="Times New Roman"/>
        </w:rPr>
        <w:t>μ</w:t>
      </w:r>
      <w:r>
        <w:rPr>
          <w:rFonts w:hint="default" w:ascii="Times New Roman" w:hAnsi="Times New Roman" w:cs="Times New Roman"/>
        </w:rPr>
        <w:t>m</w:t>
      </w:r>
      <w:r>
        <w:rPr>
          <w:rFonts w:hint="eastAsia"/>
        </w:rPr>
        <w:t>裂纹长度的测量，且在测试后将通过微观表征手段测量材料的实际裂纹长度并对裂纹扩展速率进行修正。</w:t>
      </w:r>
    </w:p>
    <w:p>
      <w:pPr>
        <w:numPr>
          <w:numId w:val="0"/>
        </w:numPr>
        <w:bidi w:val="0"/>
        <w:ind w:leftChars="0" w:firstLine="560" w:firstLineChars="200"/>
        <w:rPr>
          <w:rFonts w:hint="eastAsia"/>
        </w:rPr>
      </w:pPr>
      <w:r>
        <w:rPr>
          <w:rFonts w:hint="eastAsia"/>
        </w:rPr>
        <w:t xml:space="preserve">其他：该系统的水化学控制与均匀腐蚀增重测量一致。 </w:t>
      </w:r>
    </w:p>
    <w:p>
      <w:pPr>
        <w:pStyle w:val="2"/>
        <w:bidi w:val="0"/>
        <w:rPr>
          <w:rFonts w:hint="eastAsia"/>
        </w:rPr>
      </w:pPr>
      <w:r>
        <w:rPr>
          <w:rFonts w:hint="eastAsia"/>
        </w:rPr>
        <w:t xml:space="preserve">材料微观的表征分析 </w:t>
      </w:r>
    </w:p>
    <w:p>
      <w:pPr>
        <w:pStyle w:val="3"/>
        <w:numPr>
          <w:numId w:val="7"/>
        </w:numPr>
        <w:bidi w:val="0"/>
        <w:rPr>
          <w:rFonts w:hint="eastAsia"/>
        </w:rPr>
      </w:pPr>
      <w:r>
        <w:rPr>
          <w:rFonts w:hint="eastAsia"/>
        </w:rPr>
        <w:t>扫描电子显微镜SEM：</w:t>
      </w:r>
    </w:p>
    <w:p>
      <w:pPr>
        <w:bidi w:val="0"/>
        <w:ind w:firstLine="560" w:firstLineChars="200"/>
        <w:rPr>
          <w:rFonts w:hint="eastAsia"/>
        </w:rPr>
      </w:pPr>
      <w:r>
        <w:rPr>
          <w:rFonts w:hint="eastAsia"/>
        </w:rPr>
        <w:t xml:space="preserve">所用SEM设备包括捷克TESCAN公司生产的GAIA3、MIRA、RISE-MAGNA等扫描电子显微镜，二次电子扫描的最大分辨率0.7 nm，配备牛津仪器生产的能谱仪进行元素组成和分布的表征。 </w:t>
      </w:r>
    </w:p>
    <w:p>
      <w:pPr>
        <w:pStyle w:val="3"/>
        <w:bidi w:val="0"/>
        <w:rPr>
          <w:rFonts w:hint="eastAsia"/>
        </w:rPr>
      </w:pPr>
      <w:r>
        <w:rPr>
          <w:rFonts w:hint="eastAsia"/>
        </w:rPr>
        <w:t>透射电子显微镜TEM：</w:t>
      </w:r>
    </w:p>
    <w:p>
      <w:pPr>
        <w:bidi w:val="0"/>
        <w:ind w:firstLine="560" w:firstLineChars="200"/>
        <w:rPr>
          <w:rFonts w:hint="eastAsia"/>
        </w:rPr>
      </w:pPr>
      <w:r>
        <w:rPr>
          <w:rFonts w:hint="eastAsia"/>
        </w:rPr>
        <w:t xml:space="preserve">主要使用美国Thermo公司生产的Talos F200X G2场发射透射电镜，可进行TEM（分辨率0.12 nm），STEM（分辨率0.16 nm）分析，并配备能谱仪（分辨率136 eV）可进行元素组成、分布等特征的表征。 </w:t>
      </w:r>
    </w:p>
    <w:p>
      <w:pPr>
        <w:pStyle w:val="3"/>
        <w:bidi w:val="0"/>
        <w:rPr>
          <w:rFonts w:hint="eastAsia"/>
        </w:rPr>
      </w:pPr>
      <w:r>
        <w:rPr>
          <w:rFonts w:hint="eastAsia"/>
        </w:rPr>
        <w:t>其他：</w:t>
      </w:r>
    </w:p>
    <w:p>
      <w:pPr>
        <w:bidi w:val="0"/>
        <w:ind w:firstLine="560" w:firstLineChars="200"/>
        <w:rPr>
          <w:rFonts w:hint="eastAsia"/>
        </w:rPr>
      </w:pPr>
      <w:bookmarkStart w:id="0" w:name="_GoBack"/>
      <w:bookmarkEnd w:id="0"/>
      <w:r>
        <w:rPr>
          <w:rFonts w:hint="eastAsia"/>
        </w:rPr>
        <w:t xml:space="preserve">以上仪器均由上海交通大学分析测试中心运行维护，仪器及设备按标准定期进行检定。 </w:t>
      </w:r>
    </w:p>
    <w:p>
      <w:pPr>
        <w:rPr>
          <w:rFonts w:hint="default"/>
          <w:lang w:eastAsia="zh-CN"/>
        </w:rPr>
      </w:pPr>
    </w:p>
    <w:sectPr>
      <w:headerReference r:id="rId3" w:type="default"/>
      <w:pgSz w:w="11906" w:h="16838"/>
      <w:pgMar w:top="1440" w:right="1800" w:bottom="1440" w:left="1800" w:header="851" w:footer="992" w:gutter="0"/>
      <w:cols w:space="0" w:num="1"/>
      <w:rtlGutter w:val="0"/>
      <w:docGrid w:type="lines" w:linePitch="3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pict>
        <v:shape id="PowerPlusWaterMarkObject16866135" o:spid="_x0000_s2049" o:spt="136" type="#_x0000_t136" style="position:absolute;left:0pt;height:236.8pt;width:415.3pt;mso-position-horizontal:center;mso-position-horizontal-relative:margin;mso-position-vertical:center;mso-position-vertical-relative:margin;z-index:-251657216;mso-width-relative:page;mso-height-relative:page;" fillcolor="#C0C0C0" filled="t" stroked="f" coordsize="21600,21600" adj="10800">
          <v:path/>
          <v:fill on="t" opacity="32768f" focussize="0,0"/>
          <v:stroke on="f"/>
          <v:imagedata o:title=""/>
          <o:lock v:ext="edit" grouping="f" rotation="f" text="f" aspectratio="t"/>
          <v:textpath on="t" fitshape="t" fitpath="t" trim="t" xscale="f" string="样本" style="font-family:宋体;font-size:36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FD2AD0"/>
    <w:multiLevelType w:val="singleLevel"/>
    <w:tmpl w:val="80FD2AD0"/>
    <w:lvl w:ilvl="0" w:tentative="0">
      <w:start w:val="1"/>
      <w:numFmt w:val="bullet"/>
      <w:lvlText w:val=""/>
      <w:lvlJc w:val="left"/>
      <w:pPr>
        <w:ind w:left="420" w:hanging="420"/>
      </w:pPr>
      <w:rPr>
        <w:rFonts w:hint="default" w:ascii="Wingdings" w:hAnsi="Wingdings"/>
      </w:rPr>
    </w:lvl>
  </w:abstractNum>
  <w:abstractNum w:abstractNumId="1">
    <w:nsid w:val="BAD0A213"/>
    <w:multiLevelType w:val="singleLevel"/>
    <w:tmpl w:val="BAD0A213"/>
    <w:lvl w:ilvl="0" w:tentative="0">
      <w:start w:val="1"/>
      <w:numFmt w:val="bullet"/>
      <w:lvlText w:val=""/>
      <w:lvlJc w:val="left"/>
      <w:pPr>
        <w:ind w:left="420" w:hanging="420"/>
      </w:pPr>
      <w:rPr>
        <w:rFonts w:hint="default" w:ascii="Wingdings" w:hAnsi="Wingdings"/>
      </w:rPr>
    </w:lvl>
  </w:abstractNum>
  <w:abstractNum w:abstractNumId="2">
    <w:nsid w:val="2DBAFAA8"/>
    <w:multiLevelType w:val="singleLevel"/>
    <w:tmpl w:val="2DBAFAA8"/>
    <w:lvl w:ilvl="0" w:tentative="0">
      <w:start w:val="1"/>
      <w:numFmt w:val="chineseCounting"/>
      <w:pStyle w:val="2"/>
      <w:suff w:val="nothing"/>
      <w:lvlText w:val="%1、"/>
      <w:lvlJc w:val="left"/>
      <w:pPr>
        <w:ind w:left="0" w:firstLine="420"/>
      </w:pPr>
      <w:rPr>
        <w:rFonts w:hint="eastAsia"/>
      </w:rPr>
    </w:lvl>
  </w:abstractNum>
  <w:abstractNum w:abstractNumId="3">
    <w:nsid w:val="4EC9E69B"/>
    <w:multiLevelType w:val="singleLevel"/>
    <w:tmpl w:val="4EC9E69B"/>
    <w:lvl w:ilvl="0" w:tentative="0">
      <w:start w:val="1"/>
      <w:numFmt w:val="chineseCounting"/>
      <w:pStyle w:val="3"/>
      <w:suff w:val="nothing"/>
      <w:lvlText w:val="（%1）"/>
      <w:lvlJc w:val="left"/>
      <w:pPr>
        <w:ind w:left="0" w:firstLine="420"/>
      </w:pPr>
      <w:rPr>
        <w:rFonts w:hint="eastAsia"/>
      </w:rPr>
    </w:lvl>
  </w:abstractNum>
  <w:abstractNum w:abstractNumId="4">
    <w:nsid w:val="7C85E29F"/>
    <w:multiLevelType w:val="singleLevel"/>
    <w:tmpl w:val="7C85E29F"/>
    <w:lvl w:ilvl="0" w:tentative="0">
      <w:start w:val="1"/>
      <w:numFmt w:val="bullet"/>
      <w:lvlText w:val=""/>
      <w:lvlJc w:val="left"/>
      <w:pPr>
        <w:ind w:left="420" w:hanging="420"/>
      </w:pPr>
      <w:rPr>
        <w:rFonts w:hint="default" w:ascii="Wingdings" w:hAnsi="Wingdings"/>
      </w:rPr>
    </w:lvl>
  </w:abstractNum>
  <w:num w:numId="1">
    <w:abstractNumId w:val="2"/>
  </w:num>
  <w:num w:numId="2">
    <w:abstractNumId w:val="3"/>
  </w:num>
  <w:num w:numId="3">
    <w:abstractNumId w:val="4"/>
  </w:num>
  <w:num w:numId="4">
    <w:abstractNumId w:val="1"/>
  </w:num>
  <w:num w:numId="5">
    <w:abstractNumId w:val="3"/>
    <w:lvlOverride w:ilvl="0">
      <w:startOverride w:val="1"/>
    </w:lvlOverride>
  </w:num>
  <w:num w:numId="6">
    <w:abstractNumId w:val="0"/>
  </w:num>
  <w:num w:numId="7">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7"/>
  <w:embedSystemFonts/>
  <w:bordersDoNotSurroundHeader w:val="0"/>
  <w:bordersDoNotSurroundFooter w:val="0"/>
  <w:attachedTemplate r:id="rId1"/>
  <w:documentProtection w:enforcement="0"/>
  <w:defaultTabStop w:val="420"/>
  <w:drawingGridHorizontalSpacing w:val="210"/>
  <w:drawingGridVerticalSpacing w:val="194"/>
  <w:displayHorizontalDrawingGridEvery w:val="1"/>
  <w:displayVerticalDrawingGridEvery w:val="1"/>
  <w:noPunctuationKerning w:val="1"/>
  <w:characterSpacingControl w:val="doNotCompress"/>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AwYTcxOGY0OGZlMGQ0MWNkYzg5YTg4ZjBlNGRkMjkifQ=="/>
  </w:docVars>
  <w:rsids>
    <w:rsidRoot w:val="1AA24D9F"/>
    <w:rsid w:val="07011CC2"/>
    <w:rsid w:val="07644792"/>
    <w:rsid w:val="09284798"/>
    <w:rsid w:val="0F2B6FD9"/>
    <w:rsid w:val="183C240D"/>
    <w:rsid w:val="1AA24D9F"/>
    <w:rsid w:val="28DA2E89"/>
    <w:rsid w:val="2A4254F9"/>
    <w:rsid w:val="2BB50E46"/>
    <w:rsid w:val="2D1F32F4"/>
    <w:rsid w:val="323B4D81"/>
    <w:rsid w:val="34B70380"/>
    <w:rsid w:val="3AE174A3"/>
    <w:rsid w:val="3C0D06AF"/>
    <w:rsid w:val="43446334"/>
    <w:rsid w:val="44A84E71"/>
    <w:rsid w:val="477DCE1E"/>
    <w:rsid w:val="573E1E21"/>
    <w:rsid w:val="5B487E91"/>
    <w:rsid w:val="5CF9550F"/>
    <w:rsid w:val="5EFEBDE8"/>
    <w:rsid w:val="68CA2609"/>
    <w:rsid w:val="68CC1AED"/>
    <w:rsid w:val="69BB0F42"/>
    <w:rsid w:val="6A637494"/>
    <w:rsid w:val="6BCF62E6"/>
    <w:rsid w:val="6CD3A16D"/>
    <w:rsid w:val="6D535020"/>
    <w:rsid w:val="6E5F49A6"/>
    <w:rsid w:val="6FFF37D2"/>
    <w:rsid w:val="70DE2EF1"/>
    <w:rsid w:val="7C5F4108"/>
    <w:rsid w:val="7F79C282"/>
    <w:rsid w:val="7F7B6CAE"/>
    <w:rsid w:val="7FBF6DD0"/>
    <w:rsid w:val="7FCD17FE"/>
    <w:rsid w:val="7FD7E9A0"/>
    <w:rsid w:val="7FE9FBB2"/>
    <w:rsid w:val="8FFFA67E"/>
    <w:rsid w:val="A97F623E"/>
    <w:rsid w:val="AFBF8780"/>
    <w:rsid w:val="BEEFCB4B"/>
    <w:rsid w:val="BFE6F841"/>
    <w:rsid w:val="D5DE8897"/>
    <w:rsid w:val="E7FE3684"/>
    <w:rsid w:val="EFFF70E4"/>
    <w:rsid w:val="F7EEC240"/>
    <w:rsid w:val="FBF75102"/>
    <w:rsid w:val="FDDC5620"/>
    <w:rsid w:val="FDEA700A"/>
    <w:rsid w:val="FFBFCE42"/>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8"/>
      <w:szCs w:val="24"/>
      <w:lang w:val="en-US" w:eastAsia="zh-CN" w:bidi="ar-SA"/>
    </w:rPr>
  </w:style>
  <w:style w:type="paragraph" w:styleId="2">
    <w:name w:val="heading 1"/>
    <w:basedOn w:val="1"/>
    <w:next w:val="1"/>
    <w:qFormat/>
    <w:uiPriority w:val="0"/>
    <w:pPr>
      <w:keepNext/>
      <w:keepLines/>
      <w:numPr>
        <w:ilvl w:val="0"/>
        <w:numId w:val="1"/>
      </w:numPr>
      <w:spacing w:before="240" w:beforeLines="0" w:beforeAutospacing="0" w:afterLines="0" w:afterAutospacing="0" w:line="240" w:lineRule="auto"/>
      <w:ind w:firstLine="0"/>
      <w:outlineLvl w:val="0"/>
    </w:pPr>
    <w:rPr>
      <w:rFonts w:eastAsia="微软雅黑"/>
      <w:b/>
      <w:kern w:val="44"/>
      <w:sz w:val="32"/>
    </w:rPr>
  </w:style>
  <w:style w:type="paragraph" w:styleId="3">
    <w:name w:val="heading 2"/>
    <w:basedOn w:val="1"/>
    <w:next w:val="1"/>
    <w:unhideWhenUsed/>
    <w:qFormat/>
    <w:uiPriority w:val="0"/>
    <w:pPr>
      <w:keepNext/>
      <w:keepLines/>
      <w:numPr>
        <w:ilvl w:val="0"/>
        <w:numId w:val="2"/>
      </w:numPr>
      <w:spacing w:before="120" w:beforeLines="0" w:beforeAutospacing="0" w:afterLines="0" w:afterAutospacing="0" w:line="240" w:lineRule="auto"/>
      <w:outlineLvl w:val="1"/>
    </w:pPr>
    <w:rPr>
      <w:rFonts w:eastAsia="微软雅黑"/>
      <w:b/>
      <w:sz w:val="28"/>
    </w:rPr>
  </w:style>
  <w:style w:type="paragraph" w:styleId="4">
    <w:name w:val="heading 3"/>
    <w:basedOn w:val="1"/>
    <w:next w:val="1"/>
    <w:unhideWhenUsed/>
    <w:qFormat/>
    <w:uiPriority w:val="0"/>
    <w:pPr>
      <w:keepNext/>
      <w:keepLines/>
      <w:spacing w:before="260" w:beforeLines="0" w:beforeAutospacing="0" w:after="180" w:afterLines="0" w:afterAutospacing="0" w:line="240" w:lineRule="auto"/>
      <w:outlineLvl w:val="2"/>
    </w:pPr>
    <w:rPr>
      <w:rFonts w:ascii="Arial" w:hAnsi="Arial"/>
      <w:b/>
      <w:sz w:val="30"/>
    </w:rPr>
  </w:style>
  <w:style w:type="paragraph" w:styleId="5">
    <w:name w:val="heading 4"/>
    <w:basedOn w:val="1"/>
    <w:next w:val="1"/>
    <w:unhideWhenUsed/>
    <w:qFormat/>
    <w:uiPriority w:val="0"/>
    <w:pPr>
      <w:keepNext/>
      <w:keepLines/>
      <w:spacing w:before="240" w:beforeLines="0" w:beforeAutospacing="0" w:after="160" w:afterLines="0" w:afterAutospacing="0" w:line="240" w:lineRule="auto"/>
      <w:outlineLvl w:val="3"/>
    </w:pPr>
    <w:rPr>
      <w:rFonts w:ascii="Arial" w:hAnsi="Arial"/>
      <w:b/>
      <w:sz w:val="28"/>
    </w:rPr>
  </w:style>
  <w:style w:type="paragraph" w:styleId="6">
    <w:name w:val="heading 5"/>
    <w:basedOn w:val="1"/>
    <w:next w:val="1"/>
    <w:unhideWhenUsed/>
    <w:qFormat/>
    <w:uiPriority w:val="0"/>
    <w:pPr>
      <w:keepNext/>
      <w:keepLines/>
      <w:spacing w:before="240" w:beforeLines="0" w:beforeAutospacing="0" w:after="160" w:afterLines="0" w:afterAutospacing="0" w:line="240" w:lineRule="auto"/>
      <w:outlineLvl w:val="4"/>
    </w:pPr>
    <w:rPr>
      <w:rFonts w:ascii="Arial" w:hAnsi="Arial"/>
      <w:b/>
      <w:sz w:val="28"/>
    </w:rPr>
  </w:style>
  <w:style w:type="paragraph" w:styleId="7">
    <w:name w:val="heading 6"/>
    <w:basedOn w:val="1"/>
    <w:next w:val="1"/>
    <w:unhideWhenUsed/>
    <w:qFormat/>
    <w:uiPriority w:val="0"/>
    <w:pPr>
      <w:keepNext/>
      <w:keepLines/>
      <w:spacing w:before="240" w:beforeLines="0" w:beforeAutospacing="0" w:after="120" w:afterLines="0" w:afterAutospacing="0" w:line="240" w:lineRule="auto"/>
      <w:outlineLvl w:val="5"/>
    </w:pPr>
    <w:rPr>
      <w:rFonts w:ascii="Arial" w:hAnsi="Arial"/>
      <w:b/>
      <w:sz w:val="24"/>
    </w:rPr>
  </w:style>
  <w:style w:type="paragraph" w:styleId="8">
    <w:name w:val="heading 7"/>
    <w:basedOn w:val="1"/>
    <w:next w:val="1"/>
    <w:unhideWhenUsed/>
    <w:qFormat/>
    <w:uiPriority w:val="0"/>
    <w:pPr>
      <w:keepNext/>
      <w:keepLines/>
      <w:spacing w:before="240" w:beforeLines="0" w:beforeAutospacing="0" w:after="120" w:afterLines="0" w:afterAutospacing="0" w:line="240" w:lineRule="auto"/>
      <w:outlineLvl w:val="6"/>
    </w:pPr>
    <w:rPr>
      <w:rFonts w:ascii="Arial" w:hAnsi="Arial"/>
      <w:b/>
      <w:sz w:val="24"/>
    </w:rPr>
  </w:style>
  <w:style w:type="paragraph" w:styleId="9">
    <w:name w:val="heading 8"/>
    <w:basedOn w:val="1"/>
    <w:next w:val="1"/>
    <w:unhideWhenUsed/>
    <w:qFormat/>
    <w:uiPriority w:val="0"/>
    <w:pPr>
      <w:keepNext/>
      <w:keepLines/>
      <w:spacing w:before="180" w:beforeLines="0" w:beforeAutospacing="0" w:after="64" w:afterLines="0" w:afterAutospacing="0" w:line="240" w:lineRule="auto"/>
      <w:outlineLvl w:val="7"/>
    </w:pPr>
    <w:rPr>
      <w:rFonts w:ascii="Arial" w:hAnsi="Arial"/>
      <w:sz w:val="24"/>
    </w:rPr>
  </w:style>
  <w:style w:type="paragraph" w:styleId="10">
    <w:name w:val="heading 9"/>
    <w:basedOn w:val="1"/>
    <w:next w:val="1"/>
    <w:unhideWhenUsed/>
    <w:qFormat/>
    <w:uiPriority w:val="0"/>
    <w:pPr>
      <w:keepNext/>
      <w:keepLines/>
      <w:spacing w:before="180" w:beforeLines="0" w:beforeAutospacing="0" w:after="64" w:afterLines="0" w:afterAutospacing="0" w:line="240" w:lineRule="auto"/>
      <w:outlineLvl w:val="8"/>
    </w:pPr>
    <w:rPr>
      <w:rFonts w:ascii="Arial" w:hAnsi="Arial"/>
    </w:rPr>
  </w:style>
  <w:style w:type="character" w:default="1" w:styleId="15">
    <w:name w:val="Default Paragraph Font"/>
    <w:qFormat/>
    <w:uiPriority w:val="0"/>
    <w:rPr>
      <w:rFonts w:eastAsia="微软雅黑" w:asciiTheme="minorAscii" w:hAnsiTheme="minorAscii"/>
    </w:rPr>
  </w:style>
  <w:style w:type="table" w:default="1" w:styleId="13">
    <w:name w:val="Normal Table"/>
    <w:semiHidden/>
    <w:qFormat/>
    <w:uiPriority w:val="0"/>
    <w:tblPr>
      <w:tblCellMar>
        <w:top w:w="0" w:type="dxa"/>
        <w:left w:w="108" w:type="dxa"/>
        <w:bottom w:w="0" w:type="dxa"/>
        <w:right w:w="108" w:type="dxa"/>
      </w:tblCellMar>
    </w:tblPr>
  </w:style>
  <w:style w:type="paragraph" w:styleId="11">
    <w:name w:val="footer"/>
    <w:basedOn w:val="1"/>
    <w:uiPriority w:val="0"/>
    <w:pPr>
      <w:tabs>
        <w:tab w:val="center" w:pos="4153"/>
        <w:tab w:val="right" w:pos="8306"/>
      </w:tabs>
      <w:snapToGrid w:val="0"/>
      <w:jc w:val="left"/>
    </w:pPr>
    <w:rPr>
      <w:sz w:val="18"/>
    </w:rPr>
  </w:style>
  <w:style w:type="paragraph" w:styleId="12">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14">
    <w:name w:val="Table Grid"/>
    <w:basedOn w:val="13"/>
    <w:qFormat/>
    <w:uiPriority w:val="0"/>
    <w:pPr>
      <w:widowControl w:val="0"/>
      <w:jc w:val="both"/>
    </w:pPr>
    <w:rPr>
      <w:rFonts w:eastAsia="宋体"/>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ata\weboffice\C:\data\weboffice\C:\data\weboffice\C:\data\weboffice\C:\data\weboffice\C:\data\weboffice\C:\Users\June\Library\Containers\com.kingsoft.wpsoffice.mac\Data\C:\data\weboffice\C:\home\ranpeng\C:\Users\53YFKM2\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5</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2018-05-27T17:24:00Z</dcterms:created>
  <dc:creator>SHZ</dc:creator>
  <cp:lastModifiedBy>苏豪展</cp:lastModifiedBy>
  <dcterms:modified xsi:type="dcterms:W3CDTF">2024-01-11T11:03:15Z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woTemplateTypoMode" linkTarget="0">
    <vt:lpwstr/>
  </property>
  <property fmtid="{D5CDD505-2E9C-101B-9397-08002B2CF9AE}" pid="4" name="woTemplate" linkTarget="0">
    <vt:i4>0</vt:i4>
  </property>
  <property fmtid="{D5CDD505-2E9C-101B-9397-08002B2CF9AE}" pid="5" name="ICV">
    <vt:lpwstr>1B3F5CDBBFFB48F5BD5623F19A6C5812_12</vt:lpwstr>
  </property>
</Properties>
</file>