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黑体"/>
          <w:b/>
          <w:color w:val="003366"/>
          <w:sz w:val="36"/>
        </w:rPr>
        <w:t>广州商学院本科毕业论文（设计）开题报告</w:t>
      </w:r>
    </w:p>
    <w:p>
      <w:pPr>
        <w:spacing w:before="0" w:after="360"/>
        <w:jc w:val="center"/>
      </w:pPr>
      <w:r>
        <w:rPr>
          <w:rFonts w:ascii="Times New Roman" w:hAnsi="Times New Roman" w:eastAsia="黑体"/>
          <w:b/>
          <w:color w:val="222222"/>
          <w:sz w:val="30"/>
        </w:rPr>
        <w:t>题目：基于联盟链的跨机构电子病历安全共享与隐私保护系统的设计与实现</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160"/>
        <w:gridCol w:w="2160"/>
        <w:gridCol w:w="2160"/>
        <w:gridCol w:w="2160"/>
      </w:tblGrid>
      <w:tr>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学生姓名</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何欢恒</w:t>
            </w:r>
          </w:p>
        </w:tc>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学　　号</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202312070210</w:t>
            </w:r>
          </w:p>
        </w:tc>
      </w:tr>
      <w:tr>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学　　院</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现代信息产业学院</w:t>
            </w:r>
          </w:p>
        </w:tc>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专业班级</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软工（创新班）2302</w:t>
            </w:r>
          </w:p>
        </w:tc>
      </w:tr>
      <w:tr>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指导教师</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杨茹</w:t>
            </w:r>
          </w:p>
        </w:tc>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职　　称</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讲师/副教授</w:t>
            </w:r>
          </w:p>
        </w:tc>
      </w:tr>
      <w:tr>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开题日期</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2026年9月22日</w:t>
            </w:r>
          </w:p>
        </w:tc>
        <w:tc>
          <w:tcPr>
            <w:tcW w:type="dxa" w:w="2160"/>
            <w:tcMar>
              <w:top w:w="80" w:type="dxa"/>
              <w:bottom w:w="80" w:type="dxa"/>
              <w:left w:w="100" w:type="dxa"/>
              <w:right w:w="100" w:type="dxa"/>
            </w:tcMar>
            <w:shd w:fill="F0F4F8"/>
          </w:tcPr>
          <w:p>
            <w:pPr>
              <w:spacing w:line="288" w:lineRule="auto"/>
              <w:jc w:val="center"/>
            </w:pPr>
            <w:r>
              <w:rPr>
                <w:rFonts w:ascii="Times New Roman" w:hAnsi="Times New Roman" w:eastAsia="黑体"/>
                <w:b/>
                <w:sz w:val="21"/>
              </w:rPr>
              <w:t>课题来源</w:t>
            </w:r>
          </w:p>
        </w:tc>
        <w:tc>
          <w:tcPr>
            <w:tcW w:type="dxa" w:w="2160"/>
            <w:tcMar>
              <w:top w:w="80" w:type="dxa"/>
              <w:bottom w:w="80" w:type="dxa"/>
              <w:left w:w="100" w:type="dxa"/>
              <w:right w:w="100" w:type="dxa"/>
            </w:tcMar>
          </w:tcPr>
          <w:p>
            <w:pPr>
              <w:spacing w:line="288" w:lineRule="auto"/>
              <w:jc w:val="center"/>
            </w:pPr>
            <w:r>
              <w:rPr>
                <w:rFonts w:ascii="Times New Roman" w:hAnsi="Times New Roman" w:eastAsia="宋体"/>
                <w:sz w:val="21"/>
              </w:rPr>
              <w:t>工程实践与科研探索</w:t>
            </w:r>
          </w:p>
        </w:tc>
      </w:tr>
    </w:tbl>
    <w:p>
      <w:pPr>
        <w:spacing w:after="240"/>
      </w:pPr>
    </w:p>
    <w:p>
      <w:pPr>
        <w:keepNext/>
        <w:spacing w:before="280" w:after="120"/>
      </w:pPr>
      <w:r>
        <w:rPr>
          <w:rFonts w:ascii="Times New Roman" w:hAnsi="Times New Roman" w:eastAsia="黑体"/>
          <w:b/>
          <w:color w:val="003366"/>
          <w:sz w:val="28"/>
        </w:rPr>
        <w:t>一、选题背景与研究意义</w:t>
      </w:r>
    </w:p>
    <w:p>
      <w:pPr>
        <w:keepNext/>
        <w:spacing w:before="200" w:after="80"/>
      </w:pPr>
      <w:r>
        <w:rPr>
          <w:rFonts w:ascii="Times New Roman" w:hAnsi="Times New Roman" w:eastAsia="黑体"/>
          <w:b/>
          <w:color w:val="222222"/>
          <w:sz w:val="26"/>
        </w:rPr>
        <w:t>1.1 研究背景</w:t>
      </w:r>
    </w:p>
    <w:p>
      <w:pPr>
        <w:spacing w:line="360" w:lineRule="auto" w:after="60"/>
        <w:ind w:firstLine="480"/>
      </w:pPr>
      <w:r>
        <w:rPr>
          <w:rFonts w:ascii="Times New Roman" w:hAnsi="Times New Roman" w:eastAsia="宋体"/>
          <w:b w:val="0"/>
          <w:sz w:val="24"/>
        </w:rPr>
        <w:t>随着国家卫生健康信息化建设的持续深入与“健康中国2030”战略的稳步推进，电子病历（Electronic Medical Record, EMR）、医学检验报告（Laboratory Information System, LIS）以及医学影像归档与通信系统（PACS）等数字化诊疗数据已成为各级医院日常业务的核心信息资产。患者在漫长的生命周期中，由于工作调动、居住地迁移或罹患重大疑难重症，往往需要在不同的基层社区卫生服务中心、市属二级医院和省级三甲综合医院之间进行转诊、联合会诊或跨区域就诊，在此过程中产生并沉淀了海量分散的多源异构诊疗数据。</w:t>
      </w:r>
    </w:p>
    <w:p>
      <w:pPr>
        <w:spacing w:line="360" w:lineRule="auto" w:after="60"/>
        <w:ind w:firstLine="480"/>
      </w:pPr>
      <w:r>
        <w:rPr>
          <w:rFonts w:ascii="Times New Roman" w:hAnsi="Times New Roman" w:eastAsia="宋体"/>
          <w:b w:val="0"/>
          <w:sz w:val="24"/>
        </w:rPr>
        <w:t>然而，在现行的医疗卫生信息化管理格局下，各级医疗机构的信息系统通常由不同的软件供应商独立开发并自治运营，底层数据库结构异构、业务编码标准不一，形成了普遍而严峻的“医疗信息孤岛”壁垒。当患者在不同医院之间转诊或跨院就医时，接诊医生无法在临床工作站中实时、安全、可信地调阅患者过往的门诊处方、既往病史、过敏反应记录以及影像检验报告。这不仅导致患者被迫在不同医院频繁接受高成本的重复化验与放射线检查，造成了极大的医疗资源浪费与患者经济负担，更在面对严重创伤、急性心肌梗死、休克等急危重症救治时，因难以瞬间获悉患者的关键过敏史与慢病合并症，直接威胁患者的生命安全。</w:t>
      </w:r>
    </w:p>
    <w:p>
      <w:pPr>
        <w:spacing w:line="360" w:lineRule="auto" w:after="60"/>
        <w:ind w:firstLine="480"/>
      </w:pPr>
      <w:r>
        <w:rPr>
          <w:rFonts w:ascii="Times New Roman" w:hAnsi="Times New Roman" w:eastAsia="宋体"/>
          <w:b w:val="0"/>
          <w:sz w:val="24"/>
        </w:rPr>
        <w:t>为打破跨院壁垒，业界曾广泛尝试建立区域集中式的卫生健康信息共享交换平台（Health Information Exchange, HIE）。然而，中心化数据存储与管理架构存在内生的安全脆弱性与信任困境：其一，高度集中的数据库极易成为黑客攻击、APT 勒索病毒与特权内部人员拖库泄密的高危靶点；其二，集中式平台中医疗数据的权属界限模糊，医疗机构间缺乏信任中介，对数据出域后的安全管控与二次滥用存在强烈顾虑；其三，传统的审计日志大多保存在业务数据库或文本文件中，极易被系统管理员篡改或删除，在发生医疗纠纷与数据泄漏事件时难以提供具备司法公信力的电子证据链。此外，我国《个人信息保护法》《数据安全法》以及医疗数据合规指南明确要求，医疗敏感健康数据的跨主体流转必须严格保障数据主体的知情同意权、最小可用授权与全流程合规审计。</w:t>
      </w:r>
    </w:p>
    <w:p>
      <w:pPr>
        <w:spacing w:line="360" w:lineRule="auto" w:after="60"/>
        <w:ind w:firstLine="480"/>
      </w:pPr>
      <w:r>
        <w:rPr>
          <w:rFonts w:ascii="Times New Roman" w:hAnsi="Times New Roman" w:eastAsia="宋体"/>
          <w:b w:val="0"/>
          <w:sz w:val="24"/>
        </w:rPr>
        <w:t>以 Hyperledger Fabric 为代表的企业级许可型联盟链（Consortium Blockchain）与以星际文件系统（IPFS）为代表的分布式存储技术，为破除上述困局提供了革命性的工程解决范式。Hyperledger Fabric 具备严格的组织级 MSP 身份准入机制、通道级数据物理隔离、确定性智能合约执行以及高吞吐低时延的 Raft 共识机制，天然适配医院、卫健委等多主体协同场景；IPFS 则通过内容寻址技术提供了高容错、防篡改的海量大文件存储能力。通过构建“链下密文分布式沉淀 + 链上资产不可篡改存证”的双层协同架构，配合细粒度的动态访问控制与可解释风控模型，能够从根本上破除数据孤岛，重塑医疗数据跨机构协同的可信基础设施。</w:t>
      </w:r>
    </w:p>
    <w:p>
      <w:pPr>
        <w:keepNext/>
        <w:spacing w:before="200" w:after="80"/>
      </w:pPr>
      <w:r>
        <w:rPr>
          <w:rFonts w:ascii="Times New Roman" w:hAnsi="Times New Roman" w:eastAsia="黑体"/>
          <w:b/>
          <w:color w:val="222222"/>
          <w:sz w:val="26"/>
        </w:rPr>
        <w:t>1.2 选题意义</w:t>
      </w:r>
    </w:p>
    <w:p>
      <w:pPr>
        <w:keepNext/>
        <w:spacing w:before="120" w:after="40"/>
      </w:pPr>
      <w:r>
        <w:rPr>
          <w:rFonts w:ascii="Times New Roman" w:hAnsi="Times New Roman" w:eastAsia="宋体"/>
          <w:b/>
          <w:color w:val="333333"/>
          <w:sz w:val="24"/>
        </w:rPr>
        <w:t>1.2.1 现实意义</w:t>
      </w:r>
    </w:p>
    <w:p>
      <w:pPr>
        <w:spacing w:line="360" w:lineRule="auto" w:after="60"/>
        <w:ind w:firstLine="480"/>
      </w:pPr>
      <w:r>
        <w:rPr>
          <w:rFonts w:ascii="Times New Roman" w:hAnsi="Times New Roman" w:eastAsia="宋体"/>
          <w:b w:val="0"/>
          <w:sz w:val="24"/>
        </w:rPr>
        <w:t>（1）破除跨机构数据流通壁垒，降低医疗成本并提高诊疗效能：本课题设计并实现的系统支持跨院区、跨科室医生在统一安全网关管控下即时调阅历史病历与高清检验报告，有效减少不必要的重复血液生化化验与 CT/MRI 辐射检查，帮助临床医生快速掌握患者完整的疾病演变全景，显著提升联合会诊与复杂慢病协同诊疗的时效与质量。</w:t>
      </w:r>
    </w:p>
    <w:p>
      <w:pPr>
        <w:spacing w:line="360" w:lineRule="auto" w:after="60"/>
        <w:ind w:firstLine="480"/>
      </w:pPr>
      <w:r>
        <w:rPr>
          <w:rFonts w:ascii="Times New Roman" w:hAnsi="Times New Roman" w:eastAsia="宋体"/>
          <w:b w:val="0"/>
          <w:sz w:val="24"/>
        </w:rPr>
        <w:t>（2）践行以患者为中心的理念，确立健康数据自主权：系统摒弃了传统医疗信息系统忽视患者自主权的弊端，赋予患者在个人端进行精准知情授权的控制力。患者不仅可对指定医生或机构开放指定病历或全量档案的访问权限，设定授权有效期，并能实时接收调阅提醒与随时单键撤销授权，从技术层面有效防范了患者敏感隐私被违规泄露或商用倒卖。</w:t>
      </w:r>
    </w:p>
    <w:p>
      <w:pPr>
        <w:spacing w:line="360" w:lineRule="auto" w:after="60"/>
        <w:ind w:firstLine="480"/>
      </w:pPr>
      <w:r>
        <w:rPr>
          <w:rFonts w:ascii="Times New Roman" w:hAnsi="Times New Roman" w:eastAsia="宋体"/>
          <w:b w:val="0"/>
          <w:sz w:val="24"/>
        </w:rPr>
        <w:t>（3）健全急危重症急救支撑，保障患者生命优先：针对突发性严重昏迷、休克等无法取得患者现场或在线授权的极端抢救场景，课题独创了“Break-Glass 破窗应急调阅机制”，允许接诊医生在履行身份双重核验并签署合规临床责任声明的前提下秒级解密关键病史，成功化解了“急救时因无法取得授权而陷入救治死锁”与“无限制放行导致越权滥用”的对立矛盾。</w:t>
      </w:r>
    </w:p>
    <w:p>
      <w:pPr>
        <w:spacing w:line="360" w:lineRule="auto" w:after="60"/>
        <w:ind w:firstLine="480"/>
      </w:pPr>
      <w:r>
        <w:rPr>
          <w:rFonts w:ascii="Times New Roman" w:hAnsi="Times New Roman" w:eastAsia="宋体"/>
          <w:b w:val="0"/>
          <w:sz w:val="24"/>
        </w:rPr>
        <w:t>（4）构建司法级全流程存证，赋能卫健行政监管与合规治理：系统将病历资产指纹、患者授权凭证、应急破窗事件以及每一次跨院访问日志全量锚定至 Fabric 联盟链账本，配合独立搭建的底层防篡改攻防演练控制台，不仅能够实时感知并报警底层数据库篡改事件，更为防范医疗纠纷推诿、保障电子病历防抵赖举证及卫健委监管部门开展事后闭环裁决与复权治理提供了不可篡改的法定证据链。</w:t>
      </w:r>
    </w:p>
    <w:p>
      <w:pPr>
        <w:keepNext/>
        <w:spacing w:before="120" w:after="40"/>
      </w:pPr>
      <w:r>
        <w:rPr>
          <w:rFonts w:ascii="Times New Roman" w:hAnsi="Times New Roman" w:eastAsia="宋体"/>
          <w:b/>
          <w:color w:val="333333"/>
          <w:sz w:val="24"/>
        </w:rPr>
        <w:t>1.2.2 理论意义</w:t>
      </w:r>
    </w:p>
    <w:p>
      <w:pPr>
        <w:spacing w:line="360" w:lineRule="auto" w:after="60"/>
        <w:ind w:firstLine="480"/>
      </w:pPr>
      <w:r>
        <w:rPr>
          <w:rFonts w:ascii="Times New Roman" w:hAnsi="Times New Roman" w:eastAsia="宋体"/>
          <w:b w:val="0"/>
          <w:sz w:val="24"/>
        </w:rPr>
        <w:t>（1）深化与拓展了联盟链技术在医疗健康跨域流转中的工程架构理论：本研究深入探讨了基于 Hyperledger Fabric 的多组织多节点拓扑在多中心医疗联合体场景下的协同机制，为联盟链在分布式个人健康档案管理（PHR）系统中的工程化部署提供了规范的实施样板。</w:t>
      </w:r>
    </w:p>
    <w:p>
      <w:pPr>
        <w:spacing w:line="360" w:lineRule="auto" w:after="60"/>
        <w:ind w:firstLine="480"/>
      </w:pPr>
      <w:r>
        <w:rPr>
          <w:rFonts w:ascii="Times New Roman" w:hAnsi="Times New Roman" w:eastAsia="宋体"/>
          <w:b w:val="0"/>
          <w:sz w:val="24"/>
        </w:rPr>
        <w:t>（2）创新性提出“双重密码学摘要与 AAD 密码学绑定”的链上链下混合存储模型：系统将病历二进制文件的 SHA-256 物理指纹（FileHash）与基于临床 SOAP 要素提取的 Merkle 根摘要（ClinicalHash）进行严密分立存证，并在 AES-256-GCM 加密阶段将患者 ID 与记录编号绑定进附加验证数据（AAD），在理论与实践层面彻底解决了密文被非法移植、重放及文件语义混淆的安全漏洞，丰富了区块链链下存储安全理论。</w:t>
      </w:r>
    </w:p>
    <w:p>
      <w:pPr>
        <w:spacing w:line="360" w:lineRule="auto" w:after="60"/>
        <w:ind w:firstLine="480"/>
      </w:pPr>
      <w:r>
        <w:rPr>
          <w:rFonts w:ascii="Times New Roman" w:hAnsi="Times New Roman" w:eastAsia="宋体"/>
          <w:b w:val="0"/>
          <w:sz w:val="24"/>
        </w:rPr>
        <w:t>（3）构建了纵深防御的复合访问控制与动态规则风控理论模型：课题融合 RBAC 角色初筛、ABAC 执业机构与科室属性匹配、患者显式知情授权策略，并叠加了透明、可解释的加权规则风险评分引擎（RiskEngine），跳出了传统学术研究盲目依赖“黑盒”机器学习或静态策略树的局限，为高对抗性、高安全性信息系统的访问控制决策理论注入了新思路。</w:t>
      </w:r>
    </w:p>
    <w:p>
      <w:pPr>
        <w:spacing w:line="360" w:lineRule="auto" w:after="60"/>
        <w:ind w:firstLine="480"/>
      </w:pPr>
      <w:r>
        <w:rPr>
          <w:rFonts w:ascii="Times New Roman" w:hAnsi="Times New Roman" w:eastAsia="宋体"/>
          <w:b w:val="0"/>
          <w:sz w:val="24"/>
        </w:rPr>
        <w:t>（4）开创了“Single Gatekeeper”原则下的大模型智能体安全交互范式：课题在医疗系统中引入 AI Agent 时，坚决贯彻“AI 仅做语义解析与受控工具调用，零直连数据库，鉴权与业务强行由统一网关收口”的安全原则，构建了涵盖提示词注入拦截、合规医疗伦理防线与输出动态隐私脱敏的多层防御体系，为大语言模型（LLM）在医疗高敏感系统中的合规辅助应用树立了安全参考范式。</w:t>
      </w:r>
    </w:p>
    <w:p>
      <w:pPr>
        <w:keepNext/>
        <w:spacing w:before="280" w:after="120"/>
      </w:pPr>
      <w:r>
        <w:rPr>
          <w:rFonts w:ascii="Times New Roman" w:hAnsi="Times New Roman" w:eastAsia="黑体"/>
          <w:b/>
          <w:color w:val="003366"/>
          <w:sz w:val="28"/>
        </w:rPr>
        <w:t>二、国内外研究现状及发展趋势</w:t>
      </w:r>
    </w:p>
    <w:p>
      <w:pPr>
        <w:keepNext/>
        <w:spacing w:before="200" w:after="80"/>
      </w:pPr>
      <w:r>
        <w:rPr>
          <w:rFonts w:ascii="Times New Roman" w:hAnsi="Times New Roman" w:eastAsia="黑体"/>
          <w:b/>
          <w:color w:val="222222"/>
          <w:sz w:val="26"/>
        </w:rPr>
        <w:t>2.1 国内研究现状</w:t>
      </w:r>
    </w:p>
    <w:p>
      <w:pPr>
        <w:spacing w:line="360" w:lineRule="auto" w:after="60"/>
        <w:ind w:firstLine="480"/>
      </w:pPr>
      <w:r>
        <w:rPr>
          <w:rFonts w:ascii="Times New Roman" w:hAnsi="Times New Roman" w:eastAsia="宋体"/>
          <w:b w:val="0"/>
          <w:sz w:val="24"/>
        </w:rPr>
        <w:t>我国自启动医药卫生体制改革以来，各级医疗机构广泛完成了医院信息系统（HIS）、电子病历系统（EMR）及检验影像系统的普及，三级医院电子病历应用水平分级评价普遍达到4级以上。然而，在国家倡导分级诊疗与医联体建设的大背景下，跨医疗机构之间的数据互联互通仍旧面临显著的体制机制与技术屏障。近年来，国内学术界与工业界高度关注利用区块链技术破解医疗“数据孤岛”难题。</w:t>
      </w:r>
    </w:p>
    <w:p>
      <w:pPr>
        <w:spacing w:line="360" w:lineRule="auto" w:after="60"/>
        <w:ind w:firstLine="480"/>
      </w:pPr>
      <w:r>
        <w:rPr>
          <w:rFonts w:ascii="Times New Roman" w:hAnsi="Times New Roman" w:eastAsia="宋体"/>
          <w:b w:val="0"/>
          <w:sz w:val="24"/>
        </w:rPr>
        <w:t>在联盟链应用方面，周正强等[7]提出了基于联盟链的医疗数据安全共享方案，论证了通过多节点共识机制实现医疗机构间分布式记账与数据可信存证的优越性；徐磊[8]针对医疗健康数据安全模型进行了设计，阐述了联盟链在防范中心化单点故障方面的价值；陈嘉莉、马自强等[15]在《通信学报》中深入探讨了基于 Hyperledger Fabric 的电子病历共享架构，分析了智能合约对数据确权与流转规则的自动化约束能力；张兴龙[14]在其湖南大学学位论文中系统探索了面向电子病历共享的区块链关键技术，并进行了系统级工程实现；姚传佳[19]则针对医联体框架下跨域安全共享与协作管理模式进行了专门论证；王效峰等[17]在《张江科技评论》中总结了区块链技术在保障医疗隐私中的应用路径。</w:t>
      </w:r>
    </w:p>
    <w:p>
      <w:pPr>
        <w:spacing w:line="360" w:lineRule="auto" w:after="60"/>
        <w:ind w:firstLine="480"/>
      </w:pPr>
      <w:r>
        <w:rPr>
          <w:rFonts w:ascii="Times New Roman" w:hAnsi="Times New Roman" w:eastAsia="宋体"/>
          <w:b w:val="0"/>
          <w:sz w:val="24"/>
        </w:rPr>
        <w:t>在链下大文件分布式存储方面，姚晓敏[3]针对 IPFS 环境下的去中心化存储与检索方案进行了深入设计，论述了以内容哈希（CID）作为唯一标识对大文件进行离线存储的技术路线，得到了国内学界的普遍认可，逐步确立了“链下 IPFS 沉淀密文、链上 Fabric 固化摘要”的混合存储技术主流。</w:t>
      </w:r>
    </w:p>
    <w:p>
      <w:pPr>
        <w:spacing w:line="360" w:lineRule="auto" w:after="60"/>
        <w:ind w:firstLine="480"/>
      </w:pPr>
      <w:r>
        <w:rPr>
          <w:rFonts w:ascii="Times New Roman" w:hAnsi="Times New Roman" w:eastAsia="宋体"/>
          <w:b w:val="0"/>
          <w:sz w:val="24"/>
        </w:rPr>
        <w:t>在患者隐私与访问控制方面，潘恒、潘磊等[18]在《应用科学学报》中提出了一种病人可控的电子病历安全访问方案，强调了患者自主知情同意与权限动态收回的重要性；任志鑫等[9]在《北京邮电大学学报》中研究了基于零知识证明的区块链密文共享与访问控制方案；管哿浠等[11]探讨了基于预言机和零知识证明的数据安全上链机制；马存宁[20]系统归纳了当前医院医疗数据隐私保护所面临的合规挑战与技术对策。然而，国内现有多数研究主要聚焦于底层密码学方案的原型推演，普遍缺乏将 Fabric 真实网络编排、IPFS 分布式节点、动态智能访问控制以及生产级 Web 业务流深度融合的高可用工程闭环系统。</w:t>
      </w:r>
    </w:p>
    <w:p>
      <w:pPr>
        <w:keepNext/>
        <w:spacing w:before="200" w:after="80"/>
      </w:pPr>
      <w:r>
        <w:rPr>
          <w:rFonts w:ascii="Times New Roman" w:hAnsi="Times New Roman" w:eastAsia="黑体"/>
          <w:b/>
          <w:color w:val="222222"/>
          <w:sz w:val="26"/>
        </w:rPr>
        <w:t>2.2 国外研究现状</w:t>
      </w:r>
    </w:p>
    <w:p>
      <w:pPr>
        <w:spacing w:line="360" w:lineRule="auto" w:after="60"/>
        <w:ind w:firstLine="480"/>
      </w:pPr>
      <w:r>
        <w:rPr>
          <w:rFonts w:ascii="Times New Roman" w:hAnsi="Times New Roman" w:eastAsia="宋体"/>
          <w:b w:val="0"/>
          <w:sz w:val="24"/>
        </w:rPr>
        <w:t>国外在医疗信息化标准互联（如 HL7 FHIR 协议）与患者健康隐私法案（如美国 HIPAA、欧盟 GDPR）方面起步较早，研究重点已全面由“单体医院内部数字化”演进至“跨区域、跨国界医疗联合体安全共享与患者数据主权赋能”。</w:t>
      </w:r>
    </w:p>
    <w:p>
      <w:pPr>
        <w:spacing w:line="360" w:lineRule="auto" w:after="60"/>
        <w:ind w:firstLine="480"/>
      </w:pPr>
      <w:r>
        <w:rPr>
          <w:rFonts w:ascii="Times New Roman" w:hAnsi="Times New Roman" w:eastAsia="宋体"/>
          <w:b w:val="0"/>
          <w:sz w:val="24"/>
        </w:rPr>
        <w:t>在密码学与区块链交叉领域，国外学者展开了多维探索。Liu 等[4]在《Journal of Cloud Computing》发表了基于区块链与代理重加密（Proxy Re-Encryption, PRE）的电子病历共享方案，实现了密文在不同医疗机构间的无缝转换解密；Chen 等[6]在《Wireless Communications and Mobile Computing》提出了融合属性基访问控制（Attribute-Based Access Control, ABAC）与隐私保护的区块链医疗数据共享机制，支持根据机构等级、科室及职称实施细粒度准入判断；Tawfik 等[5]于 2025 年在权威期刊《Scientific Reports》发表了 ACHealthChain 框架，提出了基于区块链的多组织访问控制与隐私审计规范；Zhao 等[1]在《Procedia Computer Science》探讨了面向医疗数据共享的跨链访问控制模型；Liu 等[2]在《IET Blockchain》针对联盟链跨域数据安全共享的访问控制进行了深度数学建模。</w:t>
      </w:r>
    </w:p>
    <w:p>
      <w:pPr>
        <w:spacing w:line="360" w:lineRule="auto" w:after="60"/>
        <w:ind w:firstLine="480"/>
      </w:pPr>
      <w:r>
        <w:rPr>
          <w:rFonts w:ascii="Times New Roman" w:hAnsi="Times New Roman" w:eastAsia="宋体"/>
          <w:b w:val="0"/>
          <w:sz w:val="24"/>
        </w:rPr>
        <w:t>此外，国外在紧急医疗访问（Break-Glass Access Protocol）方面开展了早期伦理与机制研究，认识到在心肺复苏、急性昏迷等生命极限救援时刻，机械僵化的访问控制策略将直接引发严重的临床医疗事故，必须引入前置责任签署、即时放行与事后严密追责的弹性破窗机制。然而，国外文献所构建的模型通常依赖高度复杂的双线性对映射、密文策略属性基加密（CP-ABE）或交互式零知识证明，运算复杂度与延迟极高，难以在临床门诊的秒级交互中规模化落地，且缺乏与我国公立医院三级诊疗体制及卫健委行政监管体系相适配的合规设计。</w:t>
      </w:r>
    </w:p>
    <w:p>
      <w:pPr>
        <w:keepNext/>
        <w:spacing w:before="200" w:after="80"/>
      </w:pPr>
      <w:r>
        <w:rPr>
          <w:rFonts w:ascii="Times New Roman" w:hAnsi="Times New Roman" w:eastAsia="黑体"/>
          <w:b/>
          <w:color w:val="222222"/>
          <w:sz w:val="26"/>
        </w:rPr>
        <w:t>2.3 国内外研究现状对比与评述</w:t>
      </w:r>
    </w:p>
    <w:p>
      <w:pPr>
        <w:spacing w:line="360" w:lineRule="auto" w:after="60"/>
        <w:ind w:firstLine="480"/>
      </w:pPr>
      <w:r>
        <w:rPr>
          <w:rFonts w:ascii="Times New Roman" w:hAnsi="Times New Roman" w:eastAsia="宋体"/>
          <w:b w:val="0"/>
          <w:sz w:val="24"/>
        </w:rPr>
        <w:t>综合梳理国内外现有研究文献，可以清晰地看出区块链与分布式存储技术在医疗数据共享领域已成为不可逆转的技术趋势，但在迈向真实工程落地的过程中，现有研究仍普遍存在以下四大核心痛点：</w:t>
      </w:r>
    </w:p>
    <w:p>
      <w:pPr>
        <w:spacing w:line="360" w:lineRule="auto" w:after="60"/>
        <w:ind w:firstLine="480"/>
      </w:pPr>
      <w:r>
        <w:rPr>
          <w:rFonts w:ascii="Times New Roman" w:hAnsi="Times New Roman" w:eastAsia="宋体"/>
          <w:b w:val="0"/>
          <w:sz w:val="24"/>
        </w:rPr>
        <w:t>（1）学术模型与工程落地脱节严重：现有研究多侧重于纯粹的算法仿真或局部智能合约脚本，对完整全栈系统的架构设计、网络拓扑编排、数据持久化与高并发微服务网关缺乏系统级考量，导致方案在面对复杂真实医疗场景时缺乏可用性。</w:t>
      </w:r>
    </w:p>
    <w:p>
      <w:pPr>
        <w:spacing w:line="360" w:lineRule="auto" w:after="60"/>
        <w:ind w:firstLine="480"/>
      </w:pPr>
      <w:r>
        <w:rPr>
          <w:rFonts w:ascii="Times New Roman" w:hAnsi="Times New Roman" w:eastAsia="宋体"/>
          <w:b w:val="0"/>
          <w:sz w:val="24"/>
        </w:rPr>
        <w:t>（2）存储指纹语义混淆且缺乏防替换验证：多数文献笼统地将单一的“文件 Hash”写入区块链，混淆了医学影像/检验报告等二进制附件指纹与门诊结构化临床诊断要素（SOAP 特征）之间的本质区别；且普遍缺乏针对对称密文包的身份绑定机制，黑客仍可能通过底层数据篡改或密文移植发动攻击。</w:t>
      </w:r>
    </w:p>
    <w:p>
      <w:pPr>
        <w:spacing w:line="360" w:lineRule="auto" w:after="60"/>
        <w:ind w:firstLine="480"/>
      </w:pPr>
      <w:r>
        <w:rPr>
          <w:rFonts w:ascii="Times New Roman" w:hAnsi="Times New Roman" w:eastAsia="宋体"/>
          <w:b w:val="0"/>
          <w:sz w:val="24"/>
        </w:rPr>
        <w:t>（3）访问控制策略非黑即白，缺乏急诊破窗弹性与监管闭环：现有绝大多数方案要么严格要求患者在线授权（导致急危重症患者因昏迷休克而无法施救），要么完全放权给医生账号（造成患者隐私泄露泛滥），鲜有方案将“Break-Glass 破窗机制”、“患者事后异议反馈”与“卫生监督局三级裁决复权”构建成闭环监管体系。</w:t>
      </w:r>
    </w:p>
    <w:p>
      <w:pPr>
        <w:spacing w:line="360" w:lineRule="auto" w:after="60"/>
        <w:ind w:firstLine="480"/>
      </w:pPr>
      <w:r>
        <w:rPr>
          <w:rFonts w:ascii="Times New Roman" w:hAnsi="Times New Roman" w:eastAsia="宋体"/>
          <w:b w:val="0"/>
          <w:sz w:val="24"/>
        </w:rPr>
        <w:t>（4）风控决策不可解释，或 AI 接入破坏系统安全边界：部分前沿文献尝试引入深度学习/神经网络预测访问风险，但在严肃的医疗合规与法律责任追溯场景下，此类“黑盒”算法无法向医生和监管人员提供确凿的判定依据；而新兴的 AI 辅助系统往往简单直连底层数据库，造成严重的提示词注入与越权违规风险。</w:t>
      </w:r>
    </w:p>
    <w:p>
      <w:pPr>
        <w:spacing w:before="80" w:after="120"/>
        <w:ind w:left="400" w:right="400"/>
      </w:pPr>
      <w:r>
        <w:rPr>
          <w:rFonts w:ascii="Times New Roman" w:hAnsi="Times New Roman" w:eastAsia="黑体"/>
          <w:b/>
          <w:color w:val="005588"/>
          <w:sz w:val="22"/>
        </w:rPr>
        <w:t xml:space="preserve">【本课题切入点】 </w:t>
      </w:r>
      <w:r>
        <w:rPr>
          <w:rFonts w:ascii="Times New Roman" w:hAnsi="Times New Roman" w:eastAsia="宋体"/>
          <w:color w:val="444444"/>
          <w:sz w:val="22"/>
        </w:rPr>
        <w:t>基于上述不足，本课题立足于扎实的工程软件开发与密码学规范，紧扣 Hyperledger Fabric 2.5 真实联盟链集群与 IPFS，构建涵盖‘链下加密沉淀、双重哈希上链、RBAC+ABAC+规则风控复合网关、Break-Glass 破窗治理闭环、防篡改闭环演练以及 Single Gatekeeper 受控 AI Agent’的完整跨机构医疗数据安全共享平台，彻底打通理论模型到工程实现的最后一公里。</w:t>
      </w:r>
    </w:p>
    <w:p>
      <w:pPr>
        <w:keepNext/>
        <w:spacing w:before="280" w:after="120"/>
      </w:pPr>
      <w:r>
        <w:rPr>
          <w:rFonts w:ascii="Times New Roman" w:hAnsi="Times New Roman" w:eastAsia="黑体"/>
          <w:b/>
          <w:color w:val="003366"/>
          <w:sz w:val="28"/>
        </w:rPr>
        <w:t>三、课题主要研究内容与系统建设目标</w:t>
      </w:r>
    </w:p>
    <w:p>
      <w:pPr>
        <w:keepNext/>
        <w:spacing w:before="200" w:after="80"/>
      </w:pPr>
      <w:r>
        <w:rPr>
          <w:rFonts w:ascii="Times New Roman" w:hAnsi="Times New Roman" w:eastAsia="黑体"/>
          <w:b/>
          <w:color w:val="222222"/>
          <w:sz w:val="26"/>
        </w:rPr>
        <w:t>3.1 总体建设目标与业务边界</w:t>
      </w:r>
    </w:p>
    <w:p>
      <w:pPr>
        <w:spacing w:line="360" w:lineRule="auto" w:after="60"/>
        <w:ind w:firstLine="480"/>
      </w:pPr>
      <w:r>
        <w:rPr>
          <w:rFonts w:ascii="Times New Roman" w:hAnsi="Times New Roman" w:eastAsia="宋体"/>
          <w:b w:val="0"/>
          <w:sz w:val="24"/>
        </w:rPr>
        <w:t>本系统以多医疗机构间的电子病历可信协同与隐私保护为核心，模拟“第一人民医院（Hospital A, Org1MSP）”、“省立中心医院（Hospital B, Org2MSP）”、“协和医学中心（Hospital C）”以及“卫健委数据安全监管局（Supervisor）”共同参与的分布式网络。系统紧扣软件工程规范，达成以下建设目标：</w:t>
      </w:r>
    </w:p>
    <w:p>
      <w:pPr>
        <w:spacing w:line="360" w:lineRule="auto" w:after="60"/>
        <w:ind w:firstLine="480"/>
      </w:pPr>
      <w:r>
        <w:rPr>
          <w:rFonts w:ascii="Times New Roman" w:hAnsi="Times New Roman" w:eastAsia="宋体"/>
          <w:b w:val="0"/>
          <w:sz w:val="24"/>
        </w:rPr>
        <w:t>（1）构建高安全、低膨胀的链上链下协同存储体系，实现敏感医疗数据“链下密文分布式存储（IPFS）+ 链上凭证不可篡改锚定（Fabric）”；</w:t>
      </w:r>
    </w:p>
    <w:p>
      <w:pPr>
        <w:spacing w:line="360" w:lineRule="auto" w:after="60"/>
        <w:ind w:firstLine="480"/>
      </w:pPr>
      <w:r>
        <w:rPr>
          <w:rFonts w:ascii="Times New Roman" w:hAnsi="Times New Roman" w:eastAsia="宋体"/>
          <w:b w:val="0"/>
          <w:sz w:val="24"/>
        </w:rPr>
        <w:t>（2）建立以统一安全网关为核心的多层级零信任访问控制机制，打通 RBAC 角色初筛、ABAC 环境属性匹配、患者显式知情授权与透明加权规则风控；</w:t>
      </w:r>
    </w:p>
    <w:p>
      <w:pPr>
        <w:spacing w:line="360" w:lineRule="auto" w:after="60"/>
        <w:ind w:firstLine="480"/>
      </w:pPr>
      <w:r>
        <w:rPr>
          <w:rFonts w:ascii="Times New Roman" w:hAnsi="Times New Roman" w:eastAsia="宋体"/>
          <w:b w:val="0"/>
          <w:sz w:val="24"/>
        </w:rPr>
        <w:t>（3）建立兼顾救治时效与法律责任追溯的 Break-Glass 应急破窗调阅闭环机制，支持卫健监管人员执行“正常结案、待调查、违规惩戒与一键复权”全流程治理；</w:t>
      </w:r>
    </w:p>
    <w:p>
      <w:pPr>
        <w:spacing w:line="360" w:lineRule="auto" w:after="60"/>
        <w:ind w:firstLine="480"/>
      </w:pPr>
      <w:r>
        <w:rPr>
          <w:rFonts w:ascii="Times New Roman" w:hAnsi="Times New Roman" w:eastAsia="宋体"/>
          <w:b w:val="0"/>
          <w:sz w:val="24"/>
        </w:rPr>
        <w:t>（4）构建面向底层黑客越权篡改的攻防演练与三阶段闭环核验体系，实现医疗数据司法级举证与秒级防篡改告警；</w:t>
      </w:r>
    </w:p>
    <w:p>
      <w:pPr>
        <w:spacing w:line="360" w:lineRule="auto" w:after="60"/>
        <w:ind w:firstLine="480"/>
      </w:pPr>
      <w:r>
        <w:rPr>
          <w:rFonts w:ascii="Times New Roman" w:hAnsi="Times New Roman" w:eastAsia="宋体"/>
          <w:b w:val="0"/>
          <w:sz w:val="24"/>
        </w:rPr>
        <w:t>（5）提供严格恪守 Single Gatekeeper 原则与医疗伦理红线的受控 AI Agent 辅助检索助手，实现自然语言交互与安全管控的深度统一；</w:t>
      </w:r>
    </w:p>
    <w:p>
      <w:pPr>
        <w:spacing w:line="360" w:lineRule="auto" w:after="60"/>
        <w:ind w:firstLine="480"/>
      </w:pPr>
      <w:r>
        <w:rPr>
          <w:rFonts w:ascii="Times New Roman" w:hAnsi="Times New Roman" w:eastAsia="宋体"/>
          <w:b w:val="0"/>
          <w:sz w:val="24"/>
        </w:rPr>
        <w:t>（6）打造角色自适应的前端交互视窗与态势感知可视化大屏，支持联盟链网络真实运行状态的双模智能侦测。</w:t>
      </w:r>
    </w:p>
    <w:p>
      <w:pPr>
        <w:spacing w:before="80" w:after="120"/>
        <w:ind w:left="400" w:right="400"/>
      </w:pPr>
      <w:r>
        <w:rPr>
          <w:rFonts w:ascii="Times New Roman" w:hAnsi="Times New Roman" w:eastAsia="黑体"/>
          <w:b/>
          <w:color w:val="005588"/>
          <w:sz w:val="22"/>
        </w:rPr>
        <w:t xml:space="preserve">【开发边界锁定】 </w:t>
      </w:r>
      <w:r>
        <w:rPr>
          <w:rFonts w:ascii="Times New Roman" w:hAnsi="Times New Roman" w:eastAsia="宋体"/>
          <w:color w:val="444444"/>
          <w:sz w:val="22"/>
        </w:rPr>
        <w:t>为杜绝架构过度设计与范围失控，本课题严格锁定工程开发边界：①禁止引入复杂微服务分布式编排治理网格，核心业务统一采用 Go Gin 单体分层架构；②坚决杜绝黑盒机器学习模型，风控引擎全面采用透明加权的纯规则判定；③严格禁止系统对接真实医院生产 HIS 系统，统一采用高拟真的脱敏临床标准数据集；④严格禁止 AI Agent 直连数据库或做出任何疾病自动诊断与用药处方决策。</w:t>
      </w:r>
    </w:p>
    <w:p>
      <w:pPr>
        <w:keepNext/>
        <w:spacing w:before="200" w:after="80"/>
      </w:pPr>
      <w:r>
        <w:rPr>
          <w:rFonts w:ascii="Times New Roman" w:hAnsi="Times New Roman" w:eastAsia="黑体"/>
          <w:b/>
          <w:color w:val="222222"/>
          <w:sz w:val="26"/>
        </w:rPr>
        <w:t>3.2 核心研究内容与功能模块划分</w:t>
      </w:r>
    </w:p>
    <w:p>
      <w:pPr>
        <w:spacing w:line="360" w:lineRule="auto" w:after="60"/>
        <w:ind w:firstLine="480"/>
      </w:pPr>
      <w:r>
        <w:rPr>
          <w:rFonts w:ascii="Times New Roman" w:hAnsi="Times New Roman" w:eastAsia="宋体"/>
          <w:b w:val="0"/>
          <w:sz w:val="24"/>
        </w:rPr>
        <w:t>系统严格划分为 8 大核心子系统与功能模块，各模块职责明确、高内聚低耦合：</w:t>
      </w:r>
    </w:p>
    <w:p>
      <w:pPr>
        <w:keepNext/>
        <w:spacing w:before="120" w:after="40"/>
      </w:pPr>
      <w:r>
        <w:rPr>
          <w:rFonts w:ascii="Times New Roman" w:hAnsi="Times New Roman" w:eastAsia="宋体"/>
          <w:b/>
          <w:color w:val="333333"/>
          <w:sz w:val="24"/>
        </w:rPr>
        <w:t>3.2.1 多组织联盟链网络与智能合约存证模块</w:t>
      </w:r>
    </w:p>
    <w:p>
      <w:pPr>
        <w:spacing w:line="360" w:lineRule="auto" w:after="60"/>
        <w:ind w:firstLine="480"/>
      </w:pPr>
      <w:r>
        <w:rPr>
          <w:rFonts w:ascii="Times New Roman" w:hAnsi="Times New Roman" w:eastAsia="宋体"/>
          <w:b w:val="0"/>
          <w:sz w:val="24"/>
        </w:rPr>
        <w:t>基于 Hyperledger Fabric 2.5 构建跨机构联盟链基础设施。搭建涵盖 Org1MSP、Org2MSP、Orderer 排序节点与 Fabric-CA 的容器化网络，配置统一的通信通道 medchannel，采用 Raft 共识算法确保交易排序的高可用性与拜占庭容错能力。基于 Go 语言编写 medical 智能合约（Chaincode），实现标准化核心业务上链：</w:t>
      </w:r>
    </w:p>
    <w:p>
      <w:pPr>
        <w:spacing w:line="360" w:lineRule="auto" w:after="60"/>
        <w:ind w:firstLine="480"/>
      </w:pPr>
      <w:r>
        <w:rPr>
          <w:rFonts w:ascii="Times New Roman" w:hAnsi="Times New Roman" w:eastAsia="宋体"/>
          <w:b w:val="0"/>
          <w:sz w:val="24"/>
        </w:rPr>
        <w:t>（1）病历资产固化（MedicalAsset）：上链存储业务流水号（RecordID）、患者标识（PatientID）、IPFS 内容寻址标识（CID）、文件二进制指纹（FileHash）、临床结构化特征摘要（ClinicalHash）、开具机构（HospitalID）及上链时间戳；</w:t>
      </w:r>
    </w:p>
    <w:p>
      <w:pPr>
        <w:spacing w:line="360" w:lineRule="auto" w:after="60"/>
        <w:ind w:firstLine="480"/>
      </w:pPr>
      <w:r>
        <w:rPr>
          <w:rFonts w:ascii="Times New Roman" w:hAnsi="Times New Roman" w:eastAsia="宋体"/>
          <w:b w:val="0"/>
          <w:sz w:val="24"/>
        </w:rPr>
        <w:t>（2）患者授权存证（AuthorizationRecord）：固化授权流水号、患者 ID、授权主体类型（医生/机构）、授权范围（单份/全量）、生效时段与存证状态（ACTIVE/REVOKED）；</w:t>
      </w:r>
    </w:p>
    <w:p>
      <w:pPr>
        <w:spacing w:line="360" w:lineRule="auto" w:after="60"/>
        <w:ind w:firstLine="480"/>
      </w:pPr>
      <w:r>
        <w:rPr>
          <w:rFonts w:ascii="Times New Roman" w:hAnsi="Times New Roman" w:eastAsia="宋体"/>
          <w:b w:val="0"/>
          <w:sz w:val="24"/>
        </w:rPr>
        <w:t>（3）急救凭据存证（EmergencyAccessRecord）：记录破窗事件流水号、急救医生 ID、患者 ID、临床紧急原因、详细病情陈述及事后监管审查结果；</w:t>
      </w:r>
    </w:p>
    <w:p>
      <w:pPr>
        <w:spacing w:line="360" w:lineRule="auto" w:after="60"/>
        <w:ind w:firstLine="480"/>
      </w:pPr>
      <w:r>
        <w:rPr>
          <w:rFonts w:ascii="Times New Roman" w:hAnsi="Times New Roman" w:eastAsia="宋体"/>
          <w:b w:val="0"/>
          <w:sz w:val="24"/>
        </w:rPr>
        <w:t>（4）全局审计凭据（AuditRecord）：对所有跨院调阅、权限变更等敏感操作实施全量交易级存证。</w:t>
      </w:r>
    </w:p>
    <w:p>
      <w:pPr>
        <w:keepNext/>
        <w:spacing w:before="120" w:after="40"/>
      </w:pPr>
      <w:r>
        <w:rPr>
          <w:rFonts w:ascii="Times New Roman" w:hAnsi="Times New Roman" w:eastAsia="宋体"/>
          <w:b/>
          <w:color w:val="333333"/>
          <w:sz w:val="24"/>
        </w:rPr>
        <w:t>3.2.2 链下密文分布式存储与双重哈希摘要机制</w:t>
      </w:r>
    </w:p>
    <w:p>
      <w:pPr>
        <w:spacing w:line="360" w:lineRule="auto" w:after="60"/>
        <w:ind w:firstLine="480"/>
      </w:pPr>
      <w:r>
        <w:rPr>
          <w:rFonts w:ascii="Times New Roman" w:hAnsi="Times New Roman" w:eastAsia="宋体"/>
          <w:b w:val="0"/>
          <w:sz w:val="24"/>
        </w:rPr>
        <w:t>针对医疗影像、检查检验报告及病程大文件，设计高安全流式处理流程：</w:t>
      </w:r>
    </w:p>
    <w:p>
      <w:pPr>
        <w:spacing w:line="360" w:lineRule="auto" w:after="60"/>
        <w:ind w:firstLine="480"/>
      </w:pPr>
      <w:r>
        <w:rPr>
          <w:rFonts w:ascii="Times New Roman" w:hAnsi="Times New Roman" w:eastAsia="宋体"/>
          <w:b w:val="0"/>
          <w:sz w:val="24"/>
        </w:rPr>
        <w:t>（1）动态密钥派生与 AAD 绑定加密：在 Go 后端内存中动态生成 256 位随机密钥与 96 位初始化向量（IV），基于 HMAC-SHA256 机制派生专属病历加密密钥。采用高安全级别的 AES-256-GCM 算法进行带附加验证数据（AAD）的对称加密计算，将患者 ID 与病历编号强绑定至 AAD（fmt.Sprintf('%d:%s', patientID, recordNo)），输出密文数据与 16 字节认证标签（Tag），在密码学层面坚决杜绝密文被恶意篡改或跨病历非法移植重放。</w:t>
      </w:r>
    </w:p>
    <w:p>
      <w:pPr>
        <w:spacing w:line="360" w:lineRule="auto" w:after="60"/>
        <w:ind w:firstLine="480"/>
      </w:pPr>
      <w:r>
        <w:rPr>
          <w:rFonts w:ascii="Times New Roman" w:hAnsi="Times New Roman" w:eastAsia="宋体"/>
          <w:b w:val="0"/>
          <w:sz w:val="24"/>
        </w:rPr>
        <w:t>（2）IPFS 寻址与元数据沉淀：将组合密文包上传至 IPFS Kubo 节点集群，获得全局唯一内容寻址 CID，并将元数据存入 MySQL 数据库，保证数据全生命周期零明文落地。</w:t>
      </w:r>
    </w:p>
    <w:p>
      <w:pPr>
        <w:spacing w:line="360" w:lineRule="auto" w:after="60"/>
        <w:ind w:firstLine="480"/>
      </w:pPr>
      <w:r>
        <w:rPr>
          <w:rFonts w:ascii="Times New Roman" w:hAnsi="Times New Roman" w:eastAsia="宋体"/>
          <w:b w:val="0"/>
          <w:sz w:val="24"/>
        </w:rPr>
        <w:t>（3）双 Hash 语义严密分立设计：系统严谨区分并分立存储“附件文件二进制原始指纹 FileHash”（用于物理文件防损坏防替换比对）与“基于 SOAP 门诊要素提取的结构化临床特征指纹 ClinicalHash”（基于主诉、现病史、体征与处方的综合 Merkle 根摘要），彻底根除学界常见的字段混淆问题。</w:t>
      </w:r>
    </w:p>
    <w:p>
      <w:pPr>
        <w:keepNext/>
        <w:spacing w:before="120" w:after="40"/>
      </w:pPr>
      <w:r>
        <w:rPr>
          <w:rFonts w:ascii="Times New Roman" w:hAnsi="Times New Roman" w:eastAsia="宋体"/>
          <w:b/>
          <w:color w:val="333333"/>
          <w:sz w:val="24"/>
        </w:rPr>
        <w:t>3.2.3 复合零信任访问控制与患者知情授权机制</w:t>
      </w:r>
    </w:p>
    <w:p>
      <w:pPr>
        <w:spacing w:line="360" w:lineRule="auto" w:after="60"/>
        <w:ind w:firstLine="480"/>
      </w:pPr>
      <w:r>
        <w:rPr>
          <w:rFonts w:ascii="Times New Roman" w:hAnsi="Times New Roman" w:eastAsia="宋体"/>
          <w:b w:val="0"/>
          <w:sz w:val="24"/>
        </w:rPr>
        <w:t>构建收口于统一安全网关（Single Gatekeeper）的多层级递进式判权流水线：</w:t>
      </w:r>
    </w:p>
    <w:p>
      <w:pPr>
        <w:spacing w:line="360" w:lineRule="auto" w:after="60"/>
        <w:ind w:firstLine="480"/>
      </w:pPr>
      <w:r>
        <w:rPr>
          <w:rFonts w:ascii="Times New Roman" w:hAnsi="Times New Roman" w:eastAsia="宋体"/>
          <w:b w:val="0"/>
          <w:sz w:val="24"/>
        </w:rPr>
        <w:t>（1）RBAC 粗粒度角色拦截：基于 JWT Bearer 令牌解析，首先拦截非合法医生（doctor）角色的非法越权调阅请求；</w:t>
      </w:r>
    </w:p>
    <w:p>
      <w:pPr>
        <w:spacing w:line="360" w:lineRule="auto" w:after="60"/>
        <w:ind w:firstLine="480"/>
      </w:pPr>
      <w:r>
        <w:rPr>
          <w:rFonts w:ascii="Times New Roman" w:hAnsi="Times New Roman" w:eastAsia="宋体"/>
          <w:b w:val="0"/>
          <w:sz w:val="24"/>
        </w:rPr>
        <w:t>（2）ABAC 细粒度环境属性匹配：深度校验发起医生所属机构运营状态（Status = 1）、执业机构是否列入联盟链可信准入白名单、调阅科室与病历所属科室的跨科转诊互认规则，以及医生账号是否处于受限（RESTRICTED）或封禁（DISABLED）状态；</w:t>
      </w:r>
    </w:p>
    <w:p>
      <w:pPr>
        <w:spacing w:line="360" w:lineRule="auto" w:after="60"/>
        <w:ind w:firstLine="480"/>
      </w:pPr>
      <w:r>
        <w:rPr>
          <w:rFonts w:ascii="Times New Roman" w:hAnsi="Times New Roman" w:eastAsia="宋体"/>
          <w:b w:val="0"/>
          <w:sz w:val="24"/>
        </w:rPr>
        <w:t>（3）患者显式知情授权验证：精准检索 authorizations 数据库与链上凭证，比对是否存在当前医生或其机构的有效授权条目，校验当前时间是否落入授权窗口区间（StartTime &lt;= Now &lt;= EndTime），并匹配授权范围（ALL 全量 / SINGLE 单份）；同时支持患者在就诊现场输入专属病历密钥（MedicalKey）进行现场秒级密码学解锁。</w:t>
      </w:r>
    </w:p>
    <w:p>
      <w:pPr>
        <w:keepNext/>
        <w:spacing w:before="120" w:after="40"/>
      </w:pPr>
      <w:r>
        <w:rPr>
          <w:rFonts w:ascii="Times New Roman" w:hAnsi="Times New Roman" w:eastAsia="宋体"/>
          <w:b/>
          <w:color w:val="333333"/>
          <w:sz w:val="24"/>
        </w:rPr>
        <w:t>3.2.4 规则加权动态风险评估引擎（RiskEngine）</w:t>
      </w:r>
    </w:p>
    <w:p>
      <w:pPr>
        <w:spacing w:line="360" w:lineRule="auto" w:after="60"/>
        <w:ind w:firstLine="480"/>
      </w:pPr>
      <w:r>
        <w:rPr>
          <w:rFonts w:ascii="Times New Roman" w:hAnsi="Times New Roman" w:eastAsia="宋体"/>
          <w:b w:val="0"/>
          <w:sz w:val="24"/>
        </w:rPr>
        <w:t>系统坚决摒弃不可解释的黑盒算法，设计并实现了基于透明可解释规则的加权风险评分引擎。综合评估公式为：</w:t>
      </w:r>
    </w:p>
    <w:p>
      <w:pPr>
        <w:spacing w:line="360" w:lineRule="auto" w:after="60"/>
        <w:ind w:firstLine="480"/>
      </w:pPr>
      <w:r>
        <w:rPr>
          <w:rFonts w:ascii="Times New Roman" w:hAnsi="Times New Roman" w:eastAsia="宋体"/>
          <w:b w:val="0"/>
          <w:sz w:val="24"/>
        </w:rPr>
        <w:t>$$R_{\text{total}} = \min\left(100, \sum_{k=1}^{m} w_k \cdot \text{Score}_k\right)$$</w:t>
      </w:r>
    </w:p>
    <w:p>
      <w:pPr>
        <w:spacing w:line="360" w:lineRule="auto" w:after="60"/>
        <w:ind w:firstLine="480"/>
      </w:pPr>
      <w:r>
        <w:rPr>
          <w:rFonts w:ascii="Times New Roman" w:hAnsi="Times New Roman" w:eastAsia="宋体"/>
          <w:b w:val="0"/>
          <w:sz w:val="24"/>
        </w:rPr>
        <w:t>引擎固定预置 6 大多维风险研判规则因子：</w:t>
      </w:r>
    </w:p>
    <w:p>
      <w:pPr>
        <w:spacing w:line="360" w:lineRule="auto" w:after="60"/>
        <w:ind w:firstLine="480"/>
      </w:pPr>
      <w:r>
        <w:rPr>
          <w:rFonts w:ascii="Times New Roman" w:hAnsi="Times New Roman" w:eastAsia="宋体"/>
          <w:b w:val="0"/>
          <w:sz w:val="24"/>
        </w:rPr>
        <w:t>① RULE-T1（非工作时间访问）：若访问发生在 18:00 至次日 08:00，贡献风险值 +20 分；</w:t>
      </w:r>
    </w:p>
    <w:p>
      <w:pPr>
        <w:spacing w:line="360" w:lineRule="auto" w:after="60"/>
        <w:ind w:firstLine="480"/>
      </w:pPr>
      <w:r>
        <w:rPr>
          <w:rFonts w:ascii="Times New Roman" w:hAnsi="Times New Roman" w:eastAsia="宋体"/>
          <w:b w:val="0"/>
          <w:sz w:val="24"/>
        </w:rPr>
        <w:t>② RULE-D1（机构跨度访问）：调阅非本院历史病历，贡献风险值 +15 分；</w:t>
      </w:r>
    </w:p>
    <w:p>
      <w:pPr>
        <w:spacing w:line="360" w:lineRule="auto" w:after="60"/>
        <w:ind w:firstLine="480"/>
      </w:pPr>
      <w:r>
        <w:rPr>
          <w:rFonts w:ascii="Times New Roman" w:hAnsi="Times New Roman" w:eastAsia="宋体"/>
          <w:b w:val="0"/>
          <w:sz w:val="24"/>
        </w:rPr>
        <w:t>③ RULE-F1（高频重复调阅）：Redis 5分钟时间窗口内对同一患者调阅超过 3 次，贡献风险值 +25 分；</w:t>
      </w:r>
    </w:p>
    <w:p>
      <w:pPr>
        <w:spacing w:line="360" w:lineRule="auto" w:after="60"/>
        <w:ind w:firstLine="480"/>
      </w:pPr>
      <w:r>
        <w:rPr>
          <w:rFonts w:ascii="Times New Roman" w:hAnsi="Times New Roman" w:eastAsia="宋体"/>
          <w:b w:val="0"/>
          <w:sz w:val="24"/>
        </w:rPr>
        <w:t>④ RULE-F2（异常批量调阅）：Redis 10分钟窗口内调阅不同患者数达到或超过 5 人，贡献风险值 +20 分；</w:t>
      </w:r>
    </w:p>
    <w:p>
      <w:pPr>
        <w:spacing w:line="360" w:lineRule="auto" w:after="60"/>
        <w:ind w:firstLine="480"/>
      </w:pPr>
      <w:r>
        <w:rPr>
          <w:rFonts w:ascii="Times New Roman" w:hAnsi="Times New Roman" w:eastAsia="宋体"/>
          <w:b w:val="0"/>
          <w:sz w:val="24"/>
        </w:rPr>
        <w:t>⑤ RULE-A1（授权缺失状态）：常规跨院发起且患者未预先授权，贡献风险值 +30 分；</w:t>
      </w:r>
    </w:p>
    <w:p>
      <w:pPr>
        <w:spacing w:line="360" w:lineRule="auto" w:after="60"/>
        <w:ind w:firstLine="480"/>
      </w:pPr>
      <w:r>
        <w:rPr>
          <w:rFonts w:ascii="Times New Roman" w:hAnsi="Times New Roman" w:eastAsia="宋体"/>
          <w:b w:val="0"/>
          <w:sz w:val="24"/>
        </w:rPr>
        <w:t>⑥ RULE-E1（急诊危重通道）：若触发 Break-Glass 申请，走急救专属豁免通道，直接免除常规加权阻断。</w:t>
      </w:r>
    </w:p>
    <w:p>
      <w:pPr>
        <w:spacing w:line="360" w:lineRule="auto" w:after="60"/>
        <w:ind w:firstLine="480"/>
      </w:pPr>
      <w:r>
        <w:rPr>
          <w:rFonts w:ascii="Times New Roman" w:hAnsi="Times New Roman" w:eastAsia="宋体"/>
          <w:b w:val="0"/>
          <w:sz w:val="24"/>
        </w:rPr>
        <w:t>处置策略划分为三级区间：0-29 分（低风险）自动放行（ALLOWED）；30-59 分（中风险）挂起请求并要求患者在线确认（PENDING_CONFIRM）；60 分以上（高风险）强制拦截阻断（REJECTED）并记录高危告警。</w:t>
      </w:r>
    </w:p>
    <w:p>
      <w:pPr>
        <w:keepNext/>
        <w:spacing w:before="120" w:after="40"/>
      </w:pPr>
      <w:r>
        <w:rPr>
          <w:rFonts w:ascii="Times New Roman" w:hAnsi="Times New Roman" w:eastAsia="宋体"/>
          <w:b/>
          <w:color w:val="333333"/>
          <w:sz w:val="24"/>
        </w:rPr>
        <w:t>3.2.5 突发急救场景下的 Break-Glass 应急破窗与闭环监管治理</w:t>
      </w:r>
    </w:p>
    <w:p>
      <w:pPr>
        <w:spacing w:line="360" w:lineRule="auto" w:after="60"/>
        <w:ind w:firstLine="480"/>
      </w:pPr>
      <w:r>
        <w:rPr>
          <w:rFonts w:ascii="Times New Roman" w:hAnsi="Times New Roman" w:eastAsia="宋体"/>
          <w:b w:val="0"/>
          <w:sz w:val="24"/>
        </w:rPr>
        <w:t>针对严重昏迷、休克等急救场景，构建“生命优先、事后严密追责”的完整管理闭环：</w:t>
      </w:r>
    </w:p>
    <w:p>
      <w:pPr>
        <w:spacing w:line="360" w:lineRule="auto" w:after="60"/>
        <w:ind w:firstLine="480"/>
      </w:pPr>
      <w:r>
        <w:rPr>
          <w:rFonts w:ascii="Times New Roman" w:hAnsi="Times New Roman" w:eastAsia="宋体"/>
          <w:b w:val="0"/>
          <w:sz w:val="24"/>
        </w:rPr>
        <w:t>（1）前置合法性核验：医生必须通过真实执业身份校验，机构服务正常且医生账号未处于惩戒受限状态；</w:t>
      </w:r>
    </w:p>
    <w:p>
      <w:pPr>
        <w:spacing w:line="360" w:lineRule="auto" w:after="60"/>
        <w:ind w:firstLine="480"/>
      </w:pPr>
      <w:r>
        <w:rPr>
          <w:rFonts w:ascii="Times New Roman" w:hAnsi="Times New Roman" w:eastAsia="宋体"/>
          <w:b w:val="0"/>
          <w:sz w:val="24"/>
        </w:rPr>
        <w:t>（2）两阶段责任固化：医生端必须录入临床抢救说明并显式勾选法律合规声明，确认承担相应法律责任，系统一键发放 24 小时应急访问通行证；</w:t>
      </w:r>
    </w:p>
    <w:p>
      <w:pPr>
        <w:spacing w:line="360" w:lineRule="auto" w:after="60"/>
        <w:ind w:firstLine="480"/>
      </w:pPr>
      <w:r>
        <w:rPr>
          <w:rFonts w:ascii="Times New Roman" w:hAnsi="Times New Roman" w:eastAsia="宋体"/>
          <w:b w:val="0"/>
          <w:sz w:val="24"/>
        </w:rPr>
        <w:t>（3）双向通知与全量存证：系统立即解密放行关键病史，生成事件单并自动提交智能合约写入 Fabric 账本；同时向患者端推送紧急调阅提醒，患者可自主标记【确认无异议】或【提出异议投诉】；</w:t>
      </w:r>
    </w:p>
    <w:p>
      <w:pPr>
        <w:spacing w:line="360" w:lineRule="auto" w:after="60"/>
        <w:ind w:firstLine="480"/>
      </w:pPr>
      <w:r>
        <w:rPr>
          <w:rFonts w:ascii="Times New Roman" w:hAnsi="Times New Roman" w:eastAsia="宋体"/>
          <w:b w:val="0"/>
          <w:sz w:val="24"/>
        </w:rPr>
        <w:t>（4）卫健监管端三级审查与分级惩戒：监管人员作为系统唯一合规审判者，对急救事件展开独立调阅审查，支持下达【正常结案 CLOSED_APPROVED】、【存疑待查 UNDER_INVESTIGATION】及【违规惩戒 CLOSED_VIOLATION】。对于违规行为，联动实施阶梯式账号处置：NORMAL（正常）、RESTRICTED（限制跨院调阅与破窗权限）、DISABLED（全局封禁）；并在整改复核后支持一键复权治理。</w:t>
      </w:r>
    </w:p>
    <w:p>
      <w:pPr>
        <w:keepNext/>
        <w:spacing w:before="120" w:after="40"/>
      </w:pPr>
      <w:r>
        <w:rPr>
          <w:rFonts w:ascii="Times New Roman" w:hAnsi="Times New Roman" w:eastAsia="宋体"/>
          <w:b/>
          <w:color w:val="333333"/>
          <w:sz w:val="24"/>
        </w:rPr>
        <w:t>3.2.6 三阶段动态防篡改核验与攻防演练系统</w:t>
      </w:r>
    </w:p>
    <w:p>
      <w:pPr>
        <w:spacing w:line="360" w:lineRule="auto" w:after="60"/>
        <w:ind w:firstLine="480"/>
      </w:pPr>
      <w:r>
        <w:rPr>
          <w:rFonts w:ascii="Times New Roman" w:hAnsi="Times New Roman" w:eastAsia="宋体"/>
          <w:b w:val="0"/>
          <w:sz w:val="24"/>
        </w:rPr>
        <w:t>为生动展示区块链不可篡改特性的防御威力，设计三阶段动态验真与攻防对抗系统：</w:t>
      </w:r>
    </w:p>
    <w:p>
      <w:pPr>
        <w:spacing w:line="360" w:lineRule="auto" w:after="60"/>
        <w:ind w:firstLine="480"/>
      </w:pPr>
      <w:r>
        <w:rPr>
          <w:rFonts w:ascii="Times New Roman" w:hAnsi="Times New Roman" w:eastAsia="宋体"/>
          <w:b w:val="0"/>
          <w:sz w:val="24"/>
        </w:rPr>
        <w:t>（1）三阶段闭环核验算法：监管端或医生发起验真请求时，系统自 IPFS 拉取密文并在内存中解密重算当前哈希 H_calc，通过 Fabric Gateway 调用链码提取原始链上摘要 H_chain。阶段一执行附件物理指纹比对，阶段二执行临床 SOAP 结构化 Merkle 根指纹比对，阶段三输出综合裁决；</w:t>
      </w:r>
    </w:p>
    <w:p>
      <w:pPr>
        <w:spacing w:line="360" w:lineRule="auto" w:after="60"/>
        <w:ind w:firstLine="480"/>
      </w:pPr>
      <w:r>
        <w:rPr>
          <w:rFonts w:ascii="Times New Roman" w:hAnsi="Times New Roman" w:eastAsia="宋体"/>
          <w:b w:val="0"/>
          <w:sz w:val="24"/>
        </w:rPr>
        <w:t>（2）独立攻防演练控制台：独立搭建运行在 8090 端口的攻防演练服务，直连底层 MySQL 数据库，支持模拟外部黑客越权绕过业务网关，直接恶意篡改患者诊断结论、主诉或过敏史；</w:t>
      </w:r>
    </w:p>
    <w:p>
      <w:pPr>
        <w:spacing w:line="360" w:lineRule="auto" w:after="60"/>
        <w:ind w:firstLine="480"/>
      </w:pPr>
      <w:r>
        <w:rPr>
          <w:rFonts w:ascii="Times New Roman" w:hAnsi="Times New Roman" w:eastAsia="宋体"/>
          <w:b w:val="0"/>
          <w:sz w:val="24"/>
        </w:rPr>
        <w:t>（3）动态秒级报警与链上一键容灾恢复：当被篡改的数据再次被调阅或核验时，系统瞬间感知并亮起红标警报“数据已被非法篡改，链上校验失败”，并提供基于链上账本快照的一键自愈与容灾恢复。</w:t>
      </w:r>
    </w:p>
    <w:p>
      <w:pPr>
        <w:keepNext/>
        <w:spacing w:before="120" w:after="40"/>
      </w:pPr>
      <w:r>
        <w:rPr>
          <w:rFonts w:ascii="Times New Roman" w:hAnsi="Times New Roman" w:eastAsia="宋体"/>
          <w:b/>
          <w:color w:val="333333"/>
          <w:sz w:val="24"/>
        </w:rPr>
        <w:t>3.2.7 受控 AI Agent 智能辅助检索与安全防护</w:t>
      </w:r>
    </w:p>
    <w:p>
      <w:pPr>
        <w:spacing w:line="360" w:lineRule="auto" w:after="60"/>
        <w:ind w:firstLine="480"/>
      </w:pPr>
      <w:r>
        <w:rPr>
          <w:rFonts w:ascii="Times New Roman" w:hAnsi="Times New Roman" w:eastAsia="宋体"/>
          <w:b w:val="0"/>
          <w:sz w:val="24"/>
        </w:rPr>
        <w:t>基于 Python FastAPI 与 LangChain 架构构建受控智能辅助助手，严格践行以下安全防线：</w:t>
      </w:r>
    </w:p>
    <w:p>
      <w:pPr>
        <w:spacing w:line="360" w:lineRule="auto" w:after="60"/>
        <w:ind w:firstLine="480"/>
      </w:pPr>
      <w:r>
        <w:rPr>
          <w:rFonts w:ascii="Times New Roman" w:hAnsi="Times New Roman" w:eastAsia="宋体"/>
          <w:b w:val="0"/>
          <w:sz w:val="24"/>
        </w:rPr>
        <w:t>（1）零底层直连与 Single Gatekeeper 架构：AI 进程完全不包含 MySQL、IPFS 或 Fabric 的任何底层驱动，仅通过受控 Tool Calling 机制，且必须强制透传当前用户的 JWT Bearer 身份令牌向 Go 后端发起 HTTP 请求，严格受制于后端的全部鉴权与风控审查；</w:t>
      </w:r>
    </w:p>
    <w:p>
      <w:pPr>
        <w:spacing w:line="360" w:lineRule="auto" w:after="60"/>
        <w:ind w:firstLine="480"/>
      </w:pPr>
      <w:r>
        <w:rPr>
          <w:rFonts w:ascii="Times New Roman" w:hAnsi="Times New Roman" w:eastAsia="宋体"/>
          <w:b w:val="0"/>
          <w:sz w:val="24"/>
        </w:rPr>
        <w:t>（2）提示词注入与越狱探测防御（Prompt Injection Shield）：内置双语反注入正则过滤引擎，有效识别并拦截“忽略前置指令”、“导出数据库”、“越狱开发者模式”等恶意 Prompt 提权攻击；</w:t>
      </w:r>
    </w:p>
    <w:p>
      <w:pPr>
        <w:spacing w:line="360" w:lineRule="auto" w:after="60"/>
        <w:ind w:firstLine="480"/>
      </w:pPr>
      <w:r>
        <w:rPr>
          <w:rFonts w:ascii="Times New Roman" w:hAnsi="Times New Roman" w:eastAsia="宋体"/>
          <w:b w:val="0"/>
          <w:sz w:val="24"/>
        </w:rPr>
        <w:t>（3）医疗伦理红线坚决拦截：内置医疗合规护栏，严禁智能体做出任何疾病诊断推断、用药处方开具或越权审批行为，恪守“仅做受控业务数据辅助检索”的定位；</w:t>
      </w:r>
    </w:p>
    <w:p>
      <w:pPr>
        <w:spacing w:line="360" w:lineRule="auto" w:after="60"/>
        <w:ind w:firstLine="480"/>
      </w:pPr>
      <w:r>
        <w:rPr>
          <w:rFonts w:ascii="Times New Roman" w:hAnsi="Times New Roman" w:eastAsia="宋体"/>
          <w:b w:val="0"/>
          <w:sz w:val="24"/>
        </w:rPr>
        <w:t>（4）输出隐私数据动态脱敏：对智能体输出文本实施高精度正则脱敏，对手机号、身份证号、加密私钥及 JWT 令牌执行动态掩码屏蔽。</w:t>
      </w:r>
    </w:p>
    <w:p>
      <w:pPr>
        <w:keepNext/>
        <w:spacing w:before="120" w:after="40"/>
      </w:pPr>
      <w:r>
        <w:rPr>
          <w:rFonts w:ascii="Times New Roman" w:hAnsi="Times New Roman" w:eastAsia="宋体"/>
          <w:b/>
          <w:color w:val="333333"/>
          <w:sz w:val="24"/>
        </w:rPr>
        <w:t>3.2.8 多角色统一协同交互与态势感知可视化大屏</w:t>
      </w:r>
    </w:p>
    <w:p>
      <w:pPr>
        <w:spacing w:line="360" w:lineRule="auto" w:after="60"/>
        <w:ind w:firstLine="480"/>
      </w:pPr>
      <w:r>
        <w:rPr>
          <w:rFonts w:ascii="Times New Roman" w:hAnsi="Times New Roman" w:eastAsia="宋体"/>
          <w:b w:val="0"/>
          <w:sz w:val="24"/>
        </w:rPr>
        <w:t>采用 Vue3 + TypeScript + Element Plus + Pinia 技术栈开发响应式 Web 前端应用：</w:t>
      </w:r>
    </w:p>
    <w:p>
      <w:pPr>
        <w:spacing w:line="360" w:lineRule="auto" w:after="60"/>
        <w:ind w:firstLine="480"/>
      </w:pPr>
      <w:r>
        <w:rPr>
          <w:rFonts w:ascii="Times New Roman" w:hAnsi="Times New Roman" w:eastAsia="宋体"/>
          <w:b w:val="0"/>
          <w:sz w:val="24"/>
        </w:rPr>
        <w:t>（1）医生工作台：支持病历建档开单、跨院数据协同调阅、未授权病历申请调阅、Break-Glass 紧急破窗调阅及受控 AI 辅助检索窗口；</w:t>
      </w:r>
    </w:p>
    <w:p>
      <w:pPr>
        <w:spacing w:line="360" w:lineRule="auto" w:after="60"/>
        <w:ind w:firstLine="480"/>
      </w:pPr>
      <w:r>
        <w:rPr>
          <w:rFonts w:ascii="Times New Roman" w:hAnsi="Times New Roman" w:eastAsia="宋体"/>
          <w:b w:val="0"/>
          <w:sz w:val="24"/>
        </w:rPr>
        <w:t>（2）患者健康中心：提供个人全生命周期健康档案看板、单份/全量自主知情授权管理、破窗应急调阅提醒确认与异议申诉；</w:t>
      </w:r>
    </w:p>
    <w:p>
      <w:pPr>
        <w:spacing w:line="360" w:lineRule="auto" w:after="60"/>
        <w:ind w:firstLine="480"/>
      </w:pPr>
      <w:r>
        <w:rPr>
          <w:rFonts w:ascii="Times New Roman" w:hAnsi="Times New Roman" w:eastAsia="宋体"/>
          <w:b w:val="0"/>
          <w:sz w:val="24"/>
        </w:rPr>
        <w:t>（3）管理员与监管审计台：管理员负责组织机构、科室字典与用户账号治理；监管端通过 ECharts 动态大屏实时感知跨院共享吞吐量、区块链交易 TPS、异常高危拦截事件及破窗事件合规审查；</w:t>
      </w:r>
    </w:p>
    <w:p>
      <w:pPr>
        <w:spacing w:line="360" w:lineRule="auto" w:after="60"/>
        <w:ind w:firstLine="480"/>
      </w:pPr>
      <w:r>
        <w:rPr>
          <w:rFonts w:ascii="Times New Roman" w:hAnsi="Times New Roman" w:eastAsia="宋体"/>
          <w:b w:val="0"/>
          <w:sz w:val="24"/>
        </w:rPr>
        <w:t>（4）Fabric/Mock 双模在线侦测：前端顶部导航集成区块链运行状态动态指示卡片，实时侦测 Fabric 容器网络连通性与区块高度。</w:t>
      </w:r>
    </w:p>
    <w:p>
      <w:pPr>
        <w:keepNext/>
        <w:spacing w:before="280" w:after="120"/>
      </w:pPr>
      <w:r>
        <w:rPr>
          <w:rFonts w:ascii="Times New Roman" w:hAnsi="Times New Roman" w:eastAsia="黑体"/>
          <w:b/>
          <w:color w:val="003366"/>
          <w:sz w:val="28"/>
        </w:rPr>
        <w:t>四、拟采用的研究方法、技术路线与实验方案</w:t>
      </w:r>
    </w:p>
    <w:p>
      <w:pPr>
        <w:keepNext/>
        <w:spacing w:before="200" w:after="80"/>
      </w:pPr>
      <w:r>
        <w:rPr>
          <w:rFonts w:ascii="Times New Roman" w:hAnsi="Times New Roman" w:eastAsia="黑体"/>
          <w:b/>
          <w:color w:val="222222"/>
          <w:sz w:val="26"/>
        </w:rPr>
        <w:t>4.1 研究方法</w:t>
      </w:r>
    </w:p>
    <w:p>
      <w:pPr>
        <w:spacing w:line="360" w:lineRule="auto" w:after="60"/>
        <w:ind w:firstLine="480"/>
      </w:pPr>
      <w:r>
        <w:rPr>
          <w:rFonts w:ascii="Times New Roman" w:hAnsi="Times New Roman" w:eastAsia="宋体"/>
          <w:b w:val="0"/>
          <w:sz w:val="24"/>
        </w:rPr>
        <w:t>本课题严格遵循现代软件工程规范，综合运用以下科学研究方法开展系统研发：</w:t>
      </w:r>
    </w:p>
    <w:p>
      <w:pPr>
        <w:spacing w:line="360" w:lineRule="auto" w:after="60"/>
        <w:ind w:firstLine="480"/>
      </w:pPr>
      <w:r>
        <w:rPr>
          <w:rFonts w:ascii="Times New Roman" w:hAnsi="Times New Roman" w:eastAsia="宋体"/>
          <w:b w:val="0"/>
          <w:sz w:val="24"/>
        </w:rPr>
        <w:t>（1）文献研究法：广泛搜集并精读 IEEE Transactions、Nature Scientific Reports、ACM、通信学报、计算机学报等国内外权威文献，系统梳理联盟链、IPFS、访问控制（RBAC/ABAC）、应急破窗机制及受控 AI Agent 的前沿理论，为系统方案论证与技术选型奠定坚实理论基础。</w:t>
      </w:r>
    </w:p>
    <w:p>
      <w:pPr>
        <w:spacing w:line="360" w:lineRule="auto" w:after="60"/>
        <w:ind w:firstLine="480"/>
      </w:pPr>
      <w:r>
        <w:rPr>
          <w:rFonts w:ascii="Times New Roman" w:hAnsi="Times New Roman" w:eastAsia="宋体"/>
          <w:b w:val="0"/>
          <w:sz w:val="24"/>
        </w:rPr>
        <w:t>（2）需求调研与业务建模法：深入调研三甲医院跨区域转诊、检验影像互认及绿色抢救通道等真实业务流程，建立涵盖医生、患者、管理员与监管专员的 4 维角色用例模型，梳理出涵盖“初诊建档—加密上链—授权申请—规则风控—破窗救治—监管追责”的全生命周期业务流转模型。</w:t>
      </w:r>
    </w:p>
    <w:p>
      <w:pPr>
        <w:spacing w:line="360" w:lineRule="auto" w:after="60"/>
        <w:ind w:firstLine="480"/>
      </w:pPr>
      <w:r>
        <w:rPr>
          <w:rFonts w:ascii="Times New Roman" w:hAnsi="Times New Roman" w:eastAsia="宋体"/>
          <w:b w:val="0"/>
          <w:sz w:val="24"/>
        </w:rPr>
        <w:t>（3）分层模块化与面向接口软件工程方法：采用“控制流与数据流分离、业务逻辑与安全网关收口”的原则进行分层架构设计。Go 后端采用 Handler-Service-Repository 分层模式，将区块链底层操作（Fabric Gateway）与分布式存储（IPFS）封装为高内聚的独立服务，利用接口解耦，确保系统架构的高可用与易维护性。</w:t>
      </w:r>
    </w:p>
    <w:p>
      <w:pPr>
        <w:spacing w:line="360" w:lineRule="auto" w:after="60"/>
        <w:ind w:firstLine="480"/>
      </w:pPr>
      <w:r>
        <w:rPr>
          <w:rFonts w:ascii="Times New Roman" w:hAnsi="Times New Roman" w:eastAsia="宋体"/>
          <w:b w:val="0"/>
          <w:sz w:val="24"/>
        </w:rPr>
        <w:t>（4）安全攻防演练与场景验证法：采用白盒与黑盒相结合的测试手段，针对系统设计中存在的威胁（如底层数据库注入篡改、密文移植重放、跨机构越权刺探、Prompt 注入攻击）进行针对性攻防演练，验证系统的三阶段防篡改核验能力与安全护栏有效性。</w:t>
      </w:r>
    </w:p>
    <w:p>
      <w:pPr>
        <w:spacing w:line="360" w:lineRule="auto" w:after="60"/>
        <w:ind w:firstLine="480"/>
      </w:pPr>
      <w:r>
        <w:rPr>
          <w:rFonts w:ascii="Times New Roman" w:hAnsi="Times New Roman" w:eastAsia="宋体"/>
          <w:b w:val="0"/>
          <w:sz w:val="24"/>
        </w:rPr>
        <w:t>（5）基准性能测试与对比分析法：使用 JMeter 与 Postman 对核心 API、IPFS 文件加解密传输时延、Fabric 交易提交通道上链耗时进行并发压测，分析加权规则风控引擎的决策时延，确保系统能够达到毫秒级鉴权与秒级上链的生产级性能指标。</w:t>
      </w:r>
    </w:p>
    <w:p>
      <w:pPr>
        <w:keepNext/>
        <w:spacing w:before="200" w:after="80"/>
      </w:pPr>
      <w:r>
        <w:rPr>
          <w:rFonts w:ascii="Times New Roman" w:hAnsi="Times New Roman" w:eastAsia="黑体"/>
          <w:b/>
          <w:color w:val="222222"/>
          <w:sz w:val="26"/>
        </w:rPr>
        <w:t>4.2 系统总体技术路线与架构分层设计</w:t>
      </w:r>
    </w:p>
    <w:p>
      <w:pPr>
        <w:spacing w:line="360" w:lineRule="auto" w:after="60"/>
        <w:ind w:firstLine="480"/>
      </w:pPr>
      <w:r>
        <w:rPr>
          <w:rFonts w:ascii="Times New Roman" w:hAnsi="Times New Roman" w:eastAsia="宋体"/>
          <w:b w:val="0"/>
          <w:sz w:val="24"/>
        </w:rPr>
        <w:t>系统逻辑上划分为四个相互隔离又高效协同的层级：</w:t>
      </w:r>
    </w:p>
    <w:p>
      <w:pPr>
        <w:spacing w:line="360" w:lineRule="auto" w:after="60"/>
        <w:ind w:firstLine="480"/>
      </w:pPr>
      <w:r>
        <w:rPr>
          <w:rFonts w:ascii="Times New Roman" w:hAnsi="Times New Roman" w:eastAsia="宋体"/>
          <w:b w:val="0"/>
          <w:sz w:val="24"/>
        </w:rPr>
        <w:t>① 前端表现层：基于 Vue 3 + Vite + TypeScript + Element Plus + Pinia + ECharts 构建，通过 Axios 发起携带 JWT Bearer Token 的 RESTful API 跨域请求；</w:t>
      </w:r>
    </w:p>
    <w:p>
      <w:pPr>
        <w:spacing w:line="360" w:lineRule="auto" w:after="60"/>
        <w:ind w:firstLine="480"/>
      </w:pPr>
      <w:r>
        <w:rPr>
          <w:rFonts w:ascii="Times New Roman" w:hAnsi="Times New Roman" w:eastAsia="宋体"/>
          <w:b w:val="0"/>
          <w:sz w:val="24"/>
        </w:rPr>
        <w:t>② 核心业务与网关层：基于 Go 语言和高性能 Gin 框架构建，内嵌统一安全网关（Single Gatekeeper），依次收口 JWT 鉴权中间件、RBAC 角色拦截、ABAC 属性匹配、患者授权校验与 RiskEngine 规则风控引擎，底层服务纯粹聚焦业务逻辑编排；</w:t>
      </w:r>
    </w:p>
    <w:p>
      <w:pPr>
        <w:spacing w:line="360" w:lineRule="auto" w:after="60"/>
        <w:ind w:firstLine="480"/>
      </w:pPr>
      <w:r>
        <w:rPr>
          <w:rFonts w:ascii="Times New Roman" w:hAnsi="Times New Roman" w:eastAsia="宋体"/>
          <w:b w:val="0"/>
          <w:sz w:val="24"/>
        </w:rPr>
        <w:t>③ 数据与基础设施层：MySQL 8.0 负责 9 张核心业务表与元数据持久化；Redis 7.0 负责 Token 吊销黑名单、API 频控滑动窗口与分布式锁；IPFS 负责密文块去中心化沉淀；Hyperledger Fabric 2.5 集群提供基于 Raft 共识的不可篡改账本与链码容器；</w:t>
      </w:r>
    </w:p>
    <w:p>
      <w:pPr>
        <w:spacing w:line="360" w:lineRule="auto" w:after="60"/>
        <w:ind w:firstLine="480"/>
      </w:pPr>
      <w:r>
        <w:rPr>
          <w:rFonts w:ascii="Times New Roman" w:hAnsi="Times New Roman" w:eastAsia="宋体"/>
          <w:b w:val="0"/>
          <w:sz w:val="24"/>
        </w:rPr>
        <w:t>④ 受控 AI 辅助层：基于 Python 3.10 + FastAPI + LangChain 独立部署，通过受控 Tool Calling 机制反向请求 Go 后端业务接口，严禁直连底层数据库。</w:t>
      </w:r>
    </w:p>
    <w:p>
      <w:pPr>
        <w:keepNext/>
        <w:spacing w:before="200" w:after="80"/>
      </w:pPr>
      <w:r>
        <w:rPr>
          <w:rFonts w:ascii="Times New Roman" w:hAnsi="Times New Roman" w:eastAsia="黑体"/>
          <w:b/>
          <w:color w:val="222222"/>
          <w:sz w:val="26"/>
        </w:rPr>
        <w:t>4.3 核心技术选型与工具链</w:t>
      </w:r>
    </w:p>
    <w:p>
      <w:pPr>
        <w:spacing w:line="360" w:lineRule="auto" w:after="60"/>
        <w:ind w:firstLine="480"/>
      </w:pPr>
      <w:r>
        <w:rPr>
          <w:rFonts w:ascii="Times New Roman" w:hAnsi="Times New Roman" w:eastAsia="宋体"/>
          <w:b w:val="0"/>
          <w:sz w:val="24"/>
        </w:rPr>
        <w:t>经过严谨的工程评估与对比论证，课题最终确立的核心技术选型如下表所示：</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880"/>
        <w:gridCol w:w="2880"/>
        <w:gridCol w:w="2880"/>
      </w:tblGrid>
      <w:tr>
        <w:tc>
          <w:tcPr>
            <w:tcW w:type="dxa" w:w="2880"/>
            <w:tcMar>
              <w:top w:w="80" w:type="dxa"/>
              <w:bottom w:w="80" w:type="dxa"/>
              <w:left w:w="100" w:type="dxa"/>
              <w:right w:w="100" w:type="dxa"/>
            </w:tcMar>
            <w:shd w:fill="E6EEF8"/>
          </w:tcPr>
          <w:p>
            <w:pPr>
              <w:spacing w:line="288" w:lineRule="auto"/>
              <w:jc w:val="center"/>
            </w:pPr>
            <w:r>
              <w:rPr>
                <w:rFonts w:ascii="Times New Roman" w:hAnsi="Times New Roman" w:eastAsia="黑体"/>
                <w:b/>
                <w:sz w:val="21"/>
              </w:rPr>
              <w:t>技术领域</w:t>
            </w:r>
          </w:p>
        </w:tc>
        <w:tc>
          <w:tcPr>
            <w:tcW w:type="dxa" w:w="2880"/>
            <w:tcMar>
              <w:top w:w="80" w:type="dxa"/>
              <w:bottom w:w="80" w:type="dxa"/>
              <w:left w:w="100" w:type="dxa"/>
              <w:right w:w="100" w:type="dxa"/>
            </w:tcMar>
            <w:shd w:fill="E6EEF8"/>
          </w:tcPr>
          <w:p>
            <w:pPr>
              <w:spacing w:line="288" w:lineRule="auto"/>
              <w:jc w:val="center"/>
            </w:pPr>
            <w:r>
              <w:rPr>
                <w:rFonts w:ascii="Times New Roman" w:hAnsi="Times New Roman" w:eastAsia="黑体"/>
                <w:b/>
                <w:sz w:val="21"/>
              </w:rPr>
              <w:t>选定技术方案与组件</w:t>
            </w:r>
          </w:p>
        </w:tc>
        <w:tc>
          <w:tcPr>
            <w:tcW w:type="dxa" w:w="2880"/>
            <w:tcMar>
              <w:top w:w="80" w:type="dxa"/>
              <w:bottom w:w="80" w:type="dxa"/>
              <w:left w:w="100" w:type="dxa"/>
              <w:right w:w="100" w:type="dxa"/>
            </w:tcMar>
            <w:shd w:fill="E6EEF8"/>
          </w:tcPr>
          <w:p>
            <w:pPr>
              <w:spacing w:line="288" w:lineRule="auto"/>
              <w:jc w:val="center"/>
            </w:pPr>
            <w:r>
              <w:rPr>
                <w:rFonts w:ascii="Times New Roman" w:hAnsi="Times New Roman" w:eastAsia="黑体"/>
                <w:b/>
                <w:sz w:val="21"/>
              </w:rPr>
              <w:t>选型核心优势与决策依据</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前端开发栈</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Vue 3 + TypeScript + Vite + Element Plus</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组件化开发成熟，TypeScript 类型安全，Vite 极速热更新，生态适配度极佳</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核心后端栈</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Go 1.22+ + Gin + GORM</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高并发协程机制并发性能优异，内存开销极低，原生支持 Fabric Gateway SDK</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区块链基础设施</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Hyperledger Fabric 2.5 LTS (medchannel)</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企业级许可联盟链标准，组织级 MSP 准入，高 TPS，通道数据物理隔离且无 Gas 费</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链下分布式存储</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IPFS (Kubo 独立集群节点)</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基于哈希的内容寻址防文件篡改，去中心化分布式架构有效规避单点性能瓶颈</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数据与缓存层</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MySQL 8.0 + Redis 7.0</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MySQL 保证 ACID 事务与关系数据完整性，Redis 实现毫秒级频控计数与 Token 吊销</w:t>
            </w:r>
          </w:p>
        </w:tc>
      </w:tr>
      <w:tr>
        <w:tc>
          <w:tcPr>
            <w:tcW w:type="dxa" w:w="2880"/>
            <w:tcMar>
              <w:top w:w="80" w:type="dxa"/>
              <w:bottom w:w="80" w:type="dxa"/>
              <w:left w:w="100" w:type="dxa"/>
              <w:right w:w="100" w:type="dxa"/>
            </w:tcMar>
          </w:tcPr>
          <w:p>
            <w:pPr>
              <w:spacing w:line="288" w:lineRule="auto"/>
              <w:jc w:val="center"/>
            </w:pPr>
            <w:r>
              <w:rPr>
                <w:rFonts w:ascii="Times New Roman" w:hAnsi="Times New Roman" w:eastAsia="宋体"/>
                <w:sz w:val="20"/>
              </w:rPr>
              <w:t>受控智能体</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Python 3.10 + FastAPI + LangChain</w:t>
            </w:r>
          </w:p>
        </w:tc>
        <w:tc>
          <w:tcPr>
            <w:tcW w:type="dxa" w:w="2880"/>
            <w:tcMar>
              <w:top w:w="80" w:type="dxa"/>
              <w:bottom w:w="80" w:type="dxa"/>
              <w:left w:w="100" w:type="dxa"/>
              <w:right w:w="100" w:type="dxa"/>
            </w:tcMar>
          </w:tcPr>
          <w:p>
            <w:pPr>
              <w:spacing w:line="288" w:lineRule="auto"/>
              <w:jc w:val="left"/>
            </w:pPr>
            <w:r>
              <w:rPr>
                <w:rFonts w:ascii="Times New Roman" w:hAnsi="Times New Roman" w:eastAsia="宋体"/>
                <w:sz w:val="20"/>
              </w:rPr>
              <w:t>AI 生态完善，FastAPI 异步高并发，LangChain Tool Calling 编排规范严谨</w:t>
            </w:r>
          </w:p>
        </w:tc>
      </w:tr>
    </w:tbl>
    <w:p>
      <w:pPr>
        <w:spacing w:after="160"/>
      </w:pPr>
    </w:p>
    <w:p>
      <w:pPr>
        <w:keepNext/>
        <w:spacing w:before="200" w:after="80"/>
      </w:pPr>
      <w:r>
        <w:rPr>
          <w:rFonts w:ascii="Times New Roman" w:hAnsi="Times New Roman" w:eastAsia="黑体"/>
          <w:b/>
          <w:color w:val="222222"/>
          <w:sz w:val="26"/>
        </w:rPr>
        <w:t>4.4 可行性分析</w:t>
      </w:r>
    </w:p>
    <w:p>
      <w:pPr>
        <w:spacing w:line="360" w:lineRule="auto" w:after="60"/>
        <w:ind w:firstLine="480"/>
      </w:pPr>
      <w:r>
        <w:rPr>
          <w:rFonts w:ascii="Times New Roman" w:hAnsi="Times New Roman" w:eastAsia="宋体"/>
          <w:b w:val="0"/>
          <w:sz w:val="24"/>
        </w:rPr>
        <w:t>（1）技术可行性：团队前期已完成系统的技术预研与核心脚手架搭建。Go 语言官方提供了成熟的 fabric-gateway 与 fabric-contract-api-go 驱动库；Vue3 与 Element Plus 在医疗前端管理系统中具有最广泛的应用经验；IPFS 与 AES-256-GCM 密码学库在业界应用成熟稳定；Python FastAPI 与 LangChain 的受控 Tool Calling 已在工程中得到有效验证。技术栈无无法突破的盲区。</w:t>
      </w:r>
    </w:p>
    <w:p>
      <w:pPr>
        <w:spacing w:line="360" w:lineRule="auto" w:after="60"/>
        <w:ind w:firstLine="480"/>
      </w:pPr>
      <w:r>
        <w:rPr>
          <w:rFonts w:ascii="Times New Roman" w:hAnsi="Times New Roman" w:eastAsia="宋体"/>
          <w:b w:val="0"/>
          <w:sz w:val="24"/>
        </w:rPr>
        <w:t>（2）操作可行性：系统全量采用标准的 B/S 浏览器/服务器架构，各角色用户仅需通过现代主流浏览器（Chrome/Edge/Firefox）即可完成全部操作，无需安装任何专用客户端或配置区块链钱包；界面设计严格符合国家医疗信息化人机交互规范，操作简便直观。</w:t>
      </w:r>
    </w:p>
    <w:p>
      <w:pPr>
        <w:spacing w:line="360" w:lineRule="auto" w:after="60"/>
        <w:ind w:firstLine="480"/>
      </w:pPr>
      <w:r>
        <w:rPr>
          <w:rFonts w:ascii="Times New Roman" w:hAnsi="Times New Roman" w:eastAsia="宋体"/>
          <w:b w:val="0"/>
          <w:sz w:val="24"/>
        </w:rPr>
        <w:t>（3）经济可行性：系统所选用的底层组件（Hyperledger Fabric、IPFS、Go、Gin、Vue3、MySQL、Redis、FastAPI）全部为工业级开源免费技术，开发与测试基于标准 x86 PC 与 Docker 容器环境即可顺畅运行，无需采购昂贵的专用商业区块链服务器或支付公链 Gas 手续费，经济成本完全可控。</w:t>
      </w:r>
    </w:p>
    <w:p>
      <w:pPr>
        <w:spacing w:line="360" w:lineRule="auto" w:after="60"/>
        <w:ind w:firstLine="480"/>
      </w:pPr>
      <w:r>
        <w:rPr>
          <w:rFonts w:ascii="Times New Roman" w:hAnsi="Times New Roman" w:eastAsia="宋体"/>
          <w:b w:val="0"/>
          <w:sz w:val="24"/>
        </w:rPr>
        <w:t>（4）合规与伦理可行性：课题采用的演示数据均为基于临床标准规范由脚本生成的脱敏模拟数据集，完全不涉及真实患者的任何个人隐私身份信息（PII）；系统设计严格遵循国家《个人信息保护法》与急诊急救法律规范，符合学术研究与工程实践伦理要求。</w:t>
      </w:r>
    </w:p>
    <w:p>
      <w:pPr>
        <w:keepNext/>
        <w:spacing w:before="280" w:after="120"/>
      </w:pPr>
      <w:r>
        <w:rPr>
          <w:rFonts w:ascii="Times New Roman" w:hAnsi="Times New Roman" w:eastAsia="黑体"/>
          <w:b/>
          <w:color w:val="003366"/>
          <w:sz w:val="28"/>
        </w:rPr>
        <w:t>五、课题研究的重点、难点与核心创新点</w:t>
      </w:r>
    </w:p>
    <w:p>
      <w:pPr>
        <w:keepNext/>
        <w:spacing w:before="200" w:after="80"/>
      </w:pPr>
      <w:r>
        <w:rPr>
          <w:rFonts w:ascii="Times New Roman" w:hAnsi="Times New Roman" w:eastAsia="黑体"/>
          <w:b/>
          <w:color w:val="222222"/>
          <w:sz w:val="26"/>
        </w:rPr>
        <w:t>5.1 研究重点与难点攻关分析</w:t>
      </w:r>
    </w:p>
    <w:p>
      <w:pPr>
        <w:spacing w:line="360" w:lineRule="auto" w:after="60"/>
        <w:ind w:firstLine="480"/>
      </w:pPr>
      <w:r>
        <w:rPr>
          <w:rFonts w:ascii="Times New Roman" w:hAnsi="Times New Roman" w:eastAsia="宋体"/>
          <w:b w:val="0"/>
          <w:sz w:val="24"/>
        </w:rPr>
        <w:t>（1）难点一：多组织跨院联盟链网络拓扑编排与链码状态一致性。在异构网络环境下，如何确保多个医院节点稳定加入统一 Channel，并在网络闪断或并发交易提交时保证 MySQL 本地数据库与 Fabric 分布式账本之间的数据最终一致性。本课题通过引入具有幂等性控制的状态机（IdempotencyKey, SyncStatus）与指数退避重试队列，实现链上链下数据流转的高可靠一致性。</w:t>
      </w:r>
    </w:p>
    <w:p>
      <w:pPr>
        <w:spacing w:line="360" w:lineRule="auto" w:after="60"/>
        <w:ind w:firstLine="480"/>
      </w:pPr>
      <w:r>
        <w:rPr>
          <w:rFonts w:ascii="Times New Roman" w:hAnsi="Times New Roman" w:eastAsia="宋体"/>
          <w:b w:val="0"/>
          <w:sz w:val="24"/>
        </w:rPr>
        <w:t>（2）难点二：链下海量非结构化影像数据与链上轻量存证的密码学协同。医学文件体积庞大，既要避免直接上链引起账本爆炸，又要防止密文在 IPFS 中被替换或遭遇密文移植攻击。本课题重点攻克了基于 AES-256-GCM 动态派生密钥并强绑定患者与病历 AAD 的流式加解密算法，并分立 FileHash 与 ClinicalHash 双重指纹，从根源上化解了此难题。</w:t>
      </w:r>
    </w:p>
    <w:p>
      <w:pPr>
        <w:spacing w:line="360" w:lineRule="auto" w:after="60"/>
        <w:ind w:firstLine="480"/>
      </w:pPr>
      <w:r>
        <w:rPr>
          <w:rFonts w:ascii="Times New Roman" w:hAnsi="Times New Roman" w:eastAsia="宋体"/>
          <w:b w:val="0"/>
          <w:sz w:val="24"/>
        </w:rPr>
        <w:t>（3）难点三：急诊救治时效性与患者隐私合规性的矛盾平衡。如何防止 Break-Glass 机制沦为个别医生随意调阅隐私的“合法后门”。本课题重点设计了“前置准入校验—临床责任声明强制固化—24小时临时通行证—双向即时存证上链—患者异议投诉—监管专员闭环审查惩戒复权”的严密制度与技术闭环。</w:t>
      </w:r>
    </w:p>
    <w:p>
      <w:pPr>
        <w:spacing w:line="360" w:lineRule="auto" w:after="60"/>
        <w:ind w:firstLine="480"/>
      </w:pPr>
      <w:r>
        <w:rPr>
          <w:rFonts w:ascii="Times New Roman" w:hAnsi="Times New Roman" w:eastAsia="宋体"/>
          <w:b w:val="0"/>
          <w:sz w:val="24"/>
        </w:rPr>
        <w:t>（4）难点四：大模型在受限安全环境下的合规集成与提示词注入防护。如何防止用户诱导 AI Agent 绕过权限越权读取病历或让其自动开具处方。本课题坚持 Single Gatekeeper 原则，封死 AI 进程底层直连端口，强化提示词注入防御与脱敏清洗，牢牢筑牢安全红线。</w:t>
      </w:r>
    </w:p>
    <w:p>
      <w:pPr>
        <w:keepNext/>
        <w:spacing w:before="200" w:after="80"/>
      </w:pPr>
      <w:r>
        <w:rPr>
          <w:rFonts w:ascii="Times New Roman" w:hAnsi="Times New Roman" w:eastAsia="黑体"/>
          <w:b/>
          <w:color w:val="222222"/>
          <w:sz w:val="26"/>
        </w:rPr>
        <w:t>5.2 课题核心创新点</w:t>
      </w:r>
    </w:p>
    <w:p>
      <w:pPr>
        <w:spacing w:line="360" w:lineRule="auto" w:after="60"/>
        <w:ind w:firstLine="480"/>
      </w:pPr>
      <w:r>
        <w:rPr>
          <w:rFonts w:ascii="Times New Roman" w:hAnsi="Times New Roman" w:eastAsia="宋体"/>
          <w:b w:val="0"/>
          <w:sz w:val="24"/>
        </w:rPr>
        <w:t>课题总结并提炼出以下四大核心创新特色：</w:t>
      </w:r>
    </w:p>
    <w:p>
      <w:pPr>
        <w:spacing w:line="360" w:lineRule="auto" w:after="60"/>
        <w:ind w:firstLine="480"/>
      </w:pPr>
      <w:r>
        <w:rPr>
          <w:rFonts w:ascii="Times New Roman" w:hAnsi="Times New Roman" w:eastAsia="宋体"/>
          <w:b w:val="0"/>
          <w:sz w:val="24"/>
        </w:rPr>
        <w:t>（1）创新点一：链上链下协同的“双重密码学摘要与 AAD 绑定防替换”存证架构。系统不仅实现了非结构化大文件的链下 IPFS 加密存储，更开创性地将病历二进制附件 SHA-256 物理指纹（FileHash）与结构化临床 SOAP 诊断要素的 Merkle 根摘要（ClinicalHash）严密分立固化至 Fabric 联盟链；并在 GCM 加密中实施 AAD 动态身份强绑定，兼顾了存储轻量化、共识高吞吐与抗密码学重放移植的高安全性。</w:t>
      </w:r>
    </w:p>
    <w:p>
      <w:pPr>
        <w:spacing w:line="360" w:lineRule="auto" w:after="60"/>
        <w:ind w:firstLine="480"/>
      </w:pPr>
      <w:r>
        <w:rPr>
          <w:rFonts w:ascii="Times New Roman" w:hAnsi="Times New Roman" w:eastAsia="宋体"/>
          <w:b w:val="0"/>
          <w:sz w:val="24"/>
        </w:rPr>
        <w:t>（2）创新点二：“生命优先·合规闭环”的 Break-Glass 应急破窗机制与三级监管惩戒复权模型。针对极端急救场景，突破常规知情授权死锁，支持签署合规责任声明后秒级解密病历；同时全量事件上链固化，引入患者异议申诉与监管专员三级审查，联动实施 NORMAL / RESTRICTED / DISABLED 分级惩戒与整改复权治理，实现了急危抢救与事后追责的完美统一。</w:t>
      </w:r>
    </w:p>
    <w:p>
      <w:pPr>
        <w:spacing w:line="360" w:lineRule="auto" w:after="60"/>
        <w:ind w:firstLine="480"/>
      </w:pPr>
      <w:r>
        <w:rPr>
          <w:rFonts w:ascii="Times New Roman" w:hAnsi="Times New Roman" w:eastAsia="宋体"/>
          <w:b w:val="0"/>
          <w:sz w:val="24"/>
        </w:rPr>
        <w:t>（3）创新点三：拒绝黑盒的“透明加权规则风险引擎（RiskEngine）与分级响应策略”。坚决剔除学术界虚假或不可解释的复杂算法，首创涵盖访问时段（RULE-T1）、机构跨度（RULE-D1）、频次突增（RULE-F1）、批量调阅（RULE-F2）、授权缺失（RULE-A1）与急救通道（RULE-E1）的多维加权规则引擎，向医生和监管员透明展示判定因子，决策过程具有极高的可信度与法律可解释性。</w:t>
      </w:r>
    </w:p>
    <w:p>
      <w:pPr>
        <w:spacing w:line="360" w:lineRule="auto" w:after="60"/>
        <w:ind w:firstLine="480"/>
      </w:pPr>
      <w:r>
        <w:rPr>
          <w:rFonts w:ascii="Times New Roman" w:hAnsi="Times New Roman" w:eastAsia="宋体"/>
          <w:b w:val="0"/>
          <w:sz w:val="24"/>
        </w:rPr>
        <w:t>（4）创新点四：严格恪守 Single Gatekeeper 与医疗伦理红线的“受控 AI Agent 协同架构”。AI 助手仅负责自然语言意图抽取并通过受控 Tool Calling 透传 JWT 令牌调用业务网关，绝不赋予底层数据库直连权限；坚决杜绝 AI 自动诊断与开具处方，集成提示词防越狱护栏与 PII 动态脱敏输出，为大模型在医疗严控系统中的落地提供了规范范式。</w:t>
      </w:r>
    </w:p>
    <w:p>
      <w:pPr>
        <w:keepNext/>
        <w:spacing w:before="280" w:after="120"/>
      </w:pPr>
      <w:r>
        <w:rPr>
          <w:rFonts w:ascii="Times New Roman" w:hAnsi="Times New Roman" w:eastAsia="黑体"/>
          <w:b/>
          <w:color w:val="003366"/>
          <w:sz w:val="28"/>
        </w:rPr>
        <w:t>六、课题研究进度安排与预期成果</w:t>
      </w:r>
    </w:p>
    <w:p>
      <w:pPr>
        <w:keepNext/>
        <w:spacing w:before="200" w:after="80"/>
      </w:pPr>
      <w:r>
        <w:rPr>
          <w:rFonts w:ascii="Times New Roman" w:hAnsi="Times New Roman" w:eastAsia="黑体"/>
          <w:b/>
          <w:color w:val="222222"/>
          <w:sz w:val="26"/>
        </w:rPr>
        <w:t>6.1 阶段实施进度安排</w:t>
      </w:r>
    </w:p>
    <w:p>
      <w:pPr>
        <w:spacing w:line="360" w:lineRule="auto" w:after="60"/>
        <w:ind w:firstLine="480"/>
      </w:pPr>
      <w:r>
        <w:rPr>
          <w:rFonts w:ascii="Times New Roman" w:hAnsi="Times New Roman" w:eastAsia="宋体"/>
          <w:b w:val="0"/>
          <w:sz w:val="24"/>
        </w:rPr>
        <w:t>本课题严格对标《广州商学院 2027 届本科毕业论文（设计）任务书》的时间节点要求，制定了清晰严密的 9 阶段实施规划：</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160"/>
        <w:gridCol w:w="2160"/>
        <w:gridCol w:w="2160"/>
        <w:gridCol w:w="2160"/>
      </w:tblGrid>
      <w:tr>
        <w:tc>
          <w:tcPr>
            <w:tcW w:type="dxa" w:w="2160"/>
            <w:tcMar>
              <w:top w:w="70" w:type="dxa"/>
              <w:bottom w:w="70" w:type="dxa"/>
              <w:left w:w="80" w:type="dxa"/>
              <w:right w:w="80" w:type="dxa"/>
            </w:tcMar>
            <w:shd w:fill="E6EEF8"/>
          </w:tcPr>
          <w:p>
            <w:pPr>
              <w:spacing w:line="288" w:lineRule="auto"/>
              <w:jc w:val="center"/>
            </w:pPr>
            <w:r>
              <w:rPr>
                <w:rFonts w:ascii="Times New Roman" w:hAnsi="Times New Roman" w:eastAsia="黑体"/>
                <w:b/>
                <w:sz w:val="21"/>
              </w:rPr>
              <w:t>阶段序号</w:t>
            </w:r>
          </w:p>
        </w:tc>
        <w:tc>
          <w:tcPr>
            <w:tcW w:type="dxa" w:w="2160"/>
            <w:tcMar>
              <w:top w:w="70" w:type="dxa"/>
              <w:bottom w:w="70" w:type="dxa"/>
              <w:left w:w="80" w:type="dxa"/>
              <w:right w:w="80" w:type="dxa"/>
            </w:tcMar>
            <w:shd w:fill="E6EEF8"/>
          </w:tcPr>
          <w:p>
            <w:pPr>
              <w:spacing w:line="288" w:lineRule="auto"/>
              <w:jc w:val="center"/>
            </w:pPr>
            <w:r>
              <w:rPr>
                <w:rFonts w:ascii="Times New Roman" w:hAnsi="Times New Roman" w:eastAsia="黑体"/>
                <w:b/>
                <w:sz w:val="21"/>
              </w:rPr>
              <w:t>起止日期</w:t>
            </w:r>
          </w:p>
        </w:tc>
        <w:tc>
          <w:tcPr>
            <w:tcW w:type="dxa" w:w="2160"/>
            <w:tcMar>
              <w:top w:w="70" w:type="dxa"/>
              <w:bottom w:w="70" w:type="dxa"/>
              <w:left w:w="80" w:type="dxa"/>
              <w:right w:w="80" w:type="dxa"/>
            </w:tcMar>
            <w:shd w:fill="E6EEF8"/>
          </w:tcPr>
          <w:p>
            <w:pPr>
              <w:spacing w:line="288" w:lineRule="auto"/>
              <w:jc w:val="center"/>
            </w:pPr>
            <w:r>
              <w:rPr>
                <w:rFonts w:ascii="Times New Roman" w:hAnsi="Times New Roman" w:eastAsia="黑体"/>
                <w:b/>
                <w:sz w:val="21"/>
              </w:rPr>
              <w:t>主要研究与设计任务</w:t>
            </w:r>
          </w:p>
        </w:tc>
        <w:tc>
          <w:tcPr>
            <w:tcW w:type="dxa" w:w="2160"/>
            <w:tcMar>
              <w:top w:w="70" w:type="dxa"/>
              <w:bottom w:w="70" w:type="dxa"/>
              <w:left w:w="80" w:type="dxa"/>
              <w:right w:w="80" w:type="dxa"/>
            </w:tcMar>
            <w:shd w:fill="E6EEF8"/>
          </w:tcPr>
          <w:p>
            <w:pPr>
              <w:spacing w:line="288" w:lineRule="auto"/>
              <w:jc w:val="center"/>
            </w:pPr>
            <w:r>
              <w:rPr>
                <w:rFonts w:ascii="Times New Roman" w:hAnsi="Times New Roman" w:eastAsia="黑体"/>
                <w:b/>
                <w:sz w:val="21"/>
              </w:rPr>
              <w:t>阶段预期交付成果</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1</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2026.09.01 - 2026.09.22</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文献查阅、选题论证、方案设计与开题报告撰写</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完成毕业设计开题报告与文献综述</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2026.09.23 - 2026.10.15</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课题背景调查、系统需求分析与论文绪论撰写</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完成需求分析规格书与论文绪论章节</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3</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2026.10.16 - 2026.12.31</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系统架构设计、核心微服务编码与 Fabric 链码部署</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完成前后端系统编码与全套微服务部署</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4</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2027.01.01</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毕业论文（设计）中期检查</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提交中期进展报告并接受中期答辩检查</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5</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2027.01.02 - 2027.01.31</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防篡改攻防演练、系统联调、API 并发压测与缺陷修复</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完成系统功能测试与性能测试报告</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6</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2027.02.01 - 2027.02.16</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撰写毕业论文初稿，导师指导与评阅修改</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提交毕业设计论文完整初稿</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7</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2027.02.17 - 2027.03.02</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论文查重、格式规范审核、盲审与抽检</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查重达标，获得毕业设计答辩资格</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8</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2027.03.03 - 2027.03.16</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根据评阅意见修改定稿，提交签名电子正式版</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提交毕业论文终稿及全套工程代码光盘</w:t>
            </w:r>
          </w:p>
        </w:tc>
      </w:tr>
      <w:tr>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9</w:t>
            </w:r>
          </w:p>
        </w:tc>
        <w:tc>
          <w:tcPr>
            <w:tcW w:type="dxa" w:w="2160"/>
            <w:tcMar>
              <w:top w:w="70" w:type="dxa"/>
              <w:bottom w:w="70" w:type="dxa"/>
              <w:left w:w="80" w:type="dxa"/>
              <w:right w:w="80" w:type="dxa"/>
            </w:tcMar>
          </w:tcPr>
          <w:p>
            <w:pPr>
              <w:spacing w:line="288" w:lineRule="auto"/>
              <w:jc w:val="center"/>
            </w:pPr>
            <w:r>
              <w:rPr>
                <w:rFonts w:ascii="Times New Roman" w:hAnsi="Times New Roman" w:eastAsia="宋体"/>
                <w:sz w:val="19"/>
              </w:rPr>
              <w:t>2027.03.17 - 2027.04.11</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制作毕业答辩 PPT，答辩演练与毕业公开答辩</w:t>
            </w:r>
          </w:p>
        </w:tc>
        <w:tc>
          <w:tcPr>
            <w:tcW w:type="dxa" w:w="2160"/>
            <w:tcMar>
              <w:top w:w="70" w:type="dxa"/>
              <w:bottom w:w="70" w:type="dxa"/>
              <w:left w:w="80" w:type="dxa"/>
              <w:right w:w="80" w:type="dxa"/>
            </w:tcMar>
          </w:tcPr>
          <w:p>
            <w:pPr>
              <w:spacing w:line="288" w:lineRule="auto"/>
              <w:jc w:val="left"/>
            </w:pPr>
            <w:r>
              <w:rPr>
                <w:rFonts w:ascii="Times New Roman" w:hAnsi="Times New Roman" w:eastAsia="宋体"/>
                <w:sz w:val="19"/>
              </w:rPr>
              <w:t>顺利完成毕业论文答辩与成果归档</w:t>
            </w:r>
          </w:p>
        </w:tc>
      </w:tr>
    </w:tbl>
    <w:p>
      <w:pPr>
        <w:spacing w:after="160"/>
      </w:pPr>
    </w:p>
    <w:p>
      <w:pPr>
        <w:keepNext/>
        <w:spacing w:before="200" w:after="80"/>
      </w:pPr>
      <w:r>
        <w:rPr>
          <w:rFonts w:ascii="Times New Roman" w:hAnsi="Times New Roman" w:eastAsia="黑体"/>
          <w:b/>
          <w:color w:val="222222"/>
          <w:sz w:val="26"/>
        </w:rPr>
        <w:t>6.2 预期成果形式</w:t>
      </w:r>
    </w:p>
    <w:p>
      <w:pPr>
        <w:spacing w:line="360" w:lineRule="auto" w:after="60"/>
        <w:ind w:firstLine="480"/>
      </w:pPr>
      <w:r>
        <w:rPr>
          <w:rFonts w:ascii="Times New Roman" w:hAnsi="Times New Roman" w:eastAsia="宋体"/>
          <w:b w:val="0"/>
          <w:sz w:val="24"/>
        </w:rPr>
        <w:t>（1）软件工程实物成果：</w:t>
      </w:r>
    </w:p>
    <w:p>
      <w:pPr>
        <w:spacing w:line="360" w:lineRule="auto" w:after="60"/>
        <w:ind w:firstLine="480"/>
      </w:pPr>
      <w:r>
        <w:rPr>
          <w:rFonts w:ascii="Times New Roman" w:hAnsi="Times New Roman" w:eastAsia="宋体"/>
          <w:b w:val="0"/>
          <w:sz w:val="24"/>
        </w:rPr>
        <w:t>① 完整的工程化软件源码系统：包括基于 Go 1.22+ 实现的高性能后端网关与微服务业务包、基于 Vue 3 + TypeScript 构建的高交互多角色前端系统、基于 Python FastAPI 构建的受控 AI Agent 服务包，以及基于 Go Contract API 编写的 Fabric medical 智能合约；</w:t>
      </w:r>
    </w:p>
    <w:p>
      <w:pPr>
        <w:spacing w:line="360" w:lineRule="auto" w:after="60"/>
        <w:ind w:firstLine="480"/>
      </w:pPr>
      <w:r>
        <w:rPr>
          <w:rFonts w:ascii="Times New Roman" w:hAnsi="Times New Roman" w:eastAsia="宋体"/>
          <w:b w:val="0"/>
          <w:sz w:val="24"/>
        </w:rPr>
        <w:t>② 容器化与网络编排配置文件：包括 Hyperledger Fabric 2.5 真实网络编排文件（Orderer、Org1、Org2、CA）、Crypto 身份材料配置、Channel 通道创世块定义及一键式启停运维脚本；</w:t>
      </w:r>
    </w:p>
    <w:p>
      <w:pPr>
        <w:spacing w:line="360" w:lineRule="auto" w:after="60"/>
        <w:ind w:firstLine="480"/>
      </w:pPr>
      <w:r>
        <w:rPr>
          <w:rFonts w:ascii="Times New Roman" w:hAnsi="Times New Roman" w:eastAsia="宋体"/>
          <w:b w:val="0"/>
          <w:sz w:val="24"/>
        </w:rPr>
        <w:t>③ 规范化数据库与脱敏数据集：MySQL 9 张核心关系数据表结构 SQL，以及包含 12 份国家标准临床病历的多院多病种测试数据集；</w:t>
      </w:r>
    </w:p>
    <w:p>
      <w:pPr>
        <w:spacing w:line="360" w:lineRule="auto" w:after="60"/>
        <w:ind w:firstLine="480"/>
      </w:pPr>
      <w:r>
        <w:rPr>
          <w:rFonts w:ascii="Times New Roman" w:hAnsi="Times New Roman" w:eastAsia="宋体"/>
          <w:b w:val="0"/>
          <w:sz w:val="24"/>
        </w:rPr>
        <w:t>④ 独立攻防演练控制台：运行在 8090 端口的防篡改攻防对抗演示工具。</w:t>
      </w:r>
    </w:p>
    <w:p>
      <w:pPr>
        <w:spacing w:line="360" w:lineRule="auto" w:after="60"/>
        <w:ind w:firstLine="480"/>
      </w:pPr>
      <w:r>
        <w:rPr>
          <w:rFonts w:ascii="Times New Roman" w:hAnsi="Times New Roman" w:eastAsia="宋体"/>
          <w:b w:val="0"/>
          <w:sz w:val="24"/>
        </w:rPr>
        <w:t>（2）文字与文档成果：</w:t>
      </w:r>
    </w:p>
    <w:p>
      <w:pPr>
        <w:spacing w:line="360" w:lineRule="auto" w:after="60"/>
        <w:ind w:firstLine="480"/>
      </w:pPr>
      <w:r>
        <w:rPr>
          <w:rFonts w:ascii="Times New Roman" w:hAnsi="Times New Roman" w:eastAsia="宋体"/>
          <w:b w:val="0"/>
          <w:sz w:val="24"/>
        </w:rPr>
        <w:t>① 达到本科优秀学术水平的毕业设计论文一篇，篇幅不低于 15,000 字，格式规范排版严谨；</w:t>
      </w:r>
    </w:p>
    <w:p>
      <w:pPr>
        <w:spacing w:line="360" w:lineRule="auto" w:after="60"/>
        <w:ind w:firstLine="480"/>
      </w:pPr>
      <w:r>
        <w:rPr>
          <w:rFonts w:ascii="Times New Roman" w:hAnsi="Times New Roman" w:eastAsia="宋体"/>
          <w:b w:val="0"/>
          <w:sz w:val="24"/>
        </w:rPr>
        <w:t>② 系统部署与运维规格说明书（涵盖 Fabric 真实网络部署、IPFS 集群接入与双模切换指南）。</w:t>
      </w:r>
    </w:p>
    <w:p>
      <w:pPr>
        <w:keepNext/>
        <w:spacing w:before="280" w:after="120"/>
      </w:pPr>
      <w:r>
        <w:rPr>
          <w:rFonts w:ascii="Times New Roman" w:hAnsi="Times New Roman" w:eastAsia="黑体"/>
          <w:b/>
          <w:color w:val="003366"/>
          <w:sz w:val="28"/>
        </w:rPr>
        <w:t>七、主要参考文献</w:t>
      </w:r>
    </w:p>
    <w:p>
      <w:pPr>
        <w:spacing w:line="288" w:lineRule="auto" w:after="40"/>
        <w:ind w:left="480" w:hanging="480"/>
      </w:pPr>
      <w:r>
        <w:rPr>
          <w:rFonts w:ascii="Times New Roman" w:hAnsi="Times New Roman" w:eastAsia="宋体"/>
          <w:sz w:val="20"/>
        </w:rPr>
        <w:t>[1] ZHAO F, YU J, YAN B. Towards cross-chain access control model for medical data sharing[J]. Procedia Computer Science, 2022, 202: 330-335.</w:t>
      </w:r>
    </w:p>
    <w:p>
      <w:pPr>
        <w:spacing w:line="288" w:lineRule="auto" w:after="40"/>
        <w:ind w:left="480" w:hanging="480"/>
      </w:pPr>
      <w:r>
        <w:rPr>
          <w:rFonts w:ascii="Times New Roman" w:hAnsi="Times New Roman" w:eastAsia="宋体"/>
          <w:sz w:val="20"/>
        </w:rPr>
        <w:t>[2] LIU Y, YANG W, WANG Y, et al. An access control model for data security sharing cross-domain in consortium blockchain[J]. IET Blockchain, 2023, 3(1): 18-34.</w:t>
      </w:r>
    </w:p>
    <w:p>
      <w:pPr>
        <w:spacing w:line="288" w:lineRule="auto" w:after="40"/>
        <w:ind w:left="480" w:hanging="480"/>
      </w:pPr>
      <w:r>
        <w:rPr>
          <w:rFonts w:ascii="Times New Roman" w:hAnsi="Times New Roman" w:eastAsia="宋体"/>
          <w:sz w:val="20"/>
        </w:rPr>
        <w:t>[3] 姚晓敏. IPFS存储环境下去中心化的数据存储与检索方案设计[D]. 西安: 西安理工大学, 2021.</w:t>
      </w:r>
    </w:p>
    <w:p>
      <w:pPr>
        <w:spacing w:line="288" w:lineRule="auto" w:after="40"/>
        <w:ind w:left="480" w:hanging="480"/>
      </w:pPr>
      <w:r>
        <w:rPr>
          <w:rFonts w:ascii="Times New Roman" w:hAnsi="Times New Roman" w:eastAsia="宋体"/>
          <w:sz w:val="20"/>
        </w:rPr>
        <w:t>[4] LIU G, XIE H, WANG W, et al. A secure and efficient electronic medical record data sharing scheme based on blockchain and proxy re-encryption[J]. Journal of Cloud Computing, 2024, 13: 44.</w:t>
      </w:r>
    </w:p>
    <w:p>
      <w:pPr>
        <w:spacing w:line="288" w:lineRule="auto" w:after="40"/>
        <w:ind w:left="480" w:hanging="480"/>
      </w:pPr>
      <w:r>
        <w:rPr>
          <w:rFonts w:ascii="Times New Roman" w:hAnsi="Times New Roman" w:eastAsia="宋体"/>
          <w:sz w:val="20"/>
        </w:rPr>
        <w:t>[5] TAWFIK A M, AL-AHWAL A, ELDIEN A S T, et al. ACHealthChain blockchain framework for access control and privacy preservation in healthcare[J]. Scientific Reports, 2025, 15: 16696.</w:t>
      </w:r>
    </w:p>
    <w:p>
      <w:pPr>
        <w:spacing w:line="288" w:lineRule="auto" w:after="40"/>
        <w:ind w:left="480" w:hanging="480"/>
      </w:pPr>
      <w:r>
        <w:rPr>
          <w:rFonts w:ascii="Times New Roman" w:hAnsi="Times New Roman" w:eastAsia="宋体"/>
          <w:sz w:val="20"/>
        </w:rPr>
        <w:t>[6] CHEN Y, MENG L, ZHOU H, et al. A Blockchain-Based Medical Data Sharing Mechanism with Attribute-Based Access Control and Privacy Protection[J]. Wireless Communications and Mobile Computing, 2021, 2021: 6685762.</w:t>
      </w:r>
    </w:p>
    <w:p>
      <w:pPr>
        <w:spacing w:line="288" w:lineRule="auto" w:after="40"/>
        <w:ind w:left="480" w:hanging="480"/>
      </w:pPr>
      <w:r>
        <w:rPr>
          <w:rFonts w:ascii="Times New Roman" w:hAnsi="Times New Roman" w:eastAsia="宋体"/>
          <w:sz w:val="20"/>
        </w:rPr>
        <w:t>[7] 周正强, 陈玉玲, 李涛, 等. 基于联盟链的医疗数据安全共享方案[J]. 应用科学学报, 2021, 39(1): 123-134.</w:t>
      </w:r>
    </w:p>
    <w:p>
      <w:pPr>
        <w:spacing w:line="288" w:lineRule="auto" w:after="40"/>
        <w:ind w:left="480" w:hanging="480"/>
      </w:pPr>
      <w:r>
        <w:rPr>
          <w:rFonts w:ascii="Times New Roman" w:hAnsi="Times New Roman" w:eastAsia="宋体"/>
          <w:sz w:val="20"/>
        </w:rPr>
        <w:t>[8] 徐磊. 基于联盟区块链的医疗健康数据安全模型设计[J]. 微型电脑应用, 2021, 37(9): 143-145, 154.</w:t>
      </w:r>
    </w:p>
    <w:p>
      <w:pPr>
        <w:spacing w:line="288" w:lineRule="auto" w:after="40"/>
        <w:ind w:left="480" w:hanging="480"/>
      </w:pPr>
      <w:r>
        <w:rPr>
          <w:rFonts w:ascii="Times New Roman" w:hAnsi="Times New Roman" w:eastAsia="宋体"/>
          <w:sz w:val="20"/>
        </w:rPr>
        <w:t>[9] 任志鑫, 严恩华, 陈韬伟, 等. 基于零知识证明的区块链密文数据共享与访问控制方案[J]. 北京邮电大学学报, 2025, 48(1): 87-91.</w:t>
      </w:r>
    </w:p>
    <w:p>
      <w:pPr>
        <w:spacing w:line="288" w:lineRule="auto" w:after="40"/>
        <w:ind w:left="480" w:hanging="480"/>
      </w:pPr>
      <w:r>
        <w:rPr>
          <w:rFonts w:ascii="Times New Roman" w:hAnsi="Times New Roman" w:eastAsia="宋体"/>
          <w:sz w:val="20"/>
        </w:rPr>
        <w:t>[10] 金波, 孙尧, 杨鹏. 基于区块链技术的档案数据质量保障研究[J]. 图书馆杂志, 2023, 42(10): 25-33.</w:t>
      </w:r>
    </w:p>
    <w:p>
      <w:pPr>
        <w:spacing w:line="288" w:lineRule="auto" w:after="40"/>
        <w:ind w:left="480" w:hanging="480"/>
      </w:pPr>
      <w:r>
        <w:rPr>
          <w:rFonts w:ascii="Times New Roman" w:hAnsi="Times New Roman" w:eastAsia="宋体"/>
          <w:sz w:val="20"/>
        </w:rPr>
        <w:t>[11] 管哿浠, 马兆丰, 叶可可, 等. 基于预言机和零知识证明的区块链数据上链方案[J]. 信息安全与通信保密, 2022(10): 25-37.</w:t>
      </w:r>
    </w:p>
    <w:p>
      <w:pPr>
        <w:spacing w:line="288" w:lineRule="auto" w:after="40"/>
        <w:ind w:left="480" w:hanging="480"/>
      </w:pPr>
      <w:r>
        <w:rPr>
          <w:rFonts w:ascii="Times New Roman" w:hAnsi="Times New Roman" w:eastAsia="宋体"/>
          <w:sz w:val="20"/>
        </w:rPr>
        <w:t>[12] 陈强, 田秀霞. 基于智能合约的病历数据共享方案[J]. 计算机工程与设计, 2025, 46(8): 2263-2271.</w:t>
      </w:r>
    </w:p>
    <w:p>
      <w:pPr>
        <w:spacing w:line="288" w:lineRule="auto" w:after="40"/>
        <w:ind w:left="480" w:hanging="480"/>
      </w:pPr>
      <w:r>
        <w:rPr>
          <w:rFonts w:ascii="Times New Roman" w:hAnsi="Times New Roman" w:eastAsia="宋体"/>
          <w:sz w:val="20"/>
        </w:rPr>
        <w:t>[13] 周聆严, 游涵, 邓薇, 等. 跨医疗机构可信数据共享利用的原型系统构建与验证[J]. 中国卫生信息管理杂志, 2026, 23(3): 465-472.</w:t>
      </w:r>
    </w:p>
    <w:p>
      <w:pPr>
        <w:spacing w:line="288" w:lineRule="auto" w:after="40"/>
        <w:ind w:left="480" w:hanging="480"/>
      </w:pPr>
      <w:r>
        <w:rPr>
          <w:rFonts w:ascii="Times New Roman" w:hAnsi="Times New Roman" w:eastAsia="宋体"/>
          <w:sz w:val="20"/>
        </w:rPr>
        <w:t>[14] 张兴龙. 面向电子病历共享的区块链关键技术研究与系统实现[D]. 长沙: 湖南大学, 2023.</w:t>
      </w:r>
    </w:p>
    <w:p>
      <w:pPr>
        <w:spacing w:line="288" w:lineRule="auto" w:after="40"/>
        <w:ind w:left="480" w:hanging="480"/>
      </w:pPr>
      <w:r>
        <w:rPr>
          <w:rFonts w:ascii="Times New Roman" w:hAnsi="Times New Roman" w:eastAsia="宋体"/>
          <w:sz w:val="20"/>
        </w:rPr>
        <w:t>[15] 陈嘉莉, 马自强, 苗莉, 等. 基于Hyperledger Fabric的电子病历共享方案[J]. 通信学报, 2024, 45(Z1): 60-74.</w:t>
      </w:r>
    </w:p>
    <w:p>
      <w:pPr>
        <w:spacing w:line="288" w:lineRule="auto" w:after="40"/>
        <w:ind w:left="480" w:hanging="480"/>
      </w:pPr>
      <w:r>
        <w:rPr>
          <w:rFonts w:ascii="Times New Roman" w:hAnsi="Times New Roman" w:eastAsia="宋体"/>
          <w:sz w:val="20"/>
        </w:rPr>
        <w:t>[16] 李浩华. 面向远程医疗的用户动态访问控制关键技术研究[D]. 郑州: 郑州大学, 2024.</w:t>
      </w:r>
    </w:p>
    <w:p>
      <w:pPr>
        <w:spacing w:line="288" w:lineRule="auto" w:after="40"/>
        <w:ind w:left="480" w:hanging="480"/>
      </w:pPr>
      <w:r>
        <w:rPr>
          <w:rFonts w:ascii="Times New Roman" w:hAnsi="Times New Roman" w:eastAsia="宋体"/>
          <w:sz w:val="20"/>
        </w:rPr>
        <w:t>[17] 王效峰, 刘喆, 宁春华. 区块链技术在医疗数据隐私保护中的应用研究[J]. 张江科技评论, 2026(3): 17-19.</w:t>
      </w:r>
    </w:p>
    <w:p>
      <w:pPr>
        <w:spacing w:line="288" w:lineRule="auto" w:after="40"/>
        <w:ind w:left="480" w:hanging="480"/>
      </w:pPr>
      <w:r>
        <w:rPr>
          <w:rFonts w:ascii="Times New Roman" w:hAnsi="Times New Roman" w:eastAsia="宋体"/>
          <w:sz w:val="20"/>
        </w:rPr>
        <w:t>[18] 潘恒, 潘磊, 姚中原, 等. 一种病人可控的电子病历安全访问方案[J]. 应用科学学报, 2020, 38(1): 127-138.</w:t>
      </w:r>
    </w:p>
    <w:p>
      <w:pPr>
        <w:spacing w:line="288" w:lineRule="auto" w:after="40"/>
        <w:ind w:left="480" w:hanging="480"/>
      </w:pPr>
      <w:r>
        <w:rPr>
          <w:rFonts w:ascii="Times New Roman" w:hAnsi="Times New Roman" w:eastAsia="宋体"/>
          <w:sz w:val="20"/>
        </w:rPr>
        <w:t>[19] 姚传佳. 医联体框架下基于区块链的跨域安全共享与协作管理[D]. 昆明: 云南财经大学, 2025.</w:t>
      </w:r>
    </w:p>
    <w:p>
      <w:pPr>
        <w:spacing w:line="288" w:lineRule="auto" w:after="40"/>
        <w:ind w:left="480" w:hanging="480"/>
      </w:pPr>
      <w:r>
        <w:rPr>
          <w:rFonts w:ascii="Times New Roman" w:hAnsi="Times New Roman" w:eastAsia="宋体"/>
          <w:sz w:val="20"/>
        </w:rPr>
        <w:t>[20] 马存宁. 医院医疗数据隐私保护与安全共享[J]. 网络安全技术与应用, 2024(4): 130-132.</w:t>
      </w:r>
    </w:p>
    <w:p>
      <w:pPr>
        <w:spacing w:after="360"/>
      </w:pP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320"/>
        <w:gridCol w:w="4320"/>
      </w:tblGrid>
      <w:tr>
        <w:tc>
          <w:tcPr>
            <w:tcW w:type="dxa" w:w="4320"/>
            <w:shd w:fill="F0F4F8"/>
          </w:tcPr>
          <w:p>
            <w:pPr>
              <w:jc w:val="center"/>
            </w:pPr>
            <w:r>
              <w:rPr>
                <w:b/>
              </w:rPr>
              <w:t>指导教师审核意见</w:t>
            </w:r>
          </w:p>
        </w:tc>
        <w:tc>
          <w:tcPr>
            <w:tcW w:type="dxa" w:w="4320"/>
            <w:shd w:fill="F0F4F8"/>
          </w:tcPr>
          <w:p>
            <w:pPr>
              <w:jc w:val="center"/>
            </w:pPr>
            <w:r>
              <w:rPr>
                <w:b/>
              </w:rPr>
              <w:t>系部/学院审查意见</w:t>
            </w:r>
          </w:p>
        </w:tc>
      </w:tr>
      <w:tr>
        <w:tc>
          <w:tcPr>
            <w:tcW w:type="dxa" w:w="4320"/>
            <w:tcMar>
              <w:top w:w="100" w:type="dxa"/>
              <w:bottom w:w="100" w:type="dxa"/>
              <w:left w:w="120" w:type="dxa"/>
              <w:right w:w="120" w:type="dxa"/>
            </w:tcMar>
          </w:tcPr>
          <w:p>
            <w:r>
              <w:br/>
              <w:br/>
              <w:t>该选题紧密结合国家医疗数字化转型与数据安全合规需求，理论意义与实用价值显著。课题技术路线清晰，基于 Hyperledger Fabric、IPFS、零信任访问控制与受控 AI Agent 的架构设计合理严密，前期工作扎实，具备良好的实现基础与创新性，同意开题。</w:t>
              <w:br/>
              <w:br/>
              <w:br/>
              <w:t>指导教师签名：                   2026 年 9 月 22 日</w:t>
              <w:br/>
            </w:r>
          </w:p>
        </w:tc>
        <w:tc>
          <w:tcPr>
            <w:tcW w:type="dxa" w:w="4320"/>
            <w:tcMar>
              <w:top w:w="100" w:type="dxa"/>
              <w:bottom w:w="100" w:type="dxa"/>
              <w:left w:w="120" w:type="dxa"/>
              <w:right w:w="120" w:type="dxa"/>
            </w:tcMar>
          </w:tcPr>
          <w:p>
            <w:r>
              <w:br/>
              <w:br/>
              <w:t>经审查，该毕业设计课题符合软件工程（创新班）专业培养目标与综合工程实践能力要求，研究内容饱满，工作量适中，研究方法与实验方案切实可行，同意进入后续设计与实施阶段。</w:t>
              <w:br/>
              <w:br/>
              <w:br/>
              <w:t>系主任签名：                     2026 年 9 月 25 日</w:t>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