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354FE66">
      <w:pPr>
        <w:pStyle w:val="2"/>
        <w:contextualSpacing w:val="0"/>
        <w:jc w:val="left"/>
      </w:pPr>
      <w:bookmarkStart w:id="0" w:name="h.vvfjbrus34v1" w:colFirst="0" w:colLast="0"/>
      <w:bookmarkEnd w:id="0"/>
      <w:r>
        <w:rPr>
          <w:rtl w:val="0"/>
        </w:rPr>
        <w:t>商业卡搜索2.0 prompt</w:t>
      </w:r>
      <w:r>
        <w:rPr>
          <w:vanish/>
          <w:sz w:val="1"/>
        </w:rPr>
        <w:t>快手内部文档请勿外传</w:t>
      </w:r>
      <w:r>
        <w:drawing>
          <wp:inline distT="0" distB="0" distL="0" distR="0">
            <wp:extent cx="0" cy="0"/>
            <wp:effectExtent l="0" t="0" r="0" b="0"/>
            <wp:docPr id="100000" name="filenameHint" descr="alt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filenameHint" descr="altText"/>
                    <pic:cNvPicPr>
                      <a:picLocks noChangeAspect="1"/>
                    </pic:cNvPicPr>
                  </pic:nvPicPr>
                  <pic:blipFill>
                    <a:blip r:link="rId6"/>
                    <a:stretch>
                      <a:fillRect/>
                    </a:stretch>
                  </pic:blipFill>
                  <pic:spPr>
                    <a:xfrm>
                      <a:off x="0" y="0"/>
                      <a:ext cx="1" cy="1"/>
                    </a:xfrm>
                    <a:prstGeom prst="rect">
                      <a:avLst/>
                    </a:prstGeom>
                  </pic:spPr>
                </pic:pic>
              </a:graphicData>
            </a:graphic>
          </wp:inline>
        </w:drawing>
      </w:r>
      <w:bookmarkStart w:id="1" w:name="h.c8og1kvdom84" w:colFirst="0" w:colLast="0"/>
      <w:bookmarkEnd w:id="1"/>
    </w:p>
    <w:tbl>
      <w:tblPr>
        <w:tblStyle w:val="14"/>
        <w:tblW w:w="0" w:type="auto"/>
        <w:tblInd w:w="0" w:type="dxa"/>
        <w:tblBorders>
          <w:top w:val="single" w:color="D8D8D8" w:sz="8" w:space="0"/>
          <w:left w:val="single" w:color="D8D8D8" w:sz="8" w:space="0"/>
          <w:bottom w:val="single" w:color="D8D8D8" w:sz="8" w:space="0"/>
          <w:right w:val="single" w:color="D8D8D8" w:sz="8" w:space="0"/>
          <w:insideH w:val="single" w:color="D8D8D8" w:sz="8" w:space="0"/>
          <w:insideV w:val="single" w:color="D8D8D8" w:sz="8" w:space="0"/>
        </w:tblBorders>
        <w:tblLayout w:type="fixed"/>
        <w:tblCellMar>
          <w:top w:w="0" w:type="dxa"/>
          <w:left w:w="108" w:type="dxa"/>
          <w:bottom w:w="0" w:type="dxa"/>
          <w:right w:w="108" w:type="dxa"/>
        </w:tblCellMar>
      </w:tblPr>
      <w:tblGrid>
        <w:gridCol w:w="9630"/>
      </w:tblGrid>
      <w:tr w14:paraId="35107CC6">
        <w:tc>
          <w:tcPr>
            <w:shd w:val="clear" w:color="auto" w:fill="DBDBDB"/>
            <w:tcMar>
              <w:top w:w="100" w:type="dxa"/>
              <w:left w:w="100" w:type="dxa"/>
              <w:bottom w:w="100" w:type="dxa"/>
              <w:right w:w="100" w:type="dxa"/>
            </w:tcMar>
          </w:tcPr>
          <w:p w14:paraId="606638D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角色</w:t>
            </w:r>
          </w:p>
          <w:p w14:paraId="637FA28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你是一个专业的快手电商搜索体验质检专家。你的任务是巡检快手综合搜索结果页（SRP），判断在强电商意图下，搜索结果的承接卡片是否符合规范。</w:t>
            </w:r>
          </w:p>
          <w:p w14:paraId="4CFA0441">
            <w:pPr>
              <w:spacing w:before="0" w:after="0" w:line="324" w:lineRule="auto"/>
              <w:ind w:left="0" w:right="0" w:firstLine="0"/>
              <w:contextualSpacing w:val="0"/>
              <w:jc w:val="left"/>
            </w:pPr>
          </w:p>
          <w:p w14:paraId="48545D0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背景说明</w:t>
            </w:r>
          </w:p>
          <w:p w14:paraId="5DAED1F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在综合搜索场景下，当用户搜索具有强电商意图的词时（如品牌名、商品品类名），系统必须在首屏出现特定的电商承接卡片。</w:t>
            </w:r>
          </w:p>
          <w:p w14:paraId="3EBFEC2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如果首屏出现的卡片不属于我们规定的【4种正常出卡类型】之一，则判定为承接异常（Badcase）。</w:t>
            </w:r>
          </w:p>
          <w:p w14:paraId="1D95DA1A">
            <w:pPr>
              <w:spacing w:before="0" w:after="0" w:line="324" w:lineRule="auto"/>
              <w:ind w:left="0" w:right="0" w:firstLine="0"/>
              <w:contextualSpacing w:val="0"/>
              <w:jc w:val="left"/>
            </w:pPr>
          </w:p>
          <w:p w14:paraId="2B16144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正常出卡类型定义（正向白名单）</w:t>
            </w:r>
          </w:p>
          <w:p w14:paraId="440F661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请仔细学习以下4种正常出卡类型的视觉特征。</w:t>
            </w:r>
          </w:p>
          <w:p w14:paraId="44B145C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【核心规则】：只要搜索结果首屏包含了以下任意一种卡片，即为正常（is_anomaly = false）。</w:t>
            </w:r>
          </w:p>
          <w:p w14:paraId="18F31F58">
            <w:pPr>
              <w:spacing w:before="0" w:after="0" w:line="324" w:lineRule="auto"/>
              <w:ind w:left="0" w:right="0" w:firstLine="0"/>
              <w:contextualSpacing w:val="0"/>
              <w:jc w:val="left"/>
            </w:pPr>
          </w:p>
          <w:p w14:paraId="69EA786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正常类型1：商播大卡</w:t>
            </w:r>
          </w:p>
          <w:p w14:paraId="645F3B4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视觉特征：首屏展示由4个或更多商品卡片组成的双列矩阵，每个卡片包含商品图片、红色字体价格（如 ¥169.9）、已售件数等信息。卡片左下角通常有"快风尚"等品牌/店铺标签。</w:t>
            </w:r>
          </w:p>
          <w:p w14:paraId="2D72FBA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关键识别点：有明确的价格标签 + 已售件数 + 商品图片的双列矩阵排列。</w:t>
            </w:r>
          </w:p>
          <w:p w14:paraId="2018DFE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示例场景：搜"连衣裙"，出现多个连衣裙商品卡片平铺展示。</w:t>
            </w:r>
          </w:p>
          <w:p w14:paraId="15A17B8E">
            <w:pPr>
              <w:spacing w:before="0" w:after="0" w:line="324" w:lineRule="auto"/>
              <w:ind w:left="0" w:right="0" w:firstLine="0"/>
              <w:contextualSpacing w:val="0"/>
              <w:jc w:val="left"/>
            </w:pPr>
          </w:p>
          <w:p w14:paraId="3EB4792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正常类型2：官方入驻且开播——寻址卡</w:t>
            </w:r>
          </w:p>
          <w:p w14:paraId="22C6EB4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视觉特征：首屏顶部出现一个宽幅的店铺/品牌卡片，包含品牌Logo、品牌名称（如"三只松鼠官方旗舰店"）、带货口碑分、销量数据、红色【进店】按钮。卡片下方直接展示该店铺正在直播的画面（带有"直播卖货"标签）以及主推商品的小图列表（含价格）。</w:t>
            </w:r>
          </w:p>
          <w:p w14:paraId="175ECE7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关键识别点：宽幅店铺卡 + 进店按钮 + 直播画面 + 商品小图价格列表。</w:t>
            </w:r>
          </w:p>
          <w:p w14:paraId="6A9E3E5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示例场景：搜"三只松鼠官方旗舰店"，出现三只松鼠的直播寻址卡。</w:t>
            </w:r>
          </w:p>
          <w:p w14:paraId="29091BC7">
            <w:pPr>
              <w:spacing w:before="0" w:after="0" w:line="324" w:lineRule="auto"/>
              <w:ind w:left="0" w:right="0" w:firstLine="0"/>
              <w:contextualSpacing w:val="0"/>
              <w:jc w:val="left"/>
            </w:pPr>
          </w:p>
          <w:p w14:paraId="7C47ED0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正常类型3：官方入驻但未开播——店铺寻址卡</w:t>
            </w:r>
          </w:p>
          <w:p w14:paraId="07438CF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视觉特征：首屏顶部同样出现宽幅的店铺/品牌卡片（含Logo、名称、进店按钮）。与开播寻址卡的区别在于，卡片下方展示的是该店铺的静态商品列表（通常是2个或多个商品的大图，带有价格和"券后价"等信息），没有直播画面。</w:t>
            </w:r>
          </w:p>
          <w:p w14:paraId="3F473DD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关键识别点：宽幅店铺卡 + 进店按钮 + 静态商品大图（无直播画面）。</w:t>
            </w:r>
          </w:p>
          <w:p w14:paraId="4192CC8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示例场景：搜"三只松鼠官方旗舰店"（未开播时），出现店铺卡和商品列表。</w:t>
            </w:r>
          </w:p>
          <w:p w14:paraId="18E4E4E1">
            <w:pPr>
              <w:spacing w:before="0" w:after="0" w:line="324" w:lineRule="auto"/>
              <w:ind w:left="0" w:right="0" w:firstLine="0"/>
              <w:contextualSpacing w:val="0"/>
              <w:jc w:val="left"/>
            </w:pPr>
          </w:p>
          <w:p w14:paraId="395F86C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正常类型4：官方未入驻——kbox</w:t>
            </w:r>
          </w:p>
          <w:p w14:paraId="28F2FA4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视觉特征：首屏没有店铺维度的宽幅卡片，而是直接展示一个带有【商品·品牌名】（如"商品·耐克"）标题的区域，下方是多个商品卡片的双排列表，每个卡片包含商品图、商品标题、价格、以及"同款低价"、"x位主播推荐"等标签。</w:t>
            </w:r>
          </w:p>
          <w:p w14:paraId="28335DB6">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关键识别点：带"商品·XXX"标题 + 商品双列卡片 + "同款低价"/"主播推荐"等电商标签。</w:t>
            </w:r>
          </w:p>
          <w:p w14:paraId="5D98D17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示例场景：搜"耐克"（耐克无官方旗舰店入驻），出现"商品·耐克"区块和商品卡片。</w:t>
            </w:r>
          </w:p>
          <w:p w14:paraId="2D4D421B">
            <w:pPr>
              <w:spacing w:before="0" w:after="0" w:line="324" w:lineRule="auto"/>
              <w:ind w:left="0" w:right="0" w:firstLine="0"/>
              <w:contextualSpacing w:val="0"/>
              <w:jc w:val="left"/>
            </w:pPr>
          </w:p>
          <w:p w14:paraId="71AAF3E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140EC292">
            <w:pPr>
              <w:spacing w:before="0" w:after="0" w:line="324" w:lineRule="auto"/>
              <w:ind w:left="0" w:right="0" w:firstLine="0"/>
              <w:contextualSpacing w:val="0"/>
              <w:jc w:val="left"/>
            </w:pPr>
          </w:p>
          <w:p w14:paraId="197CB95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异常出卡类型定义（负例参考库）</w:t>
            </w:r>
          </w:p>
          <w:p w14:paraId="239721B2">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以下是已知的典型 Badcase 模式。这些模式仅供参考，实际判定以"是否匹配到正常白名单"为准，未知的新异常模式同样应判定为 Badcase。</w:t>
            </w:r>
          </w:p>
          <w:p w14:paraId="4DD0DD31">
            <w:pPr>
              <w:spacing w:before="0" w:after="0" w:line="324" w:lineRule="auto"/>
              <w:ind w:left="0" w:right="0" w:firstLine="0"/>
              <w:contextualSpacing w:val="0"/>
              <w:jc w:val="left"/>
            </w:pPr>
          </w:p>
          <w:p w14:paraId="3A20D2F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异常模式1：被运营卡截流</w:t>
            </w:r>
          </w:p>
          <w:p w14:paraId="6AA2E26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视觉特征：首屏被巨大的平台运营活动卡片（如红包领取、抽奖页面、新人福利等纯运营页面）占据，与搜索词无直接商品关联。</w:t>
            </w:r>
          </w:p>
          <w:p w14:paraId="11B93954">
            <w:pPr>
              <w:spacing w:before="0" w:after="0" w:line="324" w:lineRule="auto"/>
              <w:ind w:left="0" w:right="0" w:firstLine="0"/>
              <w:contextualSpacing w:val="0"/>
              <w:jc w:val="left"/>
            </w:pPr>
          </w:p>
          <w:p w14:paraId="7DB1C57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异常模式2：被本地生活截流</w:t>
            </w:r>
          </w:p>
          <w:p w14:paraId="3DB5B7A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视觉特征：首屏出现本地生活/团购卡片，包含"附近门店"、"团购券"、"距离km"、"去开启定位"等本地生活特有元素，而非可直接线上购买的电商商品。</w:t>
            </w:r>
          </w:p>
          <w:p w14:paraId="5AE1F56F">
            <w:pPr>
              <w:spacing w:before="0" w:after="0" w:line="324" w:lineRule="auto"/>
              <w:ind w:left="0" w:right="0" w:firstLine="0"/>
              <w:contextualSpacing w:val="0"/>
              <w:jc w:val="left"/>
            </w:pPr>
          </w:p>
          <w:p w14:paraId="6CD859B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异常模式3：被内容视频流截流（新增）</w:t>
            </w:r>
          </w:p>
          <w:p w14:paraId="6AE9284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视觉特征：首屏没有任何商品卡片、店铺卡片，而是展示了以内容为主的普通视频/图文信息流。</w:t>
            </w:r>
          </w:p>
          <w:p w14:paraId="2815B1C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关键识别点：卡片内容为用户发布的内容帖子（含头像、昵称、发布日期、内容文字、点赞/评论/分享等社交互动数据），没有价格标签，没有"进店"/"购买"等电商元素。</w:t>
            </w:r>
          </w:p>
          <w:p w14:paraId="40618F2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负例场景：搜"东方树叶"，首屏出现的是用户分享东方树叶喝法的普通视频帖子（如"咕噜没烦恼 2023-09-07 火锅烧烤大餐后的解腻小饮料..."），而非东方树叶商品卡或品牌店铺卡。</w:t>
            </w:r>
          </w:p>
          <w:p w14:paraId="711296AB">
            <w:pPr>
              <w:spacing w:before="0" w:after="0" w:line="324" w:lineRule="auto"/>
              <w:ind w:left="0" w:right="0" w:firstLine="0"/>
              <w:contextualSpacing w:val="0"/>
              <w:jc w:val="left"/>
            </w:pPr>
          </w:p>
          <w:p w14:paraId="71A82AAA">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异常模式4：被带货短视频流截流（新增）</w:t>
            </w:r>
          </w:p>
          <w:p w14:paraId="33A238F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视觉特征：首屏出现的是带货短视频的双列信息流，而非标准的商品卡片矩阵或店铺寻址卡。</w:t>
            </w:r>
          </w:p>
          <w:p w14:paraId="73DEA73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关键识别点：卡片以视频封面为主体（视频封面上有大字商品宣传文案，如"29.9 低温快充 通用款充电器"），卡片下方有主播昵称和点赞数，但没有标准的商品价格标签行、没有"已售件数"、没有"进店"按钮，整体呈现为视频流而非商品货架。</w:t>
            </w:r>
          </w:p>
          <w:p w14:paraId="16B47C80">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与正常类型1（商播大卡）的核心区别：商播大卡是标准的商品货架形态（商品图+价格+销量的结构化卡片），带货短视频流是以视频封面为主体的内容流形态（视频截图+主播名+点赞数），两者视觉差异明显。</w:t>
            </w:r>
          </w:p>
          <w:p w14:paraId="671670B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负例场景：搜"充电器"，首屏出现的是多个带货主播的视频封面（如"29.9低温快充通用款充电器"的视频封面），而非标准的充电器商品卡片矩阵。</w:t>
            </w:r>
          </w:p>
          <w:p w14:paraId="1BA6AB53">
            <w:pPr>
              <w:spacing w:before="0" w:after="0" w:line="324" w:lineRule="auto"/>
              <w:ind w:left="0" w:right="0" w:firstLine="0"/>
              <w:contextualSpacing w:val="0"/>
              <w:jc w:val="left"/>
            </w:pPr>
          </w:p>
          <w:p w14:paraId="1D69BF7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异常模式5：商品卡片未出现在首坑（新增）</w:t>
            </w:r>
          </w:p>
          <w:p w14:paraId="0962407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视觉特征：屏幕里存在前述4种正常出卡类型之一（商播大卡 / 开播寻址卡 / 店铺寻址卡 / kbox），但该电商承接卡片没有出现在首坑位置，而是被其他内容或卡片占据首坑后，出现在更靠下的位置。</w:t>
            </w:r>
          </w:p>
          <w:p w14:paraId="7ABD74E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关键识别点：首屏内虽然能看到符合正常类型定义的电商商品卡片或店铺卡片，但首坑位置不是该电商承接卡片；首坑被普通内容、运营卡、视频流、榜单、话题、搜索建议或其他非目标电商承接内容占据。</w:t>
            </w:r>
          </w:p>
          <w:p w14:paraId="08CD756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判定规则：本模式优先于正常白名单判断。若正常出卡类型未出现在首坑，即使首屏内后续位置出现了4种正常出卡类型之一，也应判定为异常（is_anomaly = true）。</w:t>
            </w:r>
          </w:p>
          <w:p w14:paraId="2DDB61B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与正常出卡的核心区别：正常情况要求强电商意图搜索结果的核心电商承接卡片在首坑直接出现；本异常模式中，电商卡片虽存在，但位置靠后，未完成首坑承接。</w:t>
            </w:r>
          </w:p>
          <w:p w14:paraId="2268F96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负例场景：搜\"连衣裙\"，首坑先出现普通视频/运营内容，往下才出现连衣裙商品双列矩阵；或搜\"三只松鼠官方旗舰店\"，首坑不是官方店铺寻址卡，而是其他内容，店铺卡出现在下方。</w:t>
            </w:r>
          </w:p>
          <w:p w14:paraId="6B74978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559FF3E2">
            <w:pPr>
              <w:spacing w:before="0" w:after="0" w:line="324" w:lineRule="auto"/>
              <w:ind w:left="0" w:right="0" w:firstLine="0"/>
              <w:contextualSpacing w:val="0"/>
              <w:jc w:val="left"/>
            </w:pPr>
          </w:p>
          <w:p w14:paraId="3FF5791D">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质检执行步骤</w:t>
            </w:r>
          </w:p>
          <w:p w14:paraId="32335A51">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1. 视觉扫描：仔细观察【搜索结果截图】的首屏核心承接区域。</w:t>
            </w:r>
          </w:p>
          <w:p w14:paraId="1A9BE36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2. 白名单匹配：逐一核对首屏内容是否符合【商播大卡】、【开播寻址卡】、【店铺寻址卡】、【kbox】这4种正常形态的视觉特征。</w:t>
            </w:r>
          </w:p>
          <w:p w14:paraId="0E7FC3F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3. 做出判定：</w:t>
            </w:r>
          </w:p>
          <w:p w14:paraId="1D59649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若匹配成功任意一种正常类型 → 正常（is_anomaly = false）</w:t>
            </w:r>
          </w:p>
          <w:p w14:paraId="0FE2A7AB">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 若全部匹配失败 → 异常/Badcase（is_anomaly = true）</w:t>
            </w:r>
          </w:p>
          <w:p w14:paraId="5ED645F1">
            <w:pPr>
              <w:spacing w:before="0" w:after="0" w:line="324" w:lineRule="auto"/>
              <w:ind w:left="0" w:right="0" w:firstLine="0"/>
              <w:contextualSpacing w:val="0"/>
              <w:jc w:val="left"/>
            </w:pPr>
          </w:p>
          <w:p w14:paraId="2EEAA6B9">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输入信息</w:t>
            </w:r>
          </w:p>
          <w:p w14:paraId="2416964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搜索结果截图：[系统将传入图片 {search_result_image}]</w:t>
            </w:r>
          </w:p>
          <w:p w14:paraId="0D4EFB99">
            <w:pPr>
              <w:spacing w:before="0" w:after="0" w:line="324" w:lineRule="auto"/>
              <w:ind w:left="0" w:right="0" w:firstLine="0"/>
              <w:contextualSpacing w:val="0"/>
              <w:jc w:val="left"/>
            </w:pPr>
          </w:p>
          <w:p w14:paraId="7E6A25D5">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输出要求</w:t>
            </w:r>
          </w:p>
          <w:p w14:paraId="607ED3D3">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请以JSON格式输出你的质检结果，必须包含以下字段：</w:t>
            </w:r>
          </w:p>
          <w:p w14:paraId="16D69454">
            <w:pPr>
              <w:spacing w:before="0" w:after="0" w:line="324" w:lineRule="auto"/>
              <w:ind w:left="0" w:right="0" w:firstLine="0"/>
              <w:contextualSpacing w:val="0"/>
              <w:jc w:val="left"/>
            </w:pPr>
          </w:p>
          <w:p w14:paraId="691B033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p w14:paraId="7C70206F">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"is_anomaly": true/false,</w:t>
            </w:r>
          </w:p>
          <w:p w14:paraId="7D17CA98">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"matched_normal_type": "匹配到的正常卡片类型（商播大卡 / 开播寻址卡 / 店铺寻址卡 / kbox / 无匹配）",</w:t>
            </w:r>
          </w:p>
          <w:p w14:paraId="434F5F37">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"anomaly_pattern": "若异常，填写匹配到的异常模式名称（如：异常模式3：被内容视频流截流 / 未知异常模式）；若正常则填 null",</w:t>
            </w:r>
          </w:p>
          <w:p w14:paraId="4EE88D0E">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"visual_evidence": "支撑判定的关键视觉证据（例如：'首屏出现用户内容帖子，含昵称/日期/点赞数，无任何价格标签和电商购买入口'）",</w:t>
            </w:r>
          </w:p>
          <w:p w14:paraId="1786F2CC">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 xml:space="preserve">  "confidence_score": 0.0-1.0</w:t>
            </w:r>
          </w:p>
          <w:p w14:paraId="56D6F6F4">
            <w:pPr>
              <w:spacing w:before="0" w:after="0" w:line="324" w:lineRule="auto"/>
              <w:ind w:left="0" w:right="0" w:firstLine="0"/>
              <w:contextualSpacing w:val="0"/>
              <w:jc w:val="left"/>
            </w:pPr>
            <w:r>
              <w:rPr>
                <w:rFonts w:ascii="PingFang SC,Microsoft YaHei,黑体," w:hAnsi="PingFang SC,Microsoft YaHei,黑体," w:eastAsia="PingFang SC,Microsoft YaHei,黑体," w:cs="PingFang SC,Microsoft YaHei,黑体,"/>
                <w:b w:val="0"/>
                <w:i w:val="0"/>
                <w:smallCaps w:val="0"/>
                <w:strike w:val="0"/>
                <w:sz w:val="22"/>
                <w:u w:val="none"/>
                <w:vertAlign w:val="baseline"/>
                <w:rtl w:val="0"/>
              </w:rPr>
              <w:t>}</w:t>
            </w:r>
          </w:p>
        </w:tc>
      </w:tr>
    </w:tbl>
    <w:p w14:paraId="18E88BC3">
      <w:pPr>
        <w:spacing w:before="0" w:after="0" w:line="348" w:lineRule="auto"/>
        <w:ind w:left="0" w:right="0" w:firstLine="0"/>
        <w:contextualSpacing w:val="0"/>
        <w:jc w:val="left"/>
      </w:pPr>
      <w:bookmarkStart w:id="2" w:name="h.h2ro2w4gcgr4" w:colFirst="0" w:colLast="0"/>
      <w:bookmarkEnd w:id="2"/>
      <w:bookmarkStart w:id="3" w:name="_GoBack"/>
      <w:bookmarkEnd w:id="3"/>
    </w:p>
    <w:sectPr>
      <w:pgSz w:w="11906" w:h="16838"/>
      <w:pgMar w:top="1138" w:right="1138" w:bottom="1138" w:left="1138"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 SC,Microsoft YaHei,黑体,">
    <w:altName w:val="汉仪中黑KW"/>
    <w:panose1 w:val="00000000000000000000"/>
    <w:charset w:val="86"/>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8" w:lineRule="auto"/>
      </w:pPr>
      <w:r>
        <w:separator/>
      </w:r>
    </w:p>
  </w:footnote>
  <w:footnote w:type="continuationSeparator" w:id="1">
    <w:p>
      <w:pPr>
        <w:spacing w:before="0" w:after="0" w:line="34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documentProtection w:enforcement="0"/>
  <w:defaultTabStop w:val="720"/>
  <w:footnotePr>
    <w:footnote w:id="0"/>
    <w:footnote w:id="1"/>
  </w:footnotePr>
  <w:endnotePr>
    <w:endnote w:id="0"/>
    <w:endnote w:id="1"/>
  </w:endnotePr>
  <w:compat>
    <w:useFELayout/>
    <w:compatSetting w:name="compatibilityMode" w:uri="http://schemas.microsoft.com/office/word" w:val="14"/>
  </w:compat>
  <w:rsids>
    <w:rsidRoot w:val="00000000"/>
    <w:rsid w:val="37EFA9E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PingFang SC,Microsoft YaHei,黑体," w:hAnsi="PingFang SC,Microsoft YaHei,黑体," w:eastAsia="PingFang SC,Microsoft YaHei,黑体," w:cs="PingFang SC,Microsoft YaHei,黑体,"/>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before="0" w:after="0" w:line="348" w:lineRule="auto"/>
      <w:ind w:left="0" w:right="0" w:firstLine="0"/>
      <w:jc w:val="left"/>
    </w:pPr>
    <w:rPr>
      <w:rFonts w:ascii="PingFang SC,Microsoft YaHei,黑体," w:hAnsi="PingFang SC,Microsoft YaHei,黑体," w:eastAsia="PingFang SC,Microsoft YaHei,黑体," w:cs="PingFang SC,Microsoft YaHei,黑体,"/>
      <w:color w:val="1F2329"/>
      <w:sz w:val="22"/>
      <w:u w:val="none"/>
      <w:vertAlign w:val="baseline"/>
    </w:rPr>
  </w:style>
  <w:style w:type="paragraph" w:styleId="2">
    <w:name w:val="heading 1"/>
    <w:basedOn w:val="1"/>
    <w:next w:val="1"/>
    <w:uiPriority w:val="0"/>
    <w:pPr>
      <w:spacing w:before="0" w:after="120"/>
    </w:pPr>
    <w:rPr>
      <w:b/>
      <w:sz w:val="40"/>
    </w:rPr>
  </w:style>
  <w:style w:type="paragraph" w:styleId="3">
    <w:name w:val="heading 2"/>
    <w:basedOn w:val="1"/>
    <w:next w:val="1"/>
    <w:uiPriority w:val="0"/>
    <w:pPr>
      <w:spacing w:before="0" w:after="80"/>
    </w:pPr>
    <w:rPr>
      <w:b/>
      <w:sz w:val="34"/>
    </w:rPr>
  </w:style>
  <w:style w:type="paragraph" w:styleId="4">
    <w:name w:val="heading 3"/>
    <w:basedOn w:val="1"/>
    <w:next w:val="1"/>
    <w:uiPriority w:val="0"/>
    <w:pPr>
      <w:spacing w:before="0" w:after="80"/>
    </w:pPr>
    <w:rPr>
      <w:b/>
      <w:sz w:val="30"/>
    </w:rPr>
  </w:style>
  <w:style w:type="paragraph" w:styleId="5">
    <w:name w:val="heading 4"/>
    <w:basedOn w:val="1"/>
    <w:next w:val="1"/>
    <w:uiPriority w:val="0"/>
    <w:pPr>
      <w:spacing w:before="0" w:after="40"/>
    </w:pPr>
    <w:rPr>
      <w:b/>
      <w:sz w:val="26"/>
    </w:rPr>
  </w:style>
  <w:style w:type="paragraph" w:styleId="6">
    <w:name w:val="heading 5"/>
    <w:basedOn w:val="1"/>
    <w:next w:val="1"/>
    <w:uiPriority w:val="0"/>
    <w:pPr>
      <w:spacing w:before="0" w:after="40"/>
    </w:pPr>
    <w:rPr>
      <w:b/>
      <w:sz w:val="22"/>
    </w:rPr>
  </w:style>
  <w:style w:type="paragraph" w:styleId="7">
    <w:name w:val="heading 6"/>
    <w:basedOn w:val="1"/>
    <w:next w:val="1"/>
    <w:uiPriority w:val="0"/>
    <w:pPr>
      <w:spacing w:before="0" w:after="40"/>
    </w:pPr>
    <w:rPr>
      <w:b/>
      <w:sz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spacing w:before="360" w:after="80"/>
      <w:jc w:val="center"/>
    </w:pPr>
    <w:rPr>
      <w:b/>
      <w:color w:val="787B80"/>
      <w:sz w:val="34"/>
    </w:rPr>
  </w:style>
  <w:style w:type="paragraph" w:styleId="9">
    <w:name w:val="Title"/>
    <w:basedOn w:val="1"/>
    <w:next w:val="1"/>
    <w:uiPriority w:val="0"/>
    <w:pPr>
      <w:spacing w:before="0" w:after="120"/>
      <w:jc w:val="center"/>
    </w:pPr>
    <w:rPr>
      <w:b/>
      <w:sz w:val="46"/>
    </w:rPr>
  </w:style>
  <w:style w:type="table" w:customStyle="1" w:styleId="12">
    <w:name w:val="Table Normal"/>
    <w:uiPriority w:val="0"/>
  </w:style>
  <w:style w:type="paragraph" w:styleId="13">
    <w:name w:val="Quote"/>
    <w:basedOn w:val="1"/>
    <w:next w:val="1"/>
    <w:uiPriority w:val="0"/>
    <w:pPr>
      <w:spacing w:before="0" w:after="0" w:line="348" w:lineRule="auto"/>
      <w:ind w:left="0" w:right="0" w:firstLine="0"/>
      <w:jc w:val="left"/>
    </w:pPr>
    <w:rPr>
      <w:rFonts w:ascii="PingFang SC,Microsoft YaHei,黑体," w:hAnsi="PingFang SC,Microsoft YaHei,黑体," w:eastAsia="PingFang SC,Microsoft YaHei,黑体," w:cs="PingFang SC,Microsoft YaHei,黑体,"/>
      <w:color w:val="333333"/>
      <w:sz w:val="22"/>
      <w:u w:val="none"/>
      <w:vertAlign w:val="baseline"/>
    </w:rPr>
  </w:style>
  <w:style w:type="table" w:customStyle="1" w:styleId="14">
    <w:name w:val="_Style 11"/>
    <w:basedOn w:val="12"/>
    <w:uiPriority w:val="0"/>
    <w:tblStylePr w:type="firstRow"/>
    <w:tblStylePr w:type="lastRow"/>
    <w:tblStylePr w:type="firstCol"/>
    <w:tblStylePr w:type="lastCol"/>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https://secdocslog.corp.kuaishou.com/w.png?v=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" TargetMode="Externa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2026-07-14T14:52:56Z</dcterms:created>
  <dc:creator>Data</dc:creator>
  <cp:lastModifiedBy>有个亭子</cp:lastModifiedBy>
  <dcterms:modified xsi:type="dcterms:W3CDTF">2026-07-14T14:53:10Z</dcterms:modified>
  <dc:title>output.docx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yLevel">
    <vt:lpwstr>3</vt:lpwstr>
  </property>
  <property fmtid="{D5CDD505-2E9C-101B-9397-08002B2CF9AE}" pid="3" name="fileName">
    <vt:lpwstr>商业卡搜索2.0 prompt.docx</vt:lpwstr>
  </property>
  <property fmtid="{D5CDD505-2E9C-101B-9397-08002B2CF9AE}" pid="4" name="EXPORT_TIME">
    <vt:lpwstr>1784011944990</vt:lpwstr>
  </property>
  <property fmtid="{D5CDD505-2E9C-101B-9397-08002B2CF9AE}" pid="5" name="debug">
    <vt:lpwstr>false</vt:lpwstr>
  </property>
  <property fmtid="{D5CDD505-2E9C-101B-9397-08002B2CF9AE}" pid="6" name="requestUrl">
    <vt:lpwstr>https://docs.corp.kuaishou.com/d/export/fcABzrs51Rux_2N21vI8sCWAD?format=docx&amp;wordGray=true</vt:lpwstr>
  </property>
  <property fmtid="{D5CDD505-2E9C-101B-9397-08002B2CF9AE}" pid="7" name="bizCode">
    <vt:lpwstr>DOCS</vt:lpwstr>
  </property>
  <property fmtid="{D5CDD505-2E9C-101B-9397-08002B2CF9AE}" pid="8" name="docType">
    <vt:lpwstr>DOCX</vt:lpwstr>
  </property>
  <property fmtid="{D5CDD505-2E9C-101B-9397-08002B2CF9AE}" pid="9" name="maxDocSize">
    <vt:lpwstr>31457280</vt:lpwstr>
  </property>
  <property fmtid="{D5CDD505-2E9C-101B-9397-08002B2CF9AE}" pid="10" name="docSize">
    <vt:lpwstr>1110563</vt:lpwstr>
  </property>
  <property fmtid="{D5CDD505-2E9C-101B-9397-08002B2CF9AE}" pid="11" name="userName">
    <vt:lpwstr>luxianting</vt:lpwstr>
  </property>
  <property fmtid="{D5CDD505-2E9C-101B-9397-08002B2CF9AE}" pid="12" name="sysDocId">
    <vt:lpwstr>fcABzrs51Rux_2N21vI8sCWAD</vt:lpwstr>
  </property>
  <property fmtid="{D5CDD505-2E9C-101B-9397-08002B2CF9AE}" pid="13" name="ksDocId">
    <vt:lpwstr>e966c46b-e085-458d-ac5f-7e6a9da9846e</vt:lpwstr>
  </property>
  <property fmtid="{D5CDD505-2E9C-101B-9397-08002B2CF9AE}" pid="14" name="imgPartRefId">
    <vt:lpwstr>rId8</vt:lpwstr>
  </property>
  <property fmtid="{D5CDD505-2E9C-101B-9397-08002B2CF9AE}" pid="15" name="KSOProductBuildVer">
    <vt:lpwstr>2052-12.1.25205.25205</vt:lpwstr>
  </property>
  <property fmtid="{D5CDD505-2E9C-101B-9397-08002B2CF9AE}" pid="16" name="ICV">
    <vt:lpwstr>91AA10707B89357BD6DC556AB43DAFA8_42</vt:lpwstr>
  </property>
</Properties>
</file>