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spacing w:line="440" w:lineRule="exact"/>
        <w:ind w:firstLine="422"/>
        <w:outlineLvl w:val="0"/>
        <w:rPr>
          <w:rFonts w:ascii="Arial Narrow" w:hAnsi="宋体" w:eastAsia="宋体"/>
          <w:b/>
          <w:szCs w:val="21"/>
        </w:rPr>
      </w:pPr>
      <w:r>
        <w:rPr>
          <w:rFonts w:ascii="Arial Narrow" w:hAnsi="宋体" w:eastAsia="宋体"/>
          <w:b/>
          <w:szCs w:val="21"/>
        </w:rPr>
        <w:t>关联方关系及其交易</w:t>
      </w:r>
    </w:p>
    <w:p>
      <w:pPr>
        <w:snapToGrid w:val="0"/>
        <w:spacing w:line="440" w:lineRule="exact"/>
        <w:ind w:firstLine="420" w:firstLineChars="200"/>
        <w:outlineLvl w:val="1"/>
        <w:rPr>
          <w:rFonts w:hint="eastAsia" w:eastAsia="宋体"/>
          <w:bCs/>
          <w:szCs w:val="21"/>
        </w:rPr>
      </w:pPr>
      <w:r>
        <w:rPr>
          <w:rFonts w:hint="eastAsia" w:eastAsia="宋体"/>
          <w:bCs/>
          <w:szCs w:val="21"/>
        </w:rPr>
        <w:t>1、</w:t>
      </w:r>
      <w:bookmarkStart w:id="0" w:name="OLE_LINK1"/>
      <w:r>
        <w:rPr>
          <w:rFonts w:hint="eastAsia" w:eastAsia="宋体"/>
          <w:bCs/>
          <w:szCs w:val="21"/>
        </w:rPr>
        <w:t>本</w:t>
      </w:r>
      <w:r>
        <w:rPr>
          <w:rFonts w:hint="eastAsia" w:eastAsia="宋体"/>
          <w:bCs/>
          <w:szCs w:val="21"/>
          <w:lang w:val="en-US" w:eastAsia="zh-CN"/>
        </w:rPr>
        <w:t>公司</w:t>
      </w:r>
      <w:r>
        <w:rPr>
          <w:rFonts w:hint="eastAsia" w:eastAsia="宋体"/>
          <w:bCs/>
          <w:szCs w:val="21"/>
        </w:rPr>
        <w:t>的母公司情况</w:t>
      </w:r>
      <w:bookmarkEnd w:id="0"/>
    </w:p>
    <w:tbl>
      <w:tblPr>
        <w:tblStyle w:val="3"/>
        <w:tblpPr w:leftFromText="180" w:rightFromText="180" w:vertAnchor="text" w:horzAnchor="page" w:tblpX="2051" w:tblpY="204"/>
        <w:tblOverlap w:val="never"/>
        <w:tblW w:w="4997" w:type="pct"/>
        <w:tblInd w:w="0" w:type="dxa"/>
        <w:tblBorders>
          <w:top w:val="double" w:color="auto" w:sz="4" w:space="0"/>
          <w:left w:val="none" w:color="auto" w:sz="0" w:space="0"/>
          <w:bottom w:val="double" w:color="auto" w:sz="4" w:space="0"/>
          <w:right w:val="none" w:color="auto" w:sz="0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818"/>
        <w:gridCol w:w="1364"/>
        <w:gridCol w:w="1289"/>
        <w:gridCol w:w="1101"/>
        <w:gridCol w:w="1110"/>
      </w:tblGrid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  <w:tblHeader/>
        </w:trPr>
        <w:tc>
          <w:tcPr>
            <w:tcW w:w="1664" w:type="pct"/>
            <w:noWrap w:val="0"/>
            <w:vAlign w:val="center"/>
          </w:tcPr>
          <w:p>
            <w:pPr>
              <w:tabs>
                <w:tab w:val="left" w:pos="196"/>
                <w:tab w:val="left" w:pos="426"/>
              </w:tabs>
              <w:adjustRightInd w:val="0"/>
              <w:snapToGrid w:val="0"/>
              <w:spacing w:line="24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母公司名称</w:t>
            </w:r>
          </w:p>
        </w:tc>
        <w:tc>
          <w:tcPr>
            <w:tcW w:w="480" w:type="pct"/>
            <w:noWrap w:val="0"/>
            <w:vAlign w:val="center"/>
          </w:tcPr>
          <w:p>
            <w:pPr>
              <w:tabs>
                <w:tab w:val="left" w:pos="196"/>
                <w:tab w:val="left" w:pos="426"/>
              </w:tabs>
              <w:adjustRightInd w:val="0"/>
              <w:snapToGrid w:val="0"/>
              <w:spacing w:line="24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注册地</w:t>
            </w:r>
          </w:p>
        </w:tc>
        <w:tc>
          <w:tcPr>
            <w:tcW w:w="800" w:type="pct"/>
            <w:noWrap w:val="0"/>
            <w:vAlign w:val="center"/>
          </w:tcPr>
          <w:p>
            <w:pPr>
              <w:tabs>
                <w:tab w:val="left" w:pos="196"/>
                <w:tab w:val="left" w:pos="426"/>
              </w:tabs>
              <w:adjustRightInd w:val="0"/>
              <w:snapToGrid w:val="0"/>
              <w:spacing w:line="24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业务性质</w:t>
            </w:r>
          </w:p>
        </w:tc>
        <w:tc>
          <w:tcPr>
            <w:tcW w:w="756" w:type="pct"/>
            <w:noWrap w:val="0"/>
            <w:vAlign w:val="center"/>
          </w:tcPr>
          <w:p>
            <w:pPr>
              <w:tabs>
                <w:tab w:val="left" w:pos="196"/>
                <w:tab w:val="left" w:pos="426"/>
              </w:tabs>
              <w:adjustRightInd w:val="0"/>
              <w:snapToGrid w:val="0"/>
              <w:spacing w:line="24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注册资本</w:t>
            </w:r>
          </w:p>
          <w:p>
            <w:pPr>
              <w:tabs>
                <w:tab w:val="left" w:pos="196"/>
                <w:tab w:val="left" w:pos="426"/>
              </w:tabs>
              <w:adjustRightInd w:val="0"/>
              <w:snapToGrid w:val="0"/>
              <w:spacing w:line="24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(万元)</w:t>
            </w:r>
          </w:p>
        </w:tc>
        <w:tc>
          <w:tcPr>
            <w:tcW w:w="646" w:type="pct"/>
            <w:noWrap w:val="0"/>
            <w:vAlign w:val="center"/>
          </w:tcPr>
          <w:p>
            <w:pPr>
              <w:tabs>
                <w:tab w:val="left" w:pos="196"/>
                <w:tab w:val="left" w:pos="426"/>
              </w:tabs>
              <w:adjustRightInd w:val="0"/>
              <w:snapToGrid w:val="0"/>
              <w:spacing w:line="240" w:lineRule="atLeast"/>
              <w:jc w:val="center"/>
              <w:rPr>
                <w:rFonts w:eastAsia="宋体"/>
                <w:kern w:val="0"/>
                <w:szCs w:val="21"/>
              </w:rPr>
            </w:pPr>
            <w:r>
              <w:rPr>
                <w:rFonts w:eastAsia="宋体"/>
                <w:kern w:val="0"/>
                <w:szCs w:val="21"/>
              </w:rPr>
              <w:t>对本公司的持股比例(%)</w:t>
            </w:r>
          </w:p>
        </w:tc>
        <w:tc>
          <w:tcPr>
            <w:tcW w:w="651" w:type="pct"/>
            <w:noWrap w:val="0"/>
            <w:vAlign w:val="center"/>
          </w:tcPr>
          <w:p>
            <w:pPr>
              <w:tabs>
                <w:tab w:val="left" w:pos="196"/>
                <w:tab w:val="left" w:pos="426"/>
              </w:tabs>
              <w:adjustRightInd w:val="0"/>
              <w:snapToGrid w:val="0"/>
              <w:spacing w:line="240" w:lineRule="atLeast"/>
              <w:jc w:val="center"/>
              <w:rPr>
                <w:rFonts w:eastAsia="宋体"/>
                <w:kern w:val="0"/>
                <w:szCs w:val="21"/>
              </w:rPr>
            </w:pPr>
            <w:r>
              <w:rPr>
                <w:rFonts w:eastAsia="宋体"/>
                <w:kern w:val="0"/>
                <w:szCs w:val="21"/>
              </w:rPr>
              <w:t>对本公司的表决权比例(%)</w:t>
            </w:r>
          </w:p>
        </w:tc>
      </w:tr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664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kern w:val="0"/>
                <w:szCs w:val="21"/>
              </w:rPr>
            </w:pPr>
            <w:bookmarkStart w:id="1" w:name="OLE_LINK6" w:colFirst="0" w:colLast="5"/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深圳市景尚总部企业管理有限公司</w:t>
            </w:r>
          </w:p>
        </w:tc>
        <w:tc>
          <w:tcPr>
            <w:tcW w:w="480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深圳</w:t>
            </w:r>
          </w:p>
        </w:tc>
        <w:tc>
          <w:tcPr>
            <w:tcW w:w="800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商务服务业</w:t>
            </w:r>
          </w:p>
        </w:tc>
        <w:tc>
          <w:tcPr>
            <w:tcW w:w="75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1,000.00</w:t>
            </w:r>
          </w:p>
        </w:tc>
        <w:tc>
          <w:tcPr>
            <w:tcW w:w="64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96.667</w:t>
            </w:r>
          </w:p>
        </w:tc>
        <w:tc>
          <w:tcPr>
            <w:tcW w:w="651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96.667</w:t>
            </w:r>
          </w:p>
        </w:tc>
      </w:tr>
      <w:bookmarkEnd w:id="1"/>
    </w:tbl>
    <w:p/>
    <w:p>
      <w:pPr>
        <w:snapToGrid w:val="0"/>
        <w:spacing w:line="440" w:lineRule="exact"/>
        <w:ind w:left="420"/>
        <w:rPr>
          <w:rFonts w:eastAsia="宋体"/>
          <w:bCs/>
          <w:szCs w:val="21"/>
        </w:rPr>
      </w:pPr>
      <w:r>
        <w:rPr>
          <w:rFonts w:hint="eastAsia" w:eastAsia="宋体"/>
          <w:bCs/>
          <w:szCs w:val="21"/>
        </w:rPr>
        <w:t>公司实际控制人为</w:t>
      </w:r>
      <w:r>
        <w:rPr>
          <w:rFonts w:hint="eastAsia" w:eastAsia="宋体"/>
          <w:bCs/>
          <w:szCs w:val="21"/>
          <w:lang w:val="en-US" w:eastAsia="zh-CN"/>
        </w:rPr>
        <w:t>刘莲娇</w:t>
      </w:r>
      <w:r>
        <w:rPr>
          <w:rFonts w:hint="eastAsia" w:eastAsia="宋体"/>
          <w:bCs/>
          <w:szCs w:val="21"/>
        </w:rPr>
        <w:t>。</w:t>
      </w:r>
    </w:p>
    <w:p>
      <w:pPr>
        <w:snapToGrid w:val="0"/>
        <w:spacing w:line="440" w:lineRule="exact"/>
        <w:ind w:firstLine="420" w:firstLineChars="200"/>
        <w:outlineLvl w:val="1"/>
        <w:rPr>
          <w:rFonts w:eastAsia="宋体"/>
          <w:bCs/>
          <w:szCs w:val="21"/>
        </w:rPr>
      </w:pPr>
      <w:r>
        <w:rPr>
          <w:rFonts w:hint="eastAsia" w:eastAsia="宋体"/>
          <w:bCs/>
          <w:szCs w:val="21"/>
        </w:rPr>
        <w:t>2、本公司的子公司情况</w:t>
      </w:r>
    </w:p>
    <w:tbl>
      <w:tblPr>
        <w:tblStyle w:val="3"/>
        <w:tblW w:w="4997" w:type="pct"/>
        <w:tblInd w:w="0" w:type="dxa"/>
        <w:tblBorders>
          <w:top w:val="double" w:color="auto" w:sz="4" w:space="0"/>
          <w:left w:val="none" w:color="auto" w:sz="0" w:space="0"/>
          <w:bottom w:val="double" w:color="auto" w:sz="4" w:space="0"/>
          <w:right w:val="none" w:color="auto" w:sz="0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2"/>
        <w:gridCol w:w="1459"/>
        <w:gridCol w:w="932"/>
        <w:gridCol w:w="1616"/>
        <w:gridCol w:w="1638"/>
      </w:tblGrid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tblHeader/>
        </w:trPr>
        <w:tc>
          <w:tcPr>
            <w:tcW w:w="1685" w:type="pct"/>
            <w:noWrap w:val="0"/>
            <w:vAlign w:val="center"/>
          </w:tcPr>
          <w:p>
            <w:pPr>
              <w:pStyle w:val="6"/>
              <w:tabs>
                <w:tab w:val="left" w:pos="196"/>
                <w:tab w:val="left" w:pos="426"/>
              </w:tabs>
              <w:spacing w:afterLines="0"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</w:rPr>
              <w:t>子公司名称</w:t>
            </w:r>
          </w:p>
        </w:tc>
        <w:tc>
          <w:tcPr>
            <w:tcW w:w="856" w:type="pct"/>
            <w:noWrap w:val="0"/>
            <w:vAlign w:val="center"/>
          </w:tcPr>
          <w:p>
            <w:pPr>
              <w:pStyle w:val="6"/>
              <w:tabs>
                <w:tab w:val="left" w:pos="196"/>
                <w:tab w:val="left" w:pos="426"/>
              </w:tabs>
              <w:spacing w:afterLines="0"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</w:rPr>
              <w:t>子公司类型</w:t>
            </w:r>
          </w:p>
        </w:tc>
        <w:tc>
          <w:tcPr>
            <w:tcW w:w="547" w:type="pct"/>
            <w:noWrap w:val="0"/>
            <w:vAlign w:val="center"/>
          </w:tcPr>
          <w:p>
            <w:pPr>
              <w:pStyle w:val="6"/>
              <w:tabs>
                <w:tab w:val="left" w:pos="196"/>
                <w:tab w:val="left" w:pos="426"/>
              </w:tabs>
              <w:spacing w:afterLines="0"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</w:rPr>
              <w:t>级次</w:t>
            </w:r>
          </w:p>
        </w:tc>
        <w:tc>
          <w:tcPr>
            <w:tcW w:w="948" w:type="pct"/>
            <w:noWrap w:val="0"/>
            <w:vAlign w:val="center"/>
          </w:tcPr>
          <w:p>
            <w:pPr>
              <w:pStyle w:val="6"/>
              <w:tabs>
                <w:tab w:val="left" w:pos="196"/>
                <w:tab w:val="left" w:pos="426"/>
              </w:tabs>
              <w:spacing w:afterLines="0"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</w:rPr>
              <w:t>持股比例（</w:t>
            </w:r>
            <w:r>
              <w:rPr>
                <w:rFonts w:hint="eastAsia" w:ascii="Times New Roman" w:eastAsia="宋体"/>
                <w:kern w:val="0"/>
                <w:sz w:val="21"/>
              </w:rPr>
              <w:t>%</w:t>
            </w:r>
            <w:r>
              <w:rPr>
                <w:rFonts w:hint="eastAsia" w:ascii="宋体" w:hAnsi="宋体" w:eastAsia="宋体" w:cs="宋体"/>
                <w:bCs/>
                <w:sz w:val="21"/>
              </w:rPr>
              <w:t>）</w:t>
            </w:r>
          </w:p>
        </w:tc>
        <w:tc>
          <w:tcPr>
            <w:tcW w:w="961" w:type="pct"/>
            <w:noWrap w:val="0"/>
            <w:vAlign w:val="center"/>
          </w:tcPr>
          <w:p>
            <w:pPr>
              <w:pStyle w:val="6"/>
              <w:tabs>
                <w:tab w:val="left" w:pos="196"/>
                <w:tab w:val="left" w:pos="426"/>
              </w:tabs>
              <w:spacing w:afterLines="0"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</w:rPr>
              <w:t>表决权比例（</w:t>
            </w:r>
            <w:r>
              <w:rPr>
                <w:rFonts w:hint="eastAsia" w:ascii="Times New Roman" w:eastAsia="宋体"/>
                <w:kern w:val="0"/>
                <w:sz w:val="21"/>
              </w:rPr>
              <w:t>%</w:t>
            </w:r>
            <w:r>
              <w:rPr>
                <w:rFonts w:hint="eastAsia" w:ascii="宋体" w:hAnsi="宋体" w:eastAsia="宋体" w:cs="宋体"/>
                <w:bCs/>
                <w:sz w:val="21"/>
              </w:rPr>
              <w:t>）</w:t>
            </w:r>
          </w:p>
        </w:tc>
      </w:tr>
      <w:bookmarkEnd w:id="2"/>
      <w:tr>
        <w:tc>
          <w:tcPr>
            <w:tcW w:type="dxa" w:w="2872"/>
          </w:tcPr>
          <w:p>
            <w:r>
              <w:rPr>
                <w:rFonts w:ascii="宋体" w:hAnsi="宋体" w:eastAsia="宋体"/>
              </w:rPr>
              <w:t>深圳市前海一方实业咨询有限公司</w:t>
            </w:r>
          </w:p>
        </w:tc>
        <w:tc>
          <w:tcPr>
            <w:tcW w:type="dxa" w:w="1459"/>
          </w:tcPr>
          <w:p>
            <w:r>
              <w:rPr>
                <w:rFonts w:ascii="宋体" w:hAnsi="宋体" w:eastAsia="宋体"/>
              </w:rPr>
              <w:t>控股子公司</w:t>
            </w:r>
          </w:p>
        </w:tc>
        <w:tc>
          <w:tcPr>
            <w:tcW w:type="dxa" w:w="932"/>
          </w:tcPr>
          <w:p>
            <w:r>
              <w:rPr>
                <w:rFonts w:ascii="宋体" w:hAnsi="宋体" w:eastAsia="宋体"/>
              </w:rPr>
              <w:t>一级</w:t>
            </w:r>
          </w:p>
        </w:tc>
        <w:tc>
          <w:tcPr>
            <w:tcW w:type="dxa" w:w="1616"/>
          </w:tcPr>
          <w:p>
            <w:r>
              <w:rPr>
                <w:rFonts w:ascii="宋体" w:hAnsi="宋体" w:eastAsia="宋体"/>
              </w:rPr>
              <w:t>100.00</w:t>
            </w:r>
          </w:p>
        </w:tc>
        <w:tc>
          <w:tcPr>
            <w:tcW w:type="dxa" w:w="1638"/>
          </w:tcPr>
          <w:p>
            <w:r>
              <w:rPr>
                <w:rFonts w:ascii="宋体" w:hAnsi="宋体" w:eastAsia="宋体"/>
              </w:rPr>
              <w:t>100.00</w:t>
            </w:r>
          </w:p>
        </w:tc>
      </w:tr>
      <w:tr>
        <w:tc>
          <w:tcPr>
            <w:tcW w:type="dxa" w:w="2872"/>
          </w:tcPr>
          <w:p>
            <w:r>
              <w:rPr>
                <w:rFonts w:ascii="宋体" w:hAnsi="宋体" w:eastAsia="宋体"/>
              </w:rPr>
              <w:t>深圳市前海一方恒融商业保理有限公司</w:t>
            </w:r>
          </w:p>
        </w:tc>
        <w:tc>
          <w:tcPr>
            <w:tcW w:type="dxa" w:w="1459"/>
          </w:tcPr>
          <w:p>
            <w:r>
              <w:rPr>
                <w:rFonts w:ascii="宋体" w:hAnsi="宋体" w:eastAsia="宋体"/>
              </w:rPr>
              <w:t>控股子公司</w:t>
            </w:r>
          </w:p>
        </w:tc>
        <w:tc>
          <w:tcPr>
            <w:tcW w:type="dxa" w:w="932"/>
          </w:tcPr>
          <w:p>
            <w:r>
              <w:rPr>
                <w:rFonts w:ascii="宋体" w:hAnsi="宋体" w:eastAsia="宋体"/>
              </w:rPr>
              <w:t>一级</w:t>
            </w:r>
          </w:p>
        </w:tc>
        <w:tc>
          <w:tcPr>
            <w:tcW w:type="dxa" w:w="1616"/>
          </w:tcPr>
          <w:p>
            <w:r>
              <w:rPr>
                <w:rFonts w:ascii="宋体" w:hAnsi="宋体" w:eastAsia="宋体"/>
              </w:rPr>
              <w:t>100.00</w:t>
            </w:r>
          </w:p>
        </w:tc>
        <w:tc>
          <w:tcPr>
            <w:tcW w:type="dxa" w:w="1638"/>
          </w:tcPr>
          <w:p>
            <w:r>
              <w:rPr>
                <w:rFonts w:ascii="宋体" w:hAnsi="宋体" w:eastAsia="宋体"/>
              </w:rPr>
              <w:t>100.00</w:t>
            </w:r>
          </w:p>
        </w:tc>
      </w:tr>
      <w:tr>
        <w:tc>
          <w:tcPr>
            <w:tcW w:type="dxa" w:w="2872"/>
          </w:tcPr>
          <w:p>
            <w:r>
              <w:rPr>
                <w:rFonts w:ascii="宋体" w:hAnsi="宋体" w:eastAsia="宋体"/>
              </w:rPr>
              <w:t>深圳市一方融合咨询管理有限公司</w:t>
            </w:r>
          </w:p>
        </w:tc>
        <w:tc>
          <w:tcPr>
            <w:tcW w:type="dxa" w:w="1459"/>
          </w:tcPr>
          <w:p>
            <w:r>
              <w:rPr>
                <w:rFonts w:ascii="宋体" w:hAnsi="宋体" w:eastAsia="宋体"/>
              </w:rPr>
              <w:t>控股子公司</w:t>
            </w:r>
          </w:p>
        </w:tc>
        <w:tc>
          <w:tcPr>
            <w:tcW w:type="dxa" w:w="932"/>
          </w:tcPr>
          <w:p>
            <w:r>
              <w:rPr>
                <w:rFonts w:ascii="宋体" w:hAnsi="宋体" w:eastAsia="宋体"/>
              </w:rPr>
              <w:t>一级</w:t>
            </w:r>
          </w:p>
        </w:tc>
        <w:tc>
          <w:tcPr>
            <w:tcW w:type="dxa" w:w="1616"/>
          </w:tcPr>
          <w:p>
            <w:r>
              <w:rPr>
                <w:rFonts w:ascii="宋体" w:hAnsi="宋体" w:eastAsia="宋体"/>
              </w:rPr>
              <w:t>100.00</w:t>
            </w:r>
          </w:p>
        </w:tc>
        <w:tc>
          <w:tcPr>
            <w:tcW w:type="dxa" w:w="1638"/>
          </w:tcPr>
          <w:p>
            <w:r>
              <w:rPr>
                <w:rFonts w:ascii="宋体" w:hAnsi="宋体" w:eastAsia="宋体"/>
              </w:rPr>
              <w:t>100.00</w:t>
            </w:r>
          </w:p>
        </w:tc>
      </w:tr>
      <w:tr>
        <w:tc>
          <w:tcPr>
            <w:tcW w:type="dxa" w:w="2872"/>
          </w:tcPr>
          <w:p>
            <w:r>
              <w:rPr>
                <w:rFonts w:ascii="宋体" w:hAnsi="宋体" w:eastAsia="宋体"/>
              </w:rPr>
              <w:t>豆方数科（深圳）有限责任公司</w:t>
            </w:r>
          </w:p>
        </w:tc>
        <w:tc>
          <w:tcPr>
            <w:tcW w:type="dxa" w:w="1459"/>
          </w:tcPr>
          <w:p>
            <w:r>
              <w:rPr>
                <w:rFonts w:ascii="宋体" w:hAnsi="宋体" w:eastAsia="宋体"/>
              </w:rPr>
              <w:t>控股子公司</w:t>
            </w:r>
          </w:p>
        </w:tc>
        <w:tc>
          <w:tcPr>
            <w:tcW w:type="dxa" w:w="932"/>
          </w:tcPr>
          <w:p>
            <w:r>
              <w:rPr>
                <w:rFonts w:ascii="宋体" w:hAnsi="宋体" w:eastAsia="宋体"/>
              </w:rPr>
              <w:t>一级</w:t>
            </w:r>
          </w:p>
        </w:tc>
        <w:tc>
          <w:tcPr>
            <w:tcW w:type="dxa" w:w="1616"/>
          </w:tcPr>
          <w:p>
            <w:r>
              <w:rPr>
                <w:rFonts w:ascii="宋体" w:hAnsi="宋体" w:eastAsia="宋体"/>
              </w:rPr>
              <w:t>49.00</w:t>
            </w:r>
          </w:p>
        </w:tc>
        <w:tc>
          <w:tcPr>
            <w:tcW w:type="dxa" w:w="1638"/>
          </w:tcPr>
          <w:p>
            <w:r>
              <w:rPr>
                <w:rFonts w:ascii="宋体" w:hAnsi="宋体" w:eastAsia="宋体"/>
              </w:rPr>
              <w:t>49.00</w:t>
            </w:r>
          </w:p>
        </w:tc>
      </w:tr>
      <w:tr>
        <w:tc>
          <w:tcPr>
            <w:tcW w:type="dxa" w:w="2872"/>
          </w:tcPr>
          <w:p>
            <w:r>
              <w:rPr>
                <w:rFonts w:ascii="宋体" w:hAnsi="宋体" w:eastAsia="宋体"/>
              </w:rPr>
              <w:t>北京一方商业保理有限公司</w:t>
            </w:r>
          </w:p>
        </w:tc>
        <w:tc>
          <w:tcPr>
            <w:tcW w:type="dxa" w:w="1459"/>
          </w:tcPr>
          <w:p>
            <w:r>
              <w:rPr>
                <w:rFonts w:ascii="宋体" w:hAnsi="宋体" w:eastAsia="宋体"/>
              </w:rPr>
              <w:t>控股公司</w:t>
            </w:r>
          </w:p>
        </w:tc>
        <w:tc>
          <w:tcPr>
            <w:tcW w:type="dxa" w:w="932"/>
          </w:tcPr>
          <w:p>
            <w:r>
              <w:rPr>
                <w:rFonts w:ascii="宋体" w:hAnsi="宋体" w:eastAsia="宋体"/>
              </w:rPr>
              <w:t>二级</w:t>
            </w:r>
          </w:p>
        </w:tc>
        <w:tc>
          <w:tcPr>
            <w:tcW w:type="dxa" w:w="1616"/>
          </w:tcPr>
          <w:p>
            <w:r>
              <w:rPr>
                <w:rFonts w:ascii="宋体" w:hAnsi="宋体" w:eastAsia="宋体"/>
              </w:rPr>
              <w:t>51.00</w:t>
            </w:r>
          </w:p>
        </w:tc>
        <w:tc>
          <w:tcPr>
            <w:tcW w:type="dxa" w:w="1638"/>
          </w:tcPr>
          <w:p>
            <w:r>
              <w:rPr>
                <w:rFonts w:ascii="宋体" w:hAnsi="宋体" w:eastAsia="宋体"/>
              </w:rPr>
              <w:t>51.00</w:t>
            </w:r>
          </w:p>
        </w:tc>
      </w:tr>
      <w:tr>
        <w:tc>
          <w:tcPr>
            <w:tcW w:type="dxa" w:w="2872"/>
          </w:tcPr>
          <w:p>
            <w:r>
              <w:rPr>
                <w:rFonts w:ascii="宋体" w:hAnsi="宋体" w:eastAsia="宋体"/>
              </w:rPr>
              <w:t>北海稳诚一方科技服务有限公司</w:t>
            </w:r>
          </w:p>
        </w:tc>
        <w:tc>
          <w:tcPr>
            <w:tcW w:type="dxa" w:w="1459"/>
          </w:tcPr>
          <w:p>
            <w:r>
              <w:rPr>
                <w:rFonts w:ascii="宋体" w:hAnsi="宋体" w:eastAsia="宋体"/>
              </w:rPr>
              <w:t>控股公司</w:t>
            </w:r>
          </w:p>
        </w:tc>
        <w:tc>
          <w:tcPr>
            <w:tcW w:type="dxa" w:w="932"/>
          </w:tcPr>
          <w:p>
            <w:r>
              <w:rPr>
                <w:rFonts w:ascii="宋体" w:hAnsi="宋体" w:eastAsia="宋体"/>
              </w:rPr>
              <w:t>二级</w:t>
            </w:r>
          </w:p>
        </w:tc>
        <w:tc>
          <w:tcPr>
            <w:tcW w:type="dxa" w:w="1616"/>
          </w:tcPr>
          <w:p>
            <w:r>
              <w:rPr>
                <w:rFonts w:ascii="宋体" w:hAnsi="宋体" w:eastAsia="宋体"/>
              </w:rPr>
              <w:t>100.00</w:t>
            </w:r>
          </w:p>
        </w:tc>
        <w:tc>
          <w:tcPr>
            <w:tcW w:type="dxa" w:w="1638"/>
          </w:tcPr>
          <w:p>
            <w:r>
              <w:rPr>
                <w:rFonts w:ascii="宋体" w:hAnsi="宋体" w:eastAsia="宋体"/>
              </w:rPr>
              <w:t>100.00</w:t>
            </w:r>
          </w:p>
        </w:tc>
      </w:tr>
    </w:tbl>
    <w:p/>
    <w:p>
      <w:pPr>
        <w:snapToGrid w:val="0"/>
        <w:spacing w:line="440" w:lineRule="exact"/>
        <w:ind w:firstLine="420" w:firstLineChars="200"/>
        <w:outlineLvl w:val="1"/>
        <w:rPr>
          <w:rFonts w:hint="default" w:eastAsia="宋体"/>
          <w:bCs/>
          <w:color w:val="0000FF"/>
          <w:szCs w:val="21"/>
          <w:lang w:val="en-US" w:eastAsia="zh-CN"/>
        </w:rPr>
      </w:pPr>
      <w:r>
        <w:rPr>
          <w:rFonts w:hint="eastAsia" w:eastAsia="宋体"/>
          <w:bCs/>
          <w:szCs w:val="21"/>
        </w:rPr>
        <w:t>3、</w:t>
      </w:r>
      <w:bookmarkStart w:id="3" w:name="OLE_LINK8"/>
      <w:r>
        <w:rPr>
          <w:rFonts w:eastAsia="宋体"/>
          <w:bCs/>
          <w:szCs w:val="21"/>
        </w:rPr>
        <w:t>本公司的合营、联营公司情况</w:t>
      </w:r>
      <w:bookmarkEnd w:id="3"/>
      <w:r>
        <w:rPr>
          <w:rFonts w:hint="eastAsia" w:eastAsia="宋体"/>
          <w:bCs/>
          <w:szCs w:val="21"/>
          <w:lang w:eastAsia="zh-CN"/>
        </w:rPr>
        <w:t>（</w:t>
      </w:r>
      <w:r>
        <w:rPr>
          <w:rFonts w:ascii="微软雅黑" w:hAnsi="微软雅黑" w:eastAsia="微软雅黑" w:cs="微软雅黑"/>
          <w:b/>
          <w:i w:val="0"/>
          <w:caps w:val="0"/>
          <w:color w:val="0000FF"/>
          <w:spacing w:val="0"/>
          <w:sz w:val="20"/>
          <w:szCs w:val="20"/>
          <w:shd w:val="clear" w:fill="FFFFFF"/>
        </w:rPr>
        <w:t>企业基本信息（含主要人员）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0000FF"/>
          <w:spacing w:val="0"/>
          <w:sz w:val="20"/>
          <w:szCs w:val="20"/>
          <w:shd w:val="clear" w:fill="FFFFFF"/>
          <w:lang w:val="en-US" w:eastAsia="zh-CN"/>
        </w:rPr>
        <w:t>819</w:t>
      </w:r>
      <w:r>
        <w:rPr>
          <w:rFonts w:hint="eastAsia" w:eastAsia="宋体"/>
          <w:bCs/>
          <w:szCs w:val="21"/>
          <w:lang w:eastAsia="zh-CN"/>
        </w:rPr>
        <w:t>）</w:t>
      </w:r>
      <w:r>
        <w:rPr>
          <w:rFonts w:hint="eastAsia" w:eastAsia="宋体"/>
          <w:bCs/>
          <w:color w:val="0000FF"/>
          <w:szCs w:val="21"/>
          <w:lang w:val="en-US" w:eastAsia="zh-CN"/>
        </w:rPr>
        <w:t>小于40%</w:t>
      </w:r>
    </w:p>
    <w:tbl>
      <w:tblPr>
        <w:tblStyle w:val="3"/>
        <w:tblW w:w="4997" w:type="pct"/>
        <w:tblInd w:w="0" w:type="dxa"/>
        <w:tblBorders>
          <w:top w:val="double" w:color="auto" w:sz="4" w:space="0"/>
          <w:left w:val="none" w:color="auto" w:sz="0" w:space="0"/>
          <w:bottom w:val="double" w:color="auto" w:sz="4" w:space="0"/>
          <w:right w:val="none" w:color="auto" w:sz="0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711"/>
        <w:gridCol w:w="1169"/>
        <w:gridCol w:w="876"/>
        <w:gridCol w:w="946"/>
        <w:gridCol w:w="1087"/>
        <w:gridCol w:w="1120"/>
        <w:gridCol w:w="1103"/>
      </w:tblGrid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Header/>
        </w:trPr>
        <w:tc>
          <w:tcPr>
            <w:tcW w:w="883" w:type="pct"/>
            <w:vMerge w:val="restart"/>
            <w:noWrap w:val="0"/>
            <w:vAlign w:val="center"/>
          </w:tcPr>
          <w:p>
            <w:pPr>
              <w:keepNext/>
              <w:snapToGri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合营企业或联营企业名称</w:t>
            </w:r>
          </w:p>
        </w:tc>
        <w:tc>
          <w:tcPr>
            <w:tcW w:w="417" w:type="pct"/>
            <w:vMerge w:val="restart"/>
            <w:noWrap w:val="0"/>
            <w:vAlign w:val="center"/>
          </w:tcPr>
          <w:p>
            <w:pPr>
              <w:keepNext/>
              <w:snapToGri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注册地</w:t>
            </w:r>
          </w:p>
        </w:tc>
        <w:tc>
          <w:tcPr>
            <w:tcW w:w="686" w:type="pct"/>
            <w:vMerge w:val="restart"/>
            <w:noWrap w:val="0"/>
            <w:vAlign w:val="center"/>
          </w:tcPr>
          <w:p>
            <w:pPr>
              <w:keepNext/>
              <w:snapToGri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业务性质</w:t>
            </w:r>
          </w:p>
        </w:tc>
        <w:tc>
          <w:tcPr>
            <w:tcW w:w="1069" w:type="pct"/>
            <w:gridSpan w:val="2"/>
            <w:noWrap w:val="0"/>
            <w:vAlign w:val="center"/>
          </w:tcPr>
          <w:p>
            <w:pPr>
              <w:keepNext/>
              <w:snapToGri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本企业持股比例(%)</w:t>
            </w:r>
          </w:p>
        </w:tc>
        <w:tc>
          <w:tcPr>
            <w:tcW w:w="638" w:type="pct"/>
            <w:vMerge w:val="restart"/>
            <w:noWrap w:val="0"/>
            <w:vAlign w:val="center"/>
          </w:tcPr>
          <w:p>
            <w:pPr>
              <w:keepNext/>
              <w:snapToGri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本企业在被投资单位表决权比例(%)</w:t>
            </w:r>
          </w:p>
        </w:tc>
        <w:tc>
          <w:tcPr>
            <w:tcW w:w="657" w:type="pct"/>
            <w:vMerge w:val="restart"/>
            <w:noWrap w:val="0"/>
            <w:vAlign w:val="center"/>
          </w:tcPr>
          <w:p>
            <w:pPr>
              <w:keepNext/>
              <w:snapToGri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对合营企业或联营企业投资的会计处理方法</w:t>
            </w:r>
          </w:p>
        </w:tc>
        <w:tc>
          <w:tcPr>
            <w:tcW w:w="647" w:type="pct"/>
            <w:vMerge w:val="restart"/>
            <w:noWrap w:val="0"/>
            <w:vAlign w:val="center"/>
          </w:tcPr>
          <w:p>
            <w:pPr>
              <w:keepNext/>
              <w:snapToGri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注册资本</w:t>
            </w: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val="en-US" w:eastAsia="zh-CN"/>
              </w:rPr>
              <w:t>万元）</w:t>
            </w:r>
          </w:p>
        </w:tc>
      </w:tr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883" w:type="pct"/>
            <w:vMerge w:val="continue"/>
            <w:noWrap w:val="0"/>
            <w:vAlign w:val="center"/>
          </w:tcPr>
          <w:p>
            <w:pPr>
              <w:keepNext/>
              <w:snapToGri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1"/>
              </w:rPr>
            </w:pPr>
          </w:p>
        </w:tc>
        <w:tc>
          <w:tcPr>
            <w:tcW w:w="417" w:type="pct"/>
            <w:vMerge w:val="continue"/>
            <w:noWrap w:val="0"/>
            <w:vAlign w:val="top"/>
          </w:tcPr>
          <w:p>
            <w:pPr>
              <w:keepNext/>
              <w:widowControl/>
              <w:snapToGrid w:val="0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686" w:type="pct"/>
            <w:vMerge w:val="continue"/>
            <w:noWrap w:val="0"/>
            <w:vAlign w:val="center"/>
          </w:tcPr>
          <w:p>
            <w:pPr>
              <w:keepNext/>
              <w:widowControl/>
              <w:snapToGrid w:val="0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514" w:type="pct"/>
            <w:noWrap w:val="0"/>
            <w:vAlign w:val="center"/>
          </w:tcPr>
          <w:p>
            <w:pPr>
              <w:keepNext/>
              <w:widowControl/>
              <w:snapToGrid w:val="0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直接</w:t>
            </w:r>
          </w:p>
        </w:tc>
        <w:tc>
          <w:tcPr>
            <w:tcW w:w="555" w:type="pct"/>
            <w:noWrap w:val="0"/>
            <w:vAlign w:val="center"/>
          </w:tcPr>
          <w:p>
            <w:pPr>
              <w:keepNext/>
              <w:widowControl/>
              <w:snapToGrid w:val="0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间接</w:t>
            </w:r>
          </w:p>
        </w:tc>
        <w:tc>
          <w:tcPr>
            <w:tcW w:w="638" w:type="pct"/>
            <w:vMerge w:val="continue"/>
            <w:noWrap w:val="0"/>
            <w:vAlign w:val="center"/>
          </w:tcPr>
          <w:p>
            <w:pPr>
              <w:keepNext/>
              <w:widowControl/>
              <w:snapToGrid w:val="0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657" w:type="pct"/>
            <w:vMerge w:val="continue"/>
            <w:noWrap w:val="0"/>
            <w:vAlign w:val="center"/>
          </w:tcPr>
          <w:p>
            <w:pPr>
              <w:keepNext/>
              <w:widowControl/>
              <w:snapToGrid w:val="0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647" w:type="pct"/>
            <w:vMerge w:val="continue"/>
            <w:noWrap w:val="0"/>
            <w:vAlign w:val="center"/>
          </w:tcPr>
          <w:p>
            <w:pPr>
              <w:keepNext/>
              <w:widowControl/>
              <w:snapToGrid w:val="0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</w:tr>
      <w:bookmarkEnd w:id="4"/>
      <w:tr>
        <w:tc>
          <w:tcPr>
            <w:tcW w:type="dxa" w:w="1505"/>
          </w:tcPr>
          <w:p>
            <w:r>
              <w:rPr>
                <w:rFonts w:ascii="宋体" w:hAnsi="宋体" w:eastAsia="宋体"/>
              </w:rPr>
              <w:t>深圳市稳诚一方数字科技服务有限公司</w:t>
            </w:r>
          </w:p>
        </w:tc>
        <w:tc>
          <w:tcPr>
            <w:tcW w:type="dxa" w:w="711"/>
          </w:tcPr>
          <w:p>
            <w:r>
              <w:rPr>
                <w:rFonts w:ascii="宋体" w:hAnsi="宋体" w:eastAsia="宋体"/>
              </w:rPr>
              <w:t>深圳市</w:t>
            </w:r>
          </w:p>
        </w:tc>
        <w:tc>
          <w:tcPr>
            <w:tcW w:type="dxa" w:w="1169"/>
          </w:tcPr>
          <w:p>
            <w:r>
              <w:rPr>
                <w:rFonts w:ascii="宋体" w:hAnsi="宋体" w:eastAsia="宋体"/>
              </w:rPr>
              <w:t>租赁和商务服务业</w:t>
            </w:r>
          </w:p>
        </w:tc>
        <w:tc>
          <w:tcPr>
            <w:tcW w:type="dxa" w:w="876"/>
          </w:tcPr>
          <w:p>
            <w:r>
              <w:rPr>
                <w:rFonts w:ascii="宋体" w:hAnsi="宋体" w:eastAsia="宋体"/>
              </w:rPr>
              <w:t>35.00</w:t>
            </w:r>
          </w:p>
        </w:tc>
        <w:tc>
          <w:tcPr>
            <w:tcW w:type="dxa" w:w="946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087"/>
          </w:tcPr>
          <w:p>
            <w:r>
              <w:rPr>
                <w:rFonts w:ascii="宋体" w:hAnsi="宋体" w:eastAsia="宋体"/>
              </w:rPr>
              <w:t>35.00</w:t>
            </w:r>
          </w:p>
        </w:tc>
        <w:tc>
          <w:tcPr>
            <w:tcW w:type="dxa" w:w="1120"/>
          </w:tcPr>
          <w:p>
            <w:r>
              <w:rPr>
                <w:rFonts w:ascii="宋体" w:hAnsi="宋体" w:eastAsia="宋体"/>
              </w:rPr>
              <w:t>权益法</w:t>
            </w:r>
          </w:p>
        </w:tc>
        <w:tc>
          <w:tcPr>
            <w:tcW w:type="dxa" w:w="1103"/>
          </w:tcPr>
          <w:p>
            <w:r>
              <w:rPr>
                <w:rFonts w:ascii="宋体" w:hAnsi="宋体" w:eastAsia="宋体"/>
              </w:rPr>
              <w:t>1,000.00</w:t>
            </w:r>
          </w:p>
        </w:tc>
      </w:tr>
      <w:tr>
        <w:tc>
          <w:tcPr>
            <w:tcW w:type="dxa" w:w="1505"/>
          </w:tcPr>
          <w:p>
            <w:r>
              <w:rPr>
                <w:rFonts w:ascii="宋体" w:hAnsi="宋体" w:eastAsia="宋体"/>
              </w:rPr>
              <w:t>浙江承信数字科技有限公司</w:t>
            </w:r>
          </w:p>
        </w:tc>
        <w:tc>
          <w:tcPr>
            <w:tcW w:type="dxa" w:w="711"/>
          </w:tcPr>
          <w:p>
            <w:r>
              <w:rPr>
                <w:rFonts w:ascii="宋体" w:hAnsi="宋体" w:eastAsia="宋体"/>
              </w:rPr>
              <w:t>杭州市</w:t>
            </w:r>
          </w:p>
        </w:tc>
        <w:tc>
          <w:tcPr>
            <w:tcW w:type="dxa" w:w="1169"/>
          </w:tcPr>
          <w:p>
            <w:r>
              <w:rPr>
                <w:rFonts w:ascii="宋体" w:hAnsi="宋体" w:eastAsia="宋体"/>
              </w:rPr>
              <w:t>信息传输、软件和信息技术服务业</w:t>
            </w:r>
          </w:p>
        </w:tc>
        <w:tc>
          <w:tcPr>
            <w:tcW w:type="dxa" w:w="876"/>
          </w:tcPr>
          <w:p>
            <w:r>
              <w:rPr>
                <w:rFonts w:ascii="宋体" w:hAnsi="宋体" w:eastAsia="宋体"/>
              </w:rPr>
              <w:t>30.00</w:t>
            </w:r>
          </w:p>
        </w:tc>
        <w:tc>
          <w:tcPr>
            <w:tcW w:type="dxa" w:w="946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087"/>
          </w:tcPr>
          <w:p>
            <w:r>
              <w:rPr>
                <w:rFonts w:ascii="宋体" w:hAnsi="宋体" w:eastAsia="宋体"/>
              </w:rPr>
              <w:t>30.00</w:t>
            </w:r>
          </w:p>
        </w:tc>
        <w:tc>
          <w:tcPr>
            <w:tcW w:type="dxa" w:w="1120"/>
          </w:tcPr>
          <w:p>
            <w:r>
              <w:rPr>
                <w:rFonts w:ascii="宋体" w:hAnsi="宋体" w:eastAsia="宋体"/>
              </w:rPr>
              <w:t>权益法</w:t>
            </w:r>
          </w:p>
        </w:tc>
        <w:tc>
          <w:tcPr>
            <w:tcW w:type="dxa" w:w="1103"/>
          </w:tcPr>
          <w:p>
            <w:r>
              <w:rPr>
                <w:rFonts w:ascii="宋体" w:hAnsi="宋体" w:eastAsia="宋体"/>
              </w:rPr>
              <w:t>1,000.00</w:t>
            </w:r>
          </w:p>
        </w:tc>
      </w:tr>
      <w:tr>
        <w:tc>
          <w:tcPr>
            <w:tcW w:type="dxa" w:w="1505"/>
          </w:tcPr>
          <w:p>
            <w:r>
              <w:rPr>
                <w:rFonts w:ascii="宋体" w:hAnsi="宋体" w:eastAsia="宋体"/>
              </w:rPr>
              <w:t>春华荣耀（天津）股权投资基金合伙企业（有限合伙）</w:t>
            </w:r>
          </w:p>
        </w:tc>
        <w:tc>
          <w:tcPr>
            <w:tcW w:type="dxa" w:w="711"/>
          </w:tcPr>
          <w:p>
            <w:r>
              <w:rPr>
                <w:rFonts w:ascii="宋体" w:hAnsi="宋体" w:eastAsia="宋体"/>
              </w:rPr>
              <w:t>天津市</w:t>
            </w:r>
          </w:p>
        </w:tc>
        <w:tc>
          <w:tcPr>
            <w:tcW w:type="dxa" w:w="1169"/>
          </w:tcPr>
          <w:p>
            <w:r>
              <w:rPr>
                <w:rFonts w:ascii="宋体" w:hAnsi="宋体" w:eastAsia="宋体"/>
              </w:rPr>
              <w:t>租赁和商务服务业</w:t>
            </w:r>
          </w:p>
        </w:tc>
        <w:tc>
          <w:tcPr>
            <w:tcW w:type="dxa" w:w="876"/>
          </w:tcPr>
          <w:p>
            <w:r>
              <w:rPr>
                <w:rFonts w:ascii="宋体" w:hAnsi="宋体" w:eastAsia="宋体"/>
              </w:rPr>
              <w:t>3.96</w:t>
            </w:r>
          </w:p>
        </w:tc>
        <w:tc>
          <w:tcPr>
            <w:tcW w:type="dxa" w:w="946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087"/>
          </w:tcPr>
          <w:p>
            <w:r>
              <w:rPr>
                <w:rFonts w:ascii="宋体" w:hAnsi="宋体" w:eastAsia="宋体"/>
              </w:rPr>
              <w:t>3.96</w:t>
            </w:r>
          </w:p>
        </w:tc>
        <w:tc>
          <w:tcPr>
            <w:tcW w:type="dxa" w:w="1120"/>
          </w:tcPr>
          <w:p>
            <w:r>
              <w:rPr>
                <w:rFonts w:ascii="宋体" w:hAnsi="宋体" w:eastAsia="宋体"/>
              </w:rPr>
              <w:t>权益法</w:t>
            </w:r>
          </w:p>
        </w:tc>
        <w:tc>
          <w:tcPr>
            <w:tcW w:type="dxa" w:w="1103"/>
          </w:tcPr>
          <w:p>
            <w:r>
              <w:rPr>
                <w:rFonts w:ascii="宋体" w:hAnsi="宋体" w:eastAsia="宋体"/>
              </w:rPr>
              <w:t>33,345.60</w:t>
            </w:r>
          </w:p>
        </w:tc>
      </w:tr>
      <w:tr>
        <w:tc>
          <w:tcPr>
            <w:tcW w:type="dxa" w:w="1505"/>
          </w:tcPr>
          <w:p>
            <w:r>
              <w:rPr>
                <w:rFonts w:ascii="宋体" w:hAnsi="宋体" w:eastAsia="宋体"/>
              </w:rPr>
              <w:t>深圳市一方华丽投资顾问企业（有限合伙）</w:t>
            </w:r>
          </w:p>
        </w:tc>
        <w:tc>
          <w:tcPr>
            <w:tcW w:type="dxa" w:w="711"/>
          </w:tcPr>
          <w:p>
            <w:r>
              <w:rPr>
                <w:rFonts w:ascii="宋体" w:hAnsi="宋体" w:eastAsia="宋体"/>
              </w:rPr>
              <w:t>深圳市</w:t>
            </w:r>
          </w:p>
        </w:tc>
        <w:tc>
          <w:tcPr>
            <w:tcW w:type="dxa" w:w="1169"/>
          </w:tcPr>
          <w:p>
            <w:r>
              <w:rPr>
                <w:rFonts w:ascii="宋体" w:hAnsi="宋体" w:eastAsia="宋体"/>
              </w:rPr>
              <w:t>租赁和商务服务业</w:t>
            </w:r>
          </w:p>
        </w:tc>
        <w:tc>
          <w:tcPr>
            <w:tcW w:type="dxa" w:w="876"/>
          </w:tcPr>
          <w:p>
            <w:r>
              <w:rPr>
                <w:rFonts w:ascii="宋体" w:hAnsi="宋体" w:eastAsia="宋体"/>
              </w:rPr>
              <w:t>0.00</w:t>
            </w:r>
          </w:p>
        </w:tc>
        <w:tc>
          <w:tcPr>
            <w:tcW w:type="dxa" w:w="946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087"/>
          </w:tcPr>
          <w:p>
            <w:r>
              <w:rPr>
                <w:rFonts w:ascii="宋体" w:hAnsi="宋体" w:eastAsia="宋体"/>
              </w:rPr>
              <w:t>0.00</w:t>
            </w:r>
          </w:p>
        </w:tc>
        <w:tc>
          <w:tcPr>
            <w:tcW w:type="dxa" w:w="1120"/>
          </w:tcPr>
          <w:p>
            <w:r>
              <w:rPr>
                <w:rFonts w:ascii="宋体" w:hAnsi="宋体" w:eastAsia="宋体"/>
              </w:rPr>
              <w:t>权益法</w:t>
            </w:r>
          </w:p>
        </w:tc>
        <w:tc>
          <w:tcPr>
            <w:tcW w:type="dxa" w:w="1103"/>
          </w:tcPr>
          <w:p>
            <w:r>
              <w:rPr>
                <w:rFonts w:ascii="宋体" w:hAnsi="宋体" w:eastAsia="宋体"/>
              </w:rPr>
              <w:t>500.00</w:t>
            </w:r>
          </w:p>
        </w:tc>
      </w:tr>
      <w:tr>
        <w:tc>
          <w:tcPr>
            <w:tcW w:type="dxa" w:w="1505"/>
          </w:tcPr>
          <w:p>
            <w:r>
              <w:rPr>
                <w:rFonts w:ascii="宋体" w:hAnsi="宋体" w:eastAsia="宋体"/>
              </w:rPr>
              <w:t>信通达汇（海南）供应链科技有限公司</w:t>
            </w:r>
          </w:p>
        </w:tc>
        <w:tc>
          <w:tcPr>
            <w:tcW w:type="dxa" w:w="711"/>
          </w:tcPr>
          <w:p>
            <w:r>
              <w:rPr>
                <w:rFonts w:ascii="宋体" w:hAnsi="宋体" w:eastAsia="宋体"/>
              </w:rPr>
              <w:t>省直辖县级行政区划</w:t>
            </w:r>
          </w:p>
        </w:tc>
        <w:tc>
          <w:tcPr>
            <w:tcW w:type="dxa" w:w="1169"/>
          </w:tcPr>
          <w:p>
            <w:r>
              <w:rPr>
                <w:rFonts w:ascii="宋体" w:hAnsi="宋体" w:eastAsia="宋体"/>
              </w:rPr>
              <w:t>信息传输、软件和信息技术服务业</w:t>
            </w:r>
          </w:p>
        </w:tc>
        <w:tc>
          <w:tcPr>
            <w:tcW w:type="dxa" w:w="876"/>
          </w:tcPr>
          <w:p>
            <w:r>
              <w:rPr>
                <w:rFonts w:ascii="宋体" w:hAnsi="宋体" w:eastAsia="宋体"/>
              </w:rPr>
              <w:t>30.00</w:t>
            </w:r>
          </w:p>
        </w:tc>
        <w:tc>
          <w:tcPr>
            <w:tcW w:type="dxa" w:w="946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087"/>
          </w:tcPr>
          <w:p>
            <w:r>
              <w:rPr>
                <w:rFonts w:ascii="宋体" w:hAnsi="宋体" w:eastAsia="宋体"/>
              </w:rPr>
              <w:t>30.00</w:t>
            </w:r>
          </w:p>
        </w:tc>
        <w:tc>
          <w:tcPr>
            <w:tcW w:type="dxa" w:w="1120"/>
          </w:tcPr>
          <w:p>
            <w:r>
              <w:rPr>
                <w:rFonts w:ascii="宋体" w:hAnsi="宋体" w:eastAsia="宋体"/>
              </w:rPr>
              <w:t>权益法</w:t>
            </w:r>
          </w:p>
        </w:tc>
        <w:tc>
          <w:tcPr>
            <w:tcW w:type="dxa" w:w="1103"/>
          </w:tcPr>
          <w:p>
            <w:r>
              <w:rPr>
                <w:rFonts w:ascii="宋体" w:hAnsi="宋体" w:eastAsia="宋体"/>
              </w:rPr>
              <w:t>5,000.00</w:t>
            </w:r>
          </w:p>
        </w:tc>
      </w:tr>
      <w:tr>
        <w:tc>
          <w:tcPr>
            <w:tcW w:type="dxa" w:w="1505"/>
          </w:tcPr>
          <w:p>
            <w:r>
              <w:rPr>
                <w:rFonts w:ascii="宋体" w:hAnsi="宋体" w:eastAsia="宋体"/>
              </w:rPr>
              <w:t>山高商业保理（天津）有限公司</w:t>
            </w:r>
          </w:p>
        </w:tc>
        <w:tc>
          <w:tcPr>
            <w:tcW w:type="dxa" w:w="711"/>
          </w:tcPr>
          <w:p>
            <w:r>
              <w:rPr>
                <w:rFonts w:ascii="宋体" w:hAnsi="宋体" w:eastAsia="宋体"/>
              </w:rPr>
              <w:t>天津市</w:t>
            </w:r>
          </w:p>
        </w:tc>
        <w:tc>
          <w:tcPr>
            <w:tcW w:type="dxa" w:w="1169"/>
          </w:tcPr>
          <w:p>
            <w:r>
              <w:rPr>
                <w:rFonts w:ascii="宋体" w:hAnsi="宋体" w:eastAsia="宋体"/>
              </w:rPr>
              <w:t>金融业</w:t>
            </w:r>
          </w:p>
        </w:tc>
        <w:tc>
          <w:tcPr>
            <w:tcW w:type="dxa" w:w="876"/>
          </w:tcPr>
          <w:p>
            <w:r>
              <w:rPr>
                <w:rFonts w:ascii="宋体" w:hAnsi="宋体" w:eastAsia="宋体"/>
              </w:rPr>
              <w:t>15.00</w:t>
            </w:r>
          </w:p>
        </w:tc>
        <w:tc>
          <w:tcPr>
            <w:tcW w:type="dxa" w:w="946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087"/>
          </w:tcPr>
          <w:p>
            <w:r>
              <w:rPr>
                <w:rFonts w:ascii="宋体" w:hAnsi="宋体" w:eastAsia="宋体"/>
              </w:rPr>
              <w:t>15.00</w:t>
            </w:r>
          </w:p>
        </w:tc>
        <w:tc>
          <w:tcPr>
            <w:tcW w:type="dxa" w:w="1120"/>
          </w:tcPr>
          <w:p>
            <w:r>
              <w:rPr>
                <w:rFonts w:ascii="宋体" w:hAnsi="宋体" w:eastAsia="宋体"/>
              </w:rPr>
              <w:t>权益法</w:t>
            </w:r>
          </w:p>
        </w:tc>
        <w:tc>
          <w:tcPr>
            <w:tcW w:type="dxa" w:w="1103"/>
          </w:tcPr>
          <w:p>
            <w:r>
              <w:rPr>
                <w:rFonts w:ascii="宋体" w:hAnsi="宋体" w:eastAsia="宋体"/>
              </w:rPr>
              <w:t>10,000.00</w:t>
            </w:r>
          </w:p>
        </w:tc>
      </w:tr>
    </w:tbl>
    <w:p/>
    <w:p>
      <w:pPr>
        <w:snapToGrid w:val="0"/>
        <w:spacing w:line="440" w:lineRule="exact"/>
        <w:ind w:firstLine="420" w:firstLineChars="200"/>
        <w:outlineLvl w:val="1"/>
        <w:rPr>
          <w:rFonts w:hint="eastAsia" w:ascii="Times New Roman" w:hAnsi="Times New Roman" w:eastAsia="宋体" w:cs="Times New Roman"/>
          <w:bCs/>
          <w:color w:val="0000FF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4、其他关联方情况</w:t>
      </w:r>
      <w:r>
        <w:rPr>
          <w:rFonts w:hint="eastAsia" w:ascii="Times New Roman" w:hAnsi="Times New Roman" w:eastAsia="宋体" w:cs="Times New Roman"/>
          <w:bCs/>
          <w:color w:val="0000FF"/>
          <w:szCs w:val="21"/>
          <w:lang w:val="en-US" w:eastAsia="zh-CN"/>
        </w:rPr>
        <w:t>（列一个亲密人的名单，老师用接口找）</w:t>
      </w:r>
    </w:p>
    <w:tbl>
      <w:tblPr>
        <w:tblStyle w:val="3"/>
        <w:tblW w:w="4997" w:type="pct"/>
        <w:tblInd w:w="0" w:type="dxa"/>
        <w:tblBorders>
          <w:top w:val="double" w:color="auto" w:sz="6" w:space="0"/>
          <w:left w:val="none" w:color="auto" w:sz="0" w:space="0"/>
          <w:bottom w:val="double" w:color="auto" w:sz="6" w:space="0"/>
          <w:right w:val="none" w:color="auto" w:sz="0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5"/>
        <w:gridCol w:w="4242"/>
      </w:tblGrid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tblHeader/>
        </w:trPr>
        <w:tc>
          <w:tcPr>
            <w:tcW w:w="2509" w:type="pct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highlight w:val="none"/>
              </w:rPr>
              <w:t>关联方名称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highlight w:val="none"/>
              </w:rPr>
              <w:t>与本公司关系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深圳市恒荣投资发展有限公司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深圳市煌壹商业管理有限公司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深圳市煌壹投资有限公司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东莞煌壹置地有限公司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烨疆置地（深圳）有限公司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东莞力冠置地有限公司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烨疆置地（东莞）有限公司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东莞悦嵘置业有限公司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东莞屹嵘置业有限公司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深圳中兴实业股份有限公司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深圳市霖梓投资发展有限公司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前海一方（大连）石油化工有限公司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深圳市前海一方供应链管理有限公司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唐山市唐城物业服务有限公司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深圳市华丽商贸物流有限公司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深圳市前海小东投资有限公司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深圳市恒荣物业服务有限公司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深圳市丰阳供应链有限公司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深圳市一方华丽投资顾问企业（有限合伙）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深圳市方扬咨询合伙企业（有限合伙）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深圳中兴实业股份有限公司中兴工业城停车场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深圳龙岗三立电气制造公司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深圳市丽扬咨询合伙企业（有限合伙）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深圳市同生咨询合伙企业（有限合伙）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深圳市元泉一方咨询合伙企业（有限合伙）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满君文化传媒（北京）有限公司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深圳市宏达诚供应链管理有限公司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深圳市裕禾明境实业管理有限公司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深圳市华晞投资发展有限公司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深圳市华飞供应链有限公司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华飞商业保理（深圳）有限公司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深圳市里奥信息科技有限公司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深圳市华晞信息科技有限公司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深圳前海蔚来科技有限公司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深圳前海蔚来投资合伙企业（有限合伙）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深圳前海蔚来数字科技有限公司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深圳市盈枫科技有限公司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深圳市蕙智科技有限公司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深圳市贝奕贸易有限公司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深圳粉钻投资咨询合伙企业（有限合伙）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珠海市中广房产开发有限公司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深圳市荣鹏实业有限公司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唐山市恒荣房地产开发有限公司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深圳市弘一建材贸易有限公司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珠海市恒荣实业有限责任公司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深圳市恒荣实业投资控股有限责任公司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东莞市恒荣置地有限公司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恒荣投资（新丰）有限公司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深圳市恒荣科技信息咨询服务有限公司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深圳市恒荣电子咨询服务有限公司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深圳市恒荣财务信息咨询有限公司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恒荣矿业（新丰）有限公司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珠海恒荣东溪实业有限公司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陕西仲山凤栖农业发展有限公司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深圳市金盛微达电子科技有限公司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深圳市元专电子科技有限公司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东莞市合信股权投资合伙企业（有限合伙）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东莞蓝光置业有限公司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东莞市熠坤城市更新有限公司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东莞宏泰城市建设有限公司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深圳施德医疗产业发展有限公司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914403000733558730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深圳市元亨矿业有限公司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广西国资源环保科技股份有限公司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深圳市国亨能源科技股份公司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广西国资源实业有限责任公司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广西元亨资源有限公司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广西璠龙农业科技发展有限公司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河池国亨财务管理合伙企业（普通合伙）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海南善行医疗科技有限公司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深圳市元亨食学文化有限公司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深圳市国亨企业管理合伙企业（有限合伙）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山东省国亨能源科技有限公司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深圳市钛瓦能源科技有限公司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深圳市前海一方实业咨询有限公司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深圳市前海一方恒融商业保理有限公司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深圳市一方融合咨询管理有限公司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深圳市前海一方科技研发集团有限公司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北京一方商业保理有限公司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深圳市佑荣信息科技有限公司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深圳市一方保成科技有限公司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深圳市赢盛畅发商贸有限公司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深圳市创灵贸易有限公司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深圳市碧源咨询有限责任公司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深圳市快联供应链管理有限公司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成都思致科技有限公司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深圳市赢盛数字科技有限公司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深圳市琳珠凯粤投资有限公司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深圳市添浩供应链管理有限公司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成都恒融供应链管理有限公司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深圳市稳诚一方数字科技服务有限公司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北海稳诚一方科技服务有限公司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豆方数科（深圳）有限责任公司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深圳市方荣企业管理有限公司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江苏华美一方供应链数字科技有限公司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深圳市元旸科技有限公司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泉州市元旸科技有限公司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深圳市翰宸控股有限公司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深圳市景尚总部企业管理有限公司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深圳市银链一方数字科技有限公司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鼎润数字科技（深圳）有限公司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三合数科（深圳）科技有限公司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深圳市驰安数科信息有限公司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深圳市舰程贸易有限公司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沂水长安物业服务有限公司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山东花涧溪谷旅游发展有限公司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沂水竹园春风旅游发展有限公司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北京满君投资有限公司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北京华世恒运能源科技有限公司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天津市海克力特混凝土有限公司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深圳市百聪投资发展有限公司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上海衡加贸易有限公司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深圳市五顺方商业咨询有限公司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深圳市五顺方商业保理有限公司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遵义市恒信股权投资管理中心（有限合伙）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平潭旭兴股权投资有限公司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青海聚华商务管理有限公司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青海邦华投资中心（有限合伙）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青海锐欧企业管理中心（有限合伙）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青海云华投资中心（有限合伙）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青海荧华投资中心（有限合伙）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青海佳熙企业管理有限公司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青海重华企业管理中心（有限合伙）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天津生态城椿淙置业有限公司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深圳市晟闰信息技术有限公司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深圳市承策信息技术咨询有限责任公司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北京柳荫高尔夫俱乐部有限公司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深圳前海微众现代科技有限公司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深圳佳格运动用品有限公司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东莞金置股权投资有限公司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东莞市鼎盛物业管理有限公司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深圳市九万礼文化科技有限公司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东莞飞盈股权投资有限公司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东莞鑫荣城市建设有限公司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深圳市零零三贸易有限公司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十堰博维汽车贸易有限公司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洪湖众贵水产品贸易有限公司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南充德胜堂医药有限公司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深圳中顺易金融服务有限公司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深圳中谊投资有限公司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深圳市菩提树教育有限公司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广州明星睿达投资合伙企业（有限合伙）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深圳市思学电子商务有限公司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成都鑫诚天恒弱电系统工程有限公司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成都希语彩炫电子商务有限公司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成都贾琦福志科技有限公司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成都健德旗格商贸有限公司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广州锋向投资有限公司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成都珂蝶鑫耿电子商务有限公司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成都恒官姚锐电子商务有限公司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成都峰全霖尚电子商务有限公司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成都坤杨本盛科技有限公司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成都纹沿端松科技有限公司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南通铭帅广告传媒有限公司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四川谦川品牌管理有限公司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四川新英泽建设工程有限公司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深圳市南乔北木科技有限公司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华启新能源有限公司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成都峥栾策建筑工程有限公司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长信致远（深圳）科技咨询有限公司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光大金控创业投资有限公司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宁波金钻投资管理合伙企业（有限合伙）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苏州苏高新中顺易创新投资合伙企业（有限合伙）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上海顺炜企业管理有限公司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维融科技（江苏）有限公司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深圳市朗深袤企业管理有限责任公司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  <w:tr>
        <w:tc>
          <w:tcPr>
            <w:tcW w:type="dxa" w:w="4275"/>
          </w:tcPr>
          <w:p>
            <w:r>
              <w:rPr>
                <w:rFonts w:ascii="宋体" w:hAnsi="宋体" w:eastAsia="宋体"/>
              </w:rPr>
              <w:t>深圳市进泽科技合伙企业（有限合伙）</w:t>
            </w:r>
          </w:p>
        </w:tc>
        <w:tc>
          <w:tcPr>
            <w:tcW w:type="dxa" w:w="4242"/>
          </w:tcPr>
          <w:p>
            <w:r>
              <w:rPr>
                <w:rFonts w:ascii="宋体" w:hAnsi="宋体" w:eastAsia="宋体"/>
              </w:rPr>
              <w:t>实际控制人关系亲密的家庭成员控制的公司</w:t>
            </w:r>
          </w:p>
        </w:tc>
      </w:tr>
    </w:tbl>
    <w:p>
      <w:bookmarkStart w:id="5" w:name="_GoBack"/>
      <w:bookmarkEnd w:id="5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C102A9"/>
    <w:multiLevelType w:val="singleLevel"/>
    <w:tmpl w:val="30C102A9"/>
    <w:lvl w:ilvl="0" w:tentative="0">
      <w:start w:val="2"/>
      <w:numFmt w:val="chineseCounting"/>
      <w:suff w:val="nothing"/>
      <w:lvlText w:val="%1、"/>
      <w:lvlJc w:val="left"/>
      <w:pPr>
        <w:ind w:left="-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792408"/>
    <w:rsid w:val="2CD25058"/>
    <w:rsid w:val="3A385AAB"/>
    <w:rsid w:val="42BE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uiPriority w:val="0"/>
    <w:pPr>
      <w:ind w:left="480"/>
    </w:pPr>
    <w:rPr>
      <w:rFonts w:ascii="仿宋_GB2312"/>
      <w:sz w:val="24"/>
    </w:rPr>
  </w:style>
  <w:style w:type="paragraph" w:customStyle="1" w:styleId="5">
    <w:name w:val="样式1"/>
    <w:basedOn w:val="1"/>
    <w:qFormat/>
    <w:uiPriority w:val="0"/>
    <w:pPr>
      <w:widowControl/>
      <w:spacing w:line="440" w:lineRule="exact"/>
      <w:ind w:left="420" w:leftChars="200"/>
      <w:jc w:val="left"/>
    </w:pPr>
    <w:rPr>
      <w:rFonts w:ascii="Times New Roman" w:hAnsi="Times New Roman" w:eastAsia="宋体" w:cs="Times New Roman"/>
      <w:b/>
      <w:snapToGrid w:val="0"/>
      <w:kern w:val="0"/>
      <w:lang w:val="en-GB" w:eastAsia="en-US"/>
    </w:rPr>
  </w:style>
  <w:style w:type="paragraph" w:customStyle="1" w:styleId="6">
    <w:name w:val="附注－正文"/>
    <w:basedOn w:val="2"/>
    <w:qFormat/>
    <w:uiPriority w:val="99"/>
    <w:pPr>
      <w:adjustRightInd w:val="0"/>
      <w:snapToGrid w:val="0"/>
      <w:spacing w:after="50" w:afterLines="50" w:line="360" w:lineRule="auto"/>
      <w:ind w:left="0" w:leftChars="0" w:firstLine="200" w:firstLineChars="200"/>
    </w:pPr>
    <w:rPr>
      <w:szCs w:val="21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2024-03-26T01:31:00Z</dcterms:created>
  <dc:creator>THINK</dc:creator>
  <cp:lastModifiedBy>子全</cp:lastModifiedBy>
  <dcterms:modified xsi:type="dcterms:W3CDTF">2026-03-14T14:21:05Z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2052-11.8.2.8808</vt:lpwstr>
  </property>
</Properties>
</file>