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b/>
          <w:sz w:val="32"/>
        </w:rPr>
        <w:t>庭前审核报告</w:t>
      </w:r>
    </w:p>
    <w:p>
      <w:r>
        <w:rPr>
          <w:rFonts w:ascii="宋体" w:hAnsi="宋体" w:eastAsia="宋体"/>
          <w:b/>
          <w:sz w:val="24"/>
        </w:rPr>
        <w:t>案件</w:t>
      </w:r>
      <w:r>
        <w:rPr>
          <w:rFonts w:ascii="宋体" w:hAnsi="宋体" w:eastAsia="宋体"/>
          <w:b w:val="0"/>
          <w:sz w:val="24"/>
        </w:rPr>
        <w:t>：贵州省厚德公益基金会诉道真百益社工中心/李丽/李佳豪合同纠纷上诉案</w:t>
      </w:r>
    </w:p>
    <w:p>
      <w:r>
        <w:rPr>
          <w:rFonts w:ascii="宋体" w:hAnsi="宋体" w:eastAsia="宋体"/>
          <w:b/>
          <w:sz w:val="24"/>
        </w:rPr>
        <w:t>报告版本</w:t>
      </w:r>
      <w:r>
        <w:rPr>
          <w:rFonts w:ascii="宋体" w:hAnsi="宋体" w:eastAsia="宋体"/>
          <w:b w:val="0"/>
          <w:sz w:val="24"/>
        </w:rPr>
        <w:t xml:space="preserve">：v1.0 ｜ </w:t>
      </w:r>
      <w:r>
        <w:rPr>
          <w:rFonts w:ascii="宋体" w:hAnsi="宋体" w:eastAsia="宋体"/>
          <w:b/>
          <w:sz w:val="24"/>
        </w:rPr>
        <w:t>审核律师</w:t>
      </w:r>
      <w:r>
        <w:rPr>
          <w:rFonts w:ascii="宋体" w:hAnsi="宋体" w:eastAsia="宋体"/>
          <w:b w:val="0"/>
          <w:sz w:val="24"/>
        </w:rPr>
        <w:t xml:space="preserve">：蓝队出庭律师 ｜ </w:t>
      </w:r>
      <w:r>
        <w:rPr>
          <w:rFonts w:ascii="宋体" w:hAnsi="宋体" w:eastAsia="宋体"/>
          <w:b/>
          <w:sz w:val="24"/>
        </w:rPr>
        <w:t>日期</w:t>
      </w:r>
      <w:r>
        <w:rPr>
          <w:rFonts w:ascii="宋体" w:hAnsi="宋体" w:eastAsia="宋体"/>
          <w:b w:val="0"/>
          <w:sz w:val="24"/>
        </w:rPr>
        <w:t>：2026年05月16日</w:t>
      </w:r>
    </w:p>
    <w:p>
      <w:pPr>
        <w:pStyle w:val="Heading2"/>
        <w:jc w:val="left"/>
      </w:pPr>
      <w:r>
        <w:rPr>
          <w:rFonts w:ascii="黑体" w:hAnsi="黑体" w:eastAsia="黑体"/>
          <w:b/>
          <w:sz w:val="28"/>
        </w:rPr>
        <w:t>审核结论</w:t>
      </w:r>
    </w:p>
    <w:p>
      <w:pPr>
        <w:pStyle w:val="ListBullet"/>
      </w:pPr>
      <w:r>
        <w:rPr>
          <w:rFonts w:ascii="宋体" w:hAnsi="宋体" w:eastAsia="宋体"/>
          <w:b w:val="0"/>
          <w:sz w:val="24"/>
        </w:rPr>
        <w:t xml:space="preserve">[x] </w:t>
      </w:r>
      <w:r>
        <w:rPr>
          <w:rFonts w:ascii="宋体" w:hAnsi="宋体" w:eastAsia="宋体"/>
          <w:b/>
          <w:sz w:val="24"/>
        </w:rPr>
        <w:t>有条件开庭</w:t>
      </w:r>
      <w:r>
        <w:rPr>
          <w:rFonts w:ascii="宋体" w:hAnsi="宋体" w:eastAsia="宋体"/>
          <w:b w:val="0"/>
          <w:sz w:val="24"/>
        </w:rPr>
        <w:t>（须补全以下项）</w:t>
      </w:r>
    </w:p>
    <w:p>
      <w:pPr>
        <w:pStyle w:val="ListBullet"/>
      </w:pPr>
      <w:r>
        <w:rPr>
          <w:rFonts w:ascii="宋体" w:hAnsi="宋体" w:eastAsia="宋体"/>
          <w:b w:val="0"/>
          <w:sz w:val="24"/>
        </w:rPr>
        <w:t xml:space="preserve">[ ] </w:t>
      </w:r>
      <w:r>
        <w:rPr>
          <w:rFonts w:ascii="宋体" w:hAnsi="宋体" w:eastAsia="宋体"/>
          <w:b/>
          <w:sz w:val="24"/>
        </w:rPr>
        <w:t>可开庭</w:t>
      </w:r>
      <w:r>
        <w:rPr>
          <w:rFonts w:ascii="宋体" w:hAnsi="宋体" w:eastAsia="宋体"/>
          <w:b w:val="0"/>
          <w:sz w:val="24"/>
        </w:rPr>
        <w:t>（仅需微调）</w:t>
      </w:r>
    </w:p>
    <w:p>
      <w:pPr>
        <w:pStyle w:val="ListBullet"/>
      </w:pPr>
      <w:r>
        <w:rPr>
          <w:rFonts w:ascii="宋体" w:hAnsi="宋体" w:eastAsia="宋体"/>
          <w:b w:val="0"/>
          <w:sz w:val="24"/>
        </w:rPr>
        <w:t xml:space="preserve">[ ] </w:t>
      </w:r>
      <w:r>
        <w:rPr>
          <w:rFonts w:ascii="宋体" w:hAnsi="宋体" w:eastAsia="宋体"/>
          <w:b/>
          <w:sz w:val="24"/>
        </w:rPr>
        <w:t>不建议当前版本开庭</w:t>
      </w:r>
    </w:p>
    <w:p>
      <w:r>
        <w:rPr>
          <w:rFonts w:ascii="宋体" w:hAnsi="宋体" w:eastAsia="宋体"/>
          <w:b w:val="0"/>
          <w:sz w:val="24"/>
        </w:rPr>
        <w:t>庭审准备报告整体框架完整，法律论证逻辑清晰，但存在以下须补全的关键事项：</w:t>
      </w:r>
    </w:p>
    <w:p>
      <w:pPr>
        <w:pStyle w:val="ListNumber"/>
      </w:pPr>
      <w:r>
        <w:rPr>
          <w:rFonts w:ascii="宋体" w:hAnsi="宋体" w:eastAsia="宋体"/>
          <w:b w:val="0"/>
          <w:sz w:val="24"/>
        </w:rPr>
        <w:t>第四组证据（无犯罪嫌疑证明）尚未补充，属于高风险缺失项</w:t>
      </w:r>
    </w:p>
    <w:p>
      <w:pPr>
        <w:pStyle w:val="ListNumber"/>
      </w:pPr>
      <w:r>
        <w:rPr>
          <w:rFonts w:ascii="宋体" w:hAnsi="宋体" w:eastAsia="宋体"/>
          <w:b w:val="0"/>
          <w:sz w:val="24"/>
        </w:rPr>
        <w:t>法律检索报告中标注"网络检索，待核实"的案例，需通过专业数据库二次核对</w:t>
      </w:r>
    </w:p>
    <w:p>
      <w:pPr>
        <w:pStyle w:val="ListNumber"/>
      </w:pPr>
      <w:r>
        <w:rPr>
          <w:rFonts w:ascii="宋体" w:hAnsi="宋体" w:eastAsia="宋体"/>
          <w:b w:val="0"/>
          <w:sz w:val="24"/>
        </w:rPr>
        <w:t>一审庭审笔录尚未实际调取，需立即向二审法院申请调取一审卷宗</w:t>
      </w:r>
    </w:p>
    <w:p>
      <w:pPr>
        <w:pStyle w:val="ListNumber"/>
      </w:pPr>
      <w:r>
        <w:rPr>
          <w:rFonts w:ascii="宋体" w:hAnsi="宋体" w:eastAsia="宋体"/>
          <w:b w:val="0"/>
          <w:sz w:val="24"/>
        </w:rPr>
        <w:t>事实部分缺具体签约日期、付款日期，需在卷宗调取后补充</w:t>
      </w:r>
    </w:p>
    <w:p>
      <w:pPr>
        <w:pStyle w:val="Heading2"/>
        <w:jc w:val="left"/>
      </w:pPr>
      <w:r>
        <w:rPr>
          <w:rFonts w:ascii="黑体" w:hAnsi="黑体" w:eastAsia="黑体"/>
          <w:b/>
          <w:sz w:val="28"/>
        </w:rPr>
        <w:t>逐节审核意见</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章节</w:t>
            </w:r>
          </w:p>
        </w:tc>
        <w:tc>
          <w:tcPr>
            <w:tcW w:type="dxa" w:w="2161"/>
          </w:tcPr>
          <w:p>
            <w:pPr>
              <w:jc w:val="center"/>
            </w:pPr>
            <w:r>
              <w:rPr>
                <w:rFonts w:ascii="黑体" w:hAnsi="黑体" w:eastAsia="黑体"/>
                <w:b/>
                <w:sz w:val="20"/>
              </w:rPr>
              <w:t>状态</w:t>
            </w:r>
          </w:p>
        </w:tc>
        <w:tc>
          <w:tcPr>
            <w:tcW w:type="dxa" w:w="2161"/>
          </w:tcPr>
          <w:p>
            <w:pPr>
              <w:jc w:val="center"/>
            </w:pPr>
            <w:r>
              <w:rPr>
                <w:rFonts w:ascii="黑体" w:hAnsi="黑体" w:eastAsia="黑体"/>
                <w:b/>
                <w:sz w:val="20"/>
              </w:rPr>
              <w:t>审核意见 / 须改项</w:t>
            </w:r>
          </w:p>
        </w:tc>
        <w:tc>
          <w:tcPr>
            <w:tcW w:type="dxa" w:w="2161"/>
          </w:tcPr>
          <w:p>
            <w:pPr>
              <w:jc w:val="center"/>
            </w:pPr>
            <w:r>
              <w:rPr>
                <w:rFonts w:ascii="黑体" w:hAnsi="黑体" w:eastAsia="黑体"/>
                <w:b/>
                <w:sz w:val="20"/>
              </w:rPr>
              <w:t>优先级</w:t>
            </w:r>
          </w:p>
        </w:tc>
      </w:tr>
      <w:tr>
        <w:tc>
          <w:tcPr>
            <w:tcW w:type="dxa" w:w="2161"/>
          </w:tcPr>
          <w:p>
            <w:r>
              <w:rPr>
                <w:rFonts w:ascii="宋体" w:hAnsi="宋体" w:eastAsia="宋体"/>
                <w:b/>
                <w:sz w:val="20"/>
              </w:rPr>
              <w:t>主体信息</w:t>
            </w:r>
          </w:p>
        </w:tc>
        <w:tc>
          <w:tcPr>
            <w:tcW w:type="dxa" w:w="2161"/>
          </w:tcPr>
          <w:p>
            <w:r>
              <w:rPr>
                <w:rFonts w:ascii="宋体" w:hAnsi="宋体" w:eastAsia="宋体"/>
                <w:b w:val="0"/>
                <w:sz w:val="20"/>
              </w:rPr>
              <w:t>⚠️待核</w:t>
            </w:r>
          </w:p>
        </w:tc>
        <w:tc>
          <w:tcPr>
            <w:tcW w:type="dxa" w:w="2161"/>
          </w:tcPr>
          <w:p>
            <w:r>
              <w:rPr>
                <w:rFonts w:ascii="宋体" w:hAnsi="宋体" w:eastAsia="宋体"/>
                <w:b w:val="0"/>
                <w:sz w:val="20"/>
              </w:rPr>
              <w:t>需通过国家企业信用信息公示系统核实百益服务中心法人资格及年检状态是否有效；李丽、李佳豪身份信息需与一审卷宗核对</w:t>
            </w:r>
          </w:p>
        </w:tc>
        <w:tc>
          <w:tcPr>
            <w:tcW w:type="dxa" w:w="2161"/>
          </w:tcPr>
          <w:p>
            <w:r>
              <w:rPr>
                <w:rFonts w:ascii="宋体" w:hAnsi="宋体" w:eastAsia="宋体"/>
                <w:b w:val="0"/>
                <w:sz w:val="20"/>
              </w:rPr>
              <w:t>高</w:t>
            </w:r>
          </w:p>
        </w:tc>
      </w:tr>
      <w:tr>
        <w:tc>
          <w:tcPr>
            <w:tcW w:type="dxa" w:w="2161"/>
          </w:tcPr>
          <w:p>
            <w:r>
              <w:rPr>
                <w:rFonts w:ascii="宋体" w:hAnsi="宋体" w:eastAsia="宋体"/>
                <w:b/>
                <w:sz w:val="20"/>
              </w:rPr>
              <w:t>事实时间线</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缺具体签约日期、《项目合作协议书》签订日期、《捐赠协议书》签订日期、善款支付日期；需调取一审卷宗后补充完整</w:t>
            </w:r>
          </w:p>
        </w:tc>
        <w:tc>
          <w:tcPr>
            <w:tcW w:type="dxa" w:w="2161"/>
          </w:tcPr>
          <w:p>
            <w:r>
              <w:rPr>
                <w:rFonts w:ascii="宋体" w:hAnsi="宋体" w:eastAsia="宋体"/>
                <w:b w:val="0"/>
                <w:sz w:val="20"/>
              </w:rPr>
              <w:t>高</w:t>
            </w:r>
          </w:p>
        </w:tc>
      </w:tr>
      <w:tr>
        <w:tc>
          <w:tcPr>
            <w:tcW w:type="dxa" w:w="2161"/>
          </w:tcPr>
          <w:p>
            <w:r>
              <w:rPr>
                <w:rFonts w:ascii="宋体" w:hAnsi="宋体" w:eastAsia="宋体"/>
                <w:b/>
                <w:sz w:val="20"/>
              </w:rPr>
              <w:t>证据清单</w:t>
            </w:r>
          </w:p>
        </w:tc>
        <w:tc>
          <w:tcPr>
            <w:tcW w:type="dxa" w:w="2161"/>
          </w:tcPr>
          <w:p>
            <w:r>
              <w:rPr>
                <w:rFonts w:ascii="宋体" w:hAnsi="宋体" w:eastAsia="宋体"/>
                <w:b w:val="0"/>
                <w:sz w:val="20"/>
              </w:rPr>
              <w:t>⚠️待补</w:t>
            </w:r>
          </w:p>
        </w:tc>
        <w:tc>
          <w:tcPr>
            <w:tcW w:type="dxa" w:w="2161"/>
          </w:tcPr>
          <w:p>
            <w:r>
              <w:rPr>
                <w:rFonts w:ascii="宋体" w:hAnsi="宋体" w:eastAsia="宋体"/>
                <w:b/>
                <w:sz w:val="20"/>
              </w:rPr>
              <w:t>高风险缺失</w:t>
            </w:r>
            <w:r>
              <w:rPr>
                <w:rFonts w:ascii="宋体" w:hAnsi="宋体" w:eastAsia="宋体"/>
                <w:b w:val="0"/>
                <w:sz w:val="20"/>
              </w:rPr>
              <w:t>：第四组证据（百益服务中心、李丽、李佳豪未被刑事立案侦查证明）尚未补充；需申请法院向公安机关发函查询；另需调取一审证据册复印件</w:t>
            </w:r>
          </w:p>
        </w:tc>
        <w:tc>
          <w:tcPr>
            <w:tcW w:type="dxa" w:w="2161"/>
          </w:tcPr>
          <w:p>
            <w:r>
              <w:rPr>
                <w:rFonts w:ascii="宋体" w:hAnsi="宋体" w:eastAsia="宋体"/>
                <w:b w:val="0"/>
                <w:sz w:val="20"/>
              </w:rPr>
              <w:t>高</w:t>
            </w:r>
          </w:p>
        </w:tc>
      </w:tr>
      <w:tr>
        <w:tc>
          <w:tcPr>
            <w:tcW w:type="dxa" w:w="2161"/>
          </w:tcPr>
          <w:p>
            <w:r>
              <w:rPr>
                <w:rFonts w:ascii="宋体" w:hAnsi="宋体" w:eastAsia="宋体"/>
                <w:b/>
                <w:sz w:val="20"/>
              </w:rPr>
              <w:t>质证要点</w:t>
            </w:r>
          </w:p>
        </w:tc>
        <w:tc>
          <w:tcPr>
            <w:tcW w:type="dxa" w:w="2161"/>
          </w:tcPr>
          <w:p>
            <w:r>
              <w:rPr>
                <w:rFonts w:ascii="宋体" w:hAnsi="宋体" w:eastAsia="宋体"/>
                <w:b w:val="0"/>
                <w:sz w:val="20"/>
              </w:rPr>
              <w:t>✅</w:t>
            </w:r>
          </w:p>
        </w:tc>
        <w:tc>
          <w:tcPr>
            <w:tcW w:type="dxa" w:w="2161"/>
          </w:tcPr>
          <w:p>
            <w:r>
              <w:rPr>
                <w:rFonts w:ascii="宋体" w:hAnsi="宋体" w:eastAsia="宋体"/>
                <w:b w:val="0"/>
                <w:sz w:val="20"/>
              </w:rPr>
              <w:t>结构完整，通用反驳要点表述专业；待对方二审提交具体证据后，需针对性补充</w:t>
            </w:r>
          </w:p>
        </w:tc>
        <w:tc>
          <w:tcPr>
            <w:tcW w:type="dxa" w:w="2161"/>
          </w:tcPr>
          <w:p>
            <w:r>
              <w:rPr>
                <w:rFonts w:ascii="宋体" w:hAnsi="宋体" w:eastAsia="宋体"/>
                <w:b w:val="0"/>
                <w:sz w:val="20"/>
              </w:rPr>
              <w:t>中</w:t>
            </w:r>
          </w:p>
        </w:tc>
      </w:tr>
      <w:tr>
        <w:tc>
          <w:tcPr>
            <w:tcW w:type="dxa" w:w="2161"/>
          </w:tcPr>
          <w:p>
            <w:r>
              <w:rPr>
                <w:rFonts w:ascii="宋体" w:hAnsi="宋体" w:eastAsia="宋体"/>
                <w:b/>
                <w:sz w:val="20"/>
              </w:rPr>
              <w:t>辩论要点</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四个焦点的法律论证逻辑清晰；但焦点③（第11条适用）需补充最高人民法院反向判例（即错误适用第11条被二审撤销的案例）以增强说服力</w:t>
            </w:r>
          </w:p>
        </w:tc>
        <w:tc>
          <w:tcPr>
            <w:tcW w:type="dxa" w:w="2161"/>
          </w:tcPr>
          <w:p>
            <w:r>
              <w:rPr>
                <w:rFonts w:ascii="宋体" w:hAnsi="宋体" w:eastAsia="宋体"/>
                <w:b w:val="0"/>
                <w:sz w:val="20"/>
              </w:rPr>
              <w:t>高</w:t>
            </w:r>
          </w:p>
        </w:tc>
      </w:tr>
      <w:tr>
        <w:tc>
          <w:tcPr>
            <w:tcW w:type="dxa" w:w="2161"/>
          </w:tcPr>
          <w:p>
            <w:r>
              <w:rPr>
                <w:rFonts w:ascii="宋体" w:hAnsi="宋体" w:eastAsia="宋体"/>
                <w:b/>
                <w:sz w:val="20"/>
              </w:rPr>
              <w:t>代理词初稿</w:t>
            </w:r>
          </w:p>
        </w:tc>
        <w:tc>
          <w:tcPr>
            <w:tcW w:type="dxa" w:w="2161"/>
          </w:tcPr>
          <w:p>
            <w:r>
              <w:rPr>
                <w:rFonts w:ascii="宋体" w:hAnsi="宋体" w:eastAsia="宋体"/>
                <w:b w:val="0"/>
                <w:sz w:val="20"/>
              </w:rPr>
              <w:t>⚠️待修</w:t>
            </w:r>
          </w:p>
        </w:tc>
        <w:tc>
          <w:tcPr>
            <w:tcW w:type="dxa" w:w="2161"/>
          </w:tcPr>
          <w:p>
            <w:r>
              <w:rPr>
                <w:rFonts w:ascii="宋体" w:hAnsi="宋体" w:eastAsia="宋体"/>
                <w:b w:val="0"/>
                <w:sz w:val="20"/>
              </w:rPr>
              <w:t>6.1节"最高人民法院判例"部分标注为待检索，需补全具体案例要旨；6.2节"资金来源和去向不明"部分需补充具体项目履行证据（食堂运营记录等）</w:t>
            </w:r>
          </w:p>
        </w:tc>
        <w:tc>
          <w:tcPr>
            <w:tcW w:type="dxa" w:w="2161"/>
          </w:tcPr>
          <w:p>
            <w:r>
              <w:rPr>
                <w:rFonts w:ascii="宋体" w:hAnsi="宋体" w:eastAsia="宋体"/>
                <w:b w:val="0"/>
                <w:sz w:val="20"/>
              </w:rPr>
              <w:t>中</w:t>
            </w:r>
          </w:p>
        </w:tc>
      </w:tr>
      <w:tr>
        <w:tc>
          <w:tcPr>
            <w:tcW w:type="dxa" w:w="2161"/>
          </w:tcPr>
          <w:p>
            <w:r>
              <w:rPr>
                <w:rFonts w:ascii="宋体" w:hAnsi="宋体" w:eastAsia="宋体"/>
                <w:b/>
                <w:sz w:val="20"/>
              </w:rPr>
              <w:t>法律检索情况</w:t>
            </w:r>
          </w:p>
        </w:tc>
        <w:tc>
          <w:tcPr>
            <w:tcW w:type="dxa" w:w="2161"/>
          </w:tcPr>
          <w:p>
            <w:r>
              <w:rPr>
                <w:rFonts w:ascii="宋体" w:hAnsi="宋体" w:eastAsia="宋体"/>
                <w:b w:val="0"/>
                <w:sz w:val="20"/>
              </w:rPr>
              <w:t>⚠️待核</w:t>
            </w:r>
          </w:p>
        </w:tc>
        <w:tc>
          <w:tcPr>
            <w:tcW w:type="dxa" w:w="2161"/>
          </w:tcPr>
          <w:p>
            <w:r>
              <w:rPr>
                <w:rFonts w:ascii="宋体" w:hAnsi="宋体" w:eastAsia="宋体"/>
                <w:b w:val="0"/>
                <w:sz w:val="20"/>
              </w:rPr>
              <w:t>标注"⚠️ 需补充检索"的3个条目尚未完成；所有"网络检索，待核实"的案例需通过裁判文书网/北大法宝二次核对</w:t>
            </w:r>
          </w:p>
        </w:tc>
        <w:tc>
          <w:tcPr>
            <w:tcW w:type="dxa" w:w="2161"/>
          </w:tcPr>
          <w:p>
            <w:r>
              <w:rPr>
                <w:rFonts w:ascii="宋体" w:hAnsi="宋体" w:eastAsia="宋体"/>
                <w:b w:val="0"/>
                <w:sz w:val="20"/>
              </w:rPr>
              <w:t>高</w:t>
            </w:r>
          </w:p>
        </w:tc>
      </w:tr>
      <w:tr>
        <w:tc>
          <w:tcPr>
            <w:tcW w:type="dxa" w:w="2161"/>
          </w:tcPr>
          <w:p>
            <w:r>
              <w:rPr>
                <w:rFonts w:ascii="宋体" w:hAnsi="宋体" w:eastAsia="宋体"/>
                <w:b/>
                <w:sz w:val="20"/>
              </w:rPr>
              <w:t>对方背景调查</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对方一审代理人信息、律所信息未知；建议通过中国裁判文书网检索"道真百益社会工作服务中心"关联案件，了解对方诉讼风格</w:t>
            </w:r>
          </w:p>
        </w:tc>
        <w:tc>
          <w:tcPr>
            <w:tcW w:type="dxa" w:w="2161"/>
          </w:tcPr>
          <w:p>
            <w:r>
              <w:rPr>
                <w:rFonts w:ascii="宋体" w:hAnsi="宋体" w:eastAsia="宋体"/>
                <w:b w:val="0"/>
                <w:sz w:val="20"/>
              </w:rPr>
              <w:t>中</w:t>
            </w:r>
          </w:p>
        </w:tc>
      </w:tr>
      <w:tr>
        <w:tc>
          <w:tcPr>
            <w:tcW w:type="dxa" w:w="2161"/>
          </w:tcPr>
          <w:p>
            <w:r>
              <w:rPr>
                <w:rFonts w:ascii="宋体" w:hAnsi="宋体" w:eastAsia="宋体"/>
                <w:b/>
                <w:sz w:val="20"/>
              </w:rPr>
              <w:t>庭审注意事项</w:t>
            </w:r>
          </w:p>
        </w:tc>
        <w:tc>
          <w:tcPr>
            <w:tcW w:type="dxa" w:w="2161"/>
          </w:tcPr>
          <w:p>
            <w:r>
              <w:rPr>
                <w:rFonts w:ascii="宋体" w:hAnsi="宋体" w:eastAsia="宋体"/>
                <w:b w:val="0"/>
                <w:sz w:val="20"/>
              </w:rPr>
              <w:t>✅</w:t>
            </w:r>
          </w:p>
        </w:tc>
        <w:tc>
          <w:tcPr>
            <w:tcW w:type="dxa" w:w="2161"/>
          </w:tcPr>
          <w:p>
            <w:r>
              <w:rPr>
                <w:rFonts w:ascii="宋体" w:hAnsi="宋体" w:eastAsia="宋体"/>
                <w:b w:val="0"/>
                <w:sz w:val="20"/>
              </w:rPr>
              <w:t>风险清单较完整，行动项具体可操作</w:t>
            </w:r>
          </w:p>
        </w:tc>
        <w:tc>
          <w:tcPr>
            <w:tcW w:type="dxa" w:w="2161"/>
          </w:tcPr>
          <w:p>
            <w:r>
              <w:rPr>
                <w:rFonts w:ascii="宋体" w:hAnsi="宋体" w:eastAsia="宋体"/>
                <w:b w:val="0"/>
                <w:sz w:val="20"/>
              </w:rPr>
              <w:t>低</w:t>
            </w:r>
          </w:p>
        </w:tc>
      </w:tr>
      <w:tr>
        <w:tc>
          <w:tcPr>
            <w:tcW w:type="dxa" w:w="2161"/>
          </w:tcPr>
          <w:p>
            <w:r>
              <w:rPr>
                <w:rFonts w:ascii="宋体" w:hAnsi="宋体" w:eastAsia="宋体"/>
                <w:b/>
                <w:sz w:val="20"/>
              </w:rPr>
              <w:t>法律检索报告</w:t>
            </w:r>
          </w:p>
        </w:tc>
        <w:tc>
          <w:tcPr>
            <w:tcW w:type="dxa" w:w="2161"/>
          </w:tcPr>
          <w:p>
            <w:r>
              <w:rPr>
                <w:rFonts w:ascii="宋体" w:hAnsi="宋体" w:eastAsia="宋体"/>
                <w:b w:val="0"/>
                <w:sz w:val="20"/>
              </w:rPr>
              <w:t>⚠️待核</w:t>
            </w:r>
          </w:p>
        </w:tc>
        <w:tc>
          <w:tcPr>
            <w:tcW w:type="dxa" w:w="2161"/>
          </w:tcPr>
          <w:p>
            <w:r>
              <w:rPr>
                <w:rFonts w:ascii="宋体" w:hAnsi="宋体" w:eastAsia="宋体"/>
                <w:b w:val="0"/>
                <w:sz w:val="20"/>
              </w:rPr>
              <w:t>法规摘要部分法条解读深入、逻辑清晰；但案例摘要部分均为"网络检索，待核实"，</w:t>
            </w:r>
            <w:r>
              <w:rPr>
                <w:rFonts w:ascii="宋体" w:hAnsi="宋体" w:eastAsia="宋体"/>
                <w:b/>
                <w:sz w:val="20"/>
              </w:rPr>
              <w:t>必须</w:t>
            </w:r>
            <w:r>
              <w:rPr>
                <w:rFonts w:ascii="宋体" w:hAnsi="宋体" w:eastAsia="宋体"/>
                <w:b w:val="0"/>
                <w:sz w:val="20"/>
              </w:rPr>
              <w:t>通过专业数据库核对后才可在庭审中引用</w:t>
            </w:r>
          </w:p>
        </w:tc>
        <w:tc>
          <w:tcPr>
            <w:tcW w:type="dxa" w:w="2161"/>
          </w:tcPr>
          <w:p>
            <w:r>
              <w:rPr>
                <w:rFonts w:ascii="宋体" w:hAnsi="宋体" w:eastAsia="宋体"/>
                <w:b w:val="0"/>
                <w:sz w:val="20"/>
              </w:rPr>
              <w:t>高</w:t>
            </w:r>
          </w:p>
        </w:tc>
      </w:tr>
    </w:tbl>
    <w:p>
      <w:pPr>
        <w:ind w:left="567" w:firstLine="0"/>
      </w:pPr>
      <w:r>
        <w:rPr>
          <w:rFonts w:ascii="楷体" w:hAnsi="楷体" w:eastAsia="楷体"/>
          <w:b w:val="0"/>
          <w:sz w:val="22"/>
        </w:rPr>
        <w:t>强调第11条的适用前提是"**不属经济纠纷**"（整个案件是刑事案件），而本案是**典型的民事合同纠纷**，不符合第11条适用前提。一审扩大适用第11条，属于适用法律错误。</w:t>
      </w:r>
    </w:p>
    <w:p>
      <w:r>
        <w:rPr>
          <w:rFonts w:ascii="宋体" w:hAnsi="宋体" w:eastAsia="宋体"/>
          <w:b/>
          <w:sz w:val="24"/>
        </w:rPr>
        <w:t>第三优先级：九民纪要第128条（最强法律依据）</w:t>
      </w:r>
    </w:p>
    <w:p>
      <w:pPr>
        <w:ind w:left="567" w:firstLine="0"/>
      </w:pPr>
      <w:r>
        <w:rPr>
          <w:rFonts w:ascii="楷体" w:hAnsi="楷体" w:eastAsia="楷体"/>
          <w:b w:val="0"/>
          <w:sz w:val="22"/>
        </w:rPr>
        <w:t>当庭宣读九民纪要第128条第(2)项全文，强调即便马婵娟以百益服务中心名义签订合同涉嫌犯罪，上诉人作为合同相对人有权请求百益服务中心承担民事责任，**应当分别审理**。</w:t>
      </w:r>
    </w:p>
    <w:p>
      <w:pPr>
        <w:pStyle w:val="Heading3"/>
        <w:jc w:val="left"/>
      </w:pPr>
      <w:r>
        <w:rPr>
          <w:rFonts w:ascii="黑体" w:hAnsi="黑体" w:eastAsia="黑体"/>
          <w:b/>
          <w:sz w:val="26"/>
        </w:rPr>
        <w:t>法庭应对预案（蓝队律师口述补充）</w:t>
      </w:r>
    </w:p>
    <w:p>
      <w:r>
        <w:rPr>
          <w:rFonts w:ascii="宋体" w:hAnsi="宋体" w:eastAsia="宋体"/>
          <w:b/>
          <w:sz w:val="24"/>
        </w:rPr>
        <w:t>如法官追问："你们是否知道马婵娟涉嫌犯罪的情况？"</w:t>
      </w:r>
    </w:p>
    <w:p>
      <w:pPr>
        <w:ind w:left="567" w:firstLine="0"/>
      </w:pPr>
      <w:r>
        <w:rPr>
          <w:rFonts w:ascii="楷体" w:hAnsi="楷体" w:eastAsia="楷体"/>
          <w:b w:val="0"/>
          <w:sz w:val="22"/>
        </w:rPr>
        <w:t>应答口径："知道马婵娟被立案侦查，但与本案无关。马婵娟个人行为不代表百益服务中心，法人独立地位应当得到尊重。《民法典》第57条明确规定法人独立承担民事责任。"</w:t>
      </w:r>
    </w:p>
    <w:p>
      <w:r>
        <w:rPr>
          <w:rFonts w:ascii="宋体" w:hAnsi="宋体" w:eastAsia="宋体"/>
          <w:b/>
          <w:sz w:val="24"/>
        </w:rPr>
        <w:t>如法官追问："你们的善款最终去向如何？"</w:t>
      </w:r>
    </w:p>
    <w:p>
      <w:pPr>
        <w:ind w:left="567" w:firstLine="0"/>
      </w:pPr>
      <w:r>
        <w:rPr>
          <w:rFonts w:ascii="楷体" w:hAnsi="楷体" w:eastAsia="楷体"/>
          <w:b w:val="0"/>
          <w:sz w:val="22"/>
        </w:rPr>
        <w:t>应答口径："善款支付至百益服务中心后专项用于'社工黔行·爱助益餐'慈善项目，项目已实际开展，为社区老人提供免费食堂餐饮服务，资金去向清晰。如法庭需要，我方可以补充项目履行证据。"</w:t>
      </w:r>
    </w:p>
    <w:p>
      <w:r>
        <w:rPr>
          <w:rFonts w:ascii="宋体" w:hAnsi="宋体" w:eastAsia="宋体"/>
          <w:b/>
          <w:sz w:val="24"/>
        </w:rPr>
        <w:t>如对方二审提交《公益理财服务协议》作为新证据</w:t>
      </w:r>
    </w:p>
    <w:p>
      <w:pPr>
        <w:ind w:left="567" w:firstLine="0"/>
      </w:pPr>
      <w:r>
        <w:rPr>
          <w:rFonts w:ascii="楷体" w:hAnsi="楷体" w:eastAsia="楷体"/>
          <w:b w:val="0"/>
          <w:sz w:val="22"/>
        </w:rPr>
        <w:t>应急方案：立即申请**不少于7日的质证期**，同时主张该协议是案外人之间的协议，与本案无关，不能证明百益服务中心涉嫌经济犯罪。</w:t>
      </w:r>
    </w:p>
    <w:p>
      <w:pPr>
        <w:pStyle w:val="Heading2"/>
        <w:jc w:val="left"/>
      </w:pPr>
      <w:r>
        <w:rPr>
          <w:rFonts w:ascii="黑体" w:hAnsi="黑体" w:eastAsia="黑体"/>
          <w:b/>
          <w:sz w:val="28"/>
        </w:rPr>
        <w:t>签字确认区</w:t>
      </w:r>
    </w:p>
    <w:p>
      <w:r>
        <w:rPr>
          <w:rFonts w:ascii="宋体" w:hAnsi="宋体" w:eastAsia="宋体"/>
          <w:b/>
          <w:sz w:val="24"/>
        </w:rPr>
        <w:t>蓝队律师签字</w:t>
      </w:r>
      <w:r>
        <w:rPr>
          <w:rFonts w:ascii="宋体" w:hAnsi="宋体" w:eastAsia="宋体"/>
          <w:b w:val="0"/>
          <w:sz w:val="24"/>
        </w:rPr>
        <w:t xml:space="preserve">：___________________  </w:t>
      </w:r>
      <w:r>
        <w:rPr>
          <w:rFonts w:ascii="宋体" w:hAnsi="宋体" w:eastAsia="宋体"/>
          <w:b/>
          <w:sz w:val="24"/>
        </w:rPr>
        <w:t>日期</w:t>
      </w:r>
      <w:r>
        <w:rPr>
          <w:rFonts w:ascii="宋体" w:hAnsi="宋体" w:eastAsia="宋体"/>
          <w:b w:val="0"/>
          <w:sz w:val="24"/>
        </w:rPr>
        <w:t>：______</w:t>
      </w:r>
    </w:p>
    <w:p>
      <w:pPr>
        <w:pStyle w:val="Heading2"/>
        <w:jc w:val="left"/>
      </w:pPr>
      <w:r>
        <w:rPr>
          <w:rFonts w:ascii="黑体" w:hAnsi="黑体" w:eastAsia="黑体"/>
          <w:b/>
          <w:sz w:val="28"/>
        </w:rPr>
        <w:t>庭前审核附：待补全事项行动清单</w:t>
      </w:r>
    </w:p>
    <w:p>
      <w:pPr>
        <w:pStyle w:val="ListBullet"/>
      </w:pPr>
      <w:r>
        <w:rPr>
          <w:rFonts w:ascii="宋体" w:hAnsi="宋体" w:eastAsia="宋体"/>
          <w:b w:val="0"/>
          <w:sz w:val="24"/>
        </w:rPr>
        <w:t xml:space="preserve">[ ] </w:t>
      </w:r>
      <w:r>
        <w:rPr>
          <w:rFonts w:ascii="宋体" w:hAnsi="宋体" w:eastAsia="宋体"/>
          <w:b/>
          <w:sz w:val="24"/>
        </w:rPr>
        <w:t>立即</w:t>
      </w:r>
      <w:r>
        <w:rPr>
          <w:rFonts w:ascii="宋体" w:hAnsi="宋体" w:eastAsia="宋体"/>
          <w:b w:val="0"/>
          <w:sz w:val="24"/>
        </w:rPr>
        <w:t>：向遵义市中级人民法院申请调取一审全部卷宗（特别是2025年2月25日《庭审笔录》）</w:t>
      </w:r>
    </w:p>
    <w:p>
      <w:pPr>
        <w:pStyle w:val="ListBullet"/>
      </w:pPr>
      <w:r>
        <w:rPr>
          <w:rFonts w:ascii="宋体" w:hAnsi="宋体" w:eastAsia="宋体"/>
          <w:b w:val="0"/>
          <w:sz w:val="24"/>
        </w:rPr>
        <w:t xml:space="preserve">[ ] </w:t>
      </w:r>
      <w:r>
        <w:rPr>
          <w:rFonts w:ascii="宋体" w:hAnsi="宋体" w:eastAsia="宋体"/>
          <w:b/>
          <w:sz w:val="24"/>
        </w:rPr>
        <w:t>立即</w:t>
      </w:r>
      <w:r>
        <w:rPr>
          <w:rFonts w:ascii="宋体" w:hAnsi="宋体" w:eastAsia="宋体"/>
          <w:b w:val="0"/>
          <w:sz w:val="24"/>
        </w:rPr>
        <w:t>：申请法院向公安机关发函，查询百益服务中心、李丽、李佳豪是否被刑事立案侦查</w:t>
      </w:r>
    </w:p>
    <w:p>
      <w:pPr>
        <w:pStyle w:val="ListBullet"/>
      </w:pPr>
      <w:r>
        <w:rPr>
          <w:rFonts w:ascii="宋体" w:hAnsi="宋体" w:eastAsia="宋体"/>
          <w:b w:val="0"/>
          <w:sz w:val="24"/>
        </w:rPr>
        <w:t xml:space="preserve">[ ] </w:t>
      </w:r>
      <w:r>
        <w:rPr>
          <w:rFonts w:ascii="宋体" w:hAnsi="宋体" w:eastAsia="宋体"/>
          <w:b/>
          <w:sz w:val="24"/>
        </w:rPr>
        <w:t>3日内</w:t>
      </w:r>
      <w:r>
        <w:rPr>
          <w:rFonts w:ascii="宋体" w:hAnsi="宋体" w:eastAsia="宋体"/>
          <w:b w:val="0"/>
          <w:sz w:val="24"/>
        </w:rPr>
        <w:t>：通过北大法宝/威科先行/法信，检索《经济犯罪嫌疑规定》第11条适用的指导案例（特别是错误适用被二审撤销的案例）</w:t>
      </w:r>
    </w:p>
    <w:p>
      <w:pPr>
        <w:pStyle w:val="ListBullet"/>
      </w:pPr>
      <w:r>
        <w:rPr>
          <w:rFonts w:ascii="宋体" w:hAnsi="宋体" w:eastAsia="宋体"/>
          <w:b w:val="0"/>
          <w:sz w:val="24"/>
        </w:rPr>
        <w:t xml:space="preserve">[ ] </w:t>
      </w:r>
      <w:r>
        <w:rPr>
          <w:rFonts w:ascii="宋体" w:hAnsi="宋体" w:eastAsia="宋体"/>
          <w:b/>
          <w:sz w:val="24"/>
        </w:rPr>
        <w:t>3日内</w:t>
      </w:r>
      <w:r>
        <w:rPr>
          <w:rFonts w:ascii="宋体" w:hAnsi="宋体" w:eastAsia="宋体"/>
          <w:b w:val="0"/>
          <w:sz w:val="24"/>
        </w:rPr>
        <w:t>：通过中国裁判文书网，检索"道真百益社会工作服务中心"是否涉及其他案件</w:t>
      </w:r>
    </w:p>
    <w:p>
      <w:pPr>
        <w:pStyle w:val="ListBullet"/>
      </w:pPr>
      <w:r>
        <w:rPr>
          <w:rFonts w:ascii="宋体" w:hAnsi="宋体" w:eastAsia="宋体"/>
          <w:b w:val="0"/>
          <w:sz w:val="24"/>
        </w:rPr>
        <w:t xml:space="preserve">[ ] </w:t>
      </w:r>
      <w:r>
        <w:rPr>
          <w:rFonts w:ascii="宋体" w:hAnsi="宋体" w:eastAsia="宋体"/>
          <w:b/>
          <w:sz w:val="24"/>
        </w:rPr>
        <w:t>5日内</w:t>
      </w:r>
      <w:r>
        <w:rPr>
          <w:rFonts w:ascii="宋体" w:hAnsi="宋体" w:eastAsia="宋体"/>
          <w:b w:val="0"/>
          <w:sz w:val="24"/>
        </w:rPr>
        <w:t>：补充项目履行证据（食堂运营记录、服务记录、受益人名单等）</w:t>
      </w:r>
    </w:p>
    <w:p>
      <w:pPr>
        <w:pStyle w:val="ListBullet"/>
      </w:pPr>
      <w:r>
        <w:rPr>
          <w:rFonts w:ascii="宋体" w:hAnsi="宋体" w:eastAsia="宋体"/>
          <w:b w:val="0"/>
          <w:sz w:val="24"/>
        </w:rPr>
        <w:t xml:space="preserve">[ ] </w:t>
      </w:r>
      <w:r>
        <w:rPr>
          <w:rFonts w:ascii="宋体" w:hAnsi="宋体" w:eastAsia="宋体"/>
          <w:b/>
          <w:sz w:val="24"/>
        </w:rPr>
        <w:t>开庭前</w:t>
      </w:r>
      <w:r>
        <w:rPr>
          <w:rFonts w:ascii="宋体" w:hAnsi="宋体" w:eastAsia="宋体"/>
          <w:b w:val="0"/>
          <w:sz w:val="24"/>
        </w:rPr>
        <w:t>：将所有标注"网络检索，待核实"的案例通过官方数据库二次核对，替换为准许引用的案例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