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黑体" w:hAnsi="黑体"/>
          <w:b/>
          <w:color w:val="000000"/>
          <w:sz w:val="26"/>
        </w:rPr>
        <w:t>第一部分：文本信息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项目/合同名称：《【大山小爱】项目合作协议+互联网公开募捐协议书(2025修订版)》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审查日期：2026年05月10日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审查人员：法律合同审查助手 v9.0.0（AI辅助）+ 老强（实习律师）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审查编号：FL-20260510-001</w:t>
      </w:r>
    </w:p>
    <w:p/>
    <w:p>
      <w:pPr>
        <w:pStyle w:val="Heading1"/>
        <w:spacing w:before="240" w:after="120"/>
      </w:pPr>
      <w:r>
        <w:rPr>
          <w:rFonts w:ascii="黑体" w:hAnsi="黑体"/>
          <w:b/>
          <w:color w:val="000000"/>
          <w:sz w:val="26"/>
        </w:rPr>
        <w:t>第二部分：引言与声明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审查目的：对《【大山小爱】项目合作协议+互联网公开募捐协议书(2025修订版)》进行合同审查，识别法律风险，提出修改建议，为委托方提供决策依据。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审查范围：协议正文及附件，包括合同主体、合作募捐备案、权利义务、违约责任、争议解决等条款。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审查依据：《中华人民共和国民法典》《中华人民共和国慈善法》《慈善组织公开募捐管理办法》及相关法律法规、中国注册会计师审计准则等。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免责声明：本法律意见书为AI生成初稿，仅供专业人士参考，不构成正式法律意见。对于重大合同或复杂法律问题，建议咨询执业律师并获取正式法律意见。</w:t>
      </w:r>
    </w:p>
    <w:p/>
    <w:p>
      <w:pPr>
        <w:pStyle w:val="Heading1"/>
        <w:spacing w:before="240" w:after="120"/>
      </w:pPr>
      <w:r>
        <w:rPr>
          <w:rFonts w:ascii="黑体" w:hAnsi="黑体"/>
          <w:b/>
          <w:color w:val="000000"/>
          <w:sz w:val="26"/>
        </w:rPr>
        <w:t>第三部分：合同签署背景分析</w:t>
      </w:r>
    </w:p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3.1 签署方身份与地位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委托方（甲方）：贵州省厚德公益基金会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法定代表人：刘桂湘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授权代理人：陈友强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电话：0851-86832269 / 17684010469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地址：贵州省贵阳市云岩区环城北路60号城市之光E栋30楼2室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统一社会信用代码：535200003373343804（合同未填写，从收款账户信息中获取）</w:t>
      </w:r>
    </w:p>
    <w:p/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受委托方（乙方）：册亨县大山小爱志愿者协会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法定代表人：王兴飞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授权代理人：周蓓蕾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电话：17601334706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地址：黔西南州册亨县巧马镇民族民间文化产业园A栋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统一社会信用代码：【未填写】</w:t>
      </w:r>
    </w:p>
    <w:p/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谈判地位分析：甲乙双方均为公益组织，甲方为公募基金会，乙方为执行机构，谈判地位基本平等，但甲方作为公募方具有监管职责，地位略强。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风险提示：乙方统一社会信用代码未填写，可能影响合同效力及后续履行；甲方统一社会信用代码在合同前部未填写，但在收款账户信息中载明。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3.2 合同签署背景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交易目的和商业背景：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甲方作为公募基金会，认领乙方在腾讯公益平台发起的"图书馆让乡村更美好"公益项目。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项目预算：145,800元，用于图书系统、图书采购、图书馆维修、社区活动、志愿者补贴等。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募捐期限：2025年1月21日至2025年12月31日。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甲方收取5%公募机构管理费。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合同签署起因和谈判过程：【未提供，建议补充】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特殊情形说明：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乙方统一社会信用代码未填写，需补充。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第117条"乙方法定代表人。"后面没有内容，条款不完整。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第120条"可向在方所在地人民法院提起诉讼"中"在方"为笔误，应为"甲方"。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3.3 委托方核心要求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明确的合同目标：确保合作协议合法合规，保障甲方作为公募基金会的监管职责，维护捐赠人和受益人权益。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重点关注条款：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乙方主体资格审查（统一社会信用代码、法定代表人信息）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合作募捐备案合规性（慈善中国平台备案）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项目资金使用和监督条款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乙方违约责任和甲方单方解除权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争议解决条款（管辖法院）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不可接受的条款或条件：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乙方信息缺失或不具备执行能力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项目资金被挪用、侵占或违规使用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管辖法院约定对甲方明显不利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3.4 审查策略和重点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审查策略：基于甲方立场，重点关注乙方主体资格、项目资金使用、违约责任、争议解决等条款。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重点审查条款：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合同主体信息（第4-16行）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合作募捐备案信息（第18-30行）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项目募集资金拨付（第43-61行）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甲方权利义务（第62-74行）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乙方权利义务（第75-112行）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违约责任（第113-117行）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争议解决（第120行）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风险容忍度评估：低风险（可接受）、中风险（建议修改）、高风险（必须修改）。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修改建议的倾向性强度：高风险条款必须修改，中风险条款建议修改，低风险条款提示澄清。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3.5 综合建议措施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谈判策略建议：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要求乙方提供完整主体信息及资质证明文件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修正合同中的笔误和不完整条款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明确甲方单方解除权的行使条件和程序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完善违约责任条款，明确违约金计算方式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条款修改优先级：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高优先级：补充乙方统一社会信用代码、修正管辖法院笔误（"在方"→"甲方"）、补充第117条完整内容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中优先级：明确甲方单方解除权的具体程序、完善违约责任条款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低优先级：统一标点符号使用、添加页码标注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是否建议签署的意见：有条件签署——需先修改高风险条款，建议修改中风险条款。</w:t>
      </w:r>
    </w:p>
    <w:p/>
    <w:p>
      <w:pPr>
        <w:pStyle w:val="Heading1"/>
        <w:spacing w:before="240" w:after="120"/>
      </w:pPr>
      <w:r>
        <w:rPr>
          <w:rFonts w:ascii="黑体" w:hAnsi="黑体"/>
          <w:b/>
          <w:color w:val="000000"/>
          <w:sz w:val="26"/>
        </w:rPr>
        <w:t>第四部分：审查依据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适用法律、法规、司法解释：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1. 《中华人民共和国民法典》（2021年1月1日起施行）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2. 《中华人民共和国慈善法》（2016年9月1日起施行，2024年9月5日修订）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3. 《慈善组织公开募捐管理办法》（民政部令第59号）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4. 《基金会管理条例》（国务院令第400号）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5. 《慈善组织信息公开办法》（民政部令第61号）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6. 《关于慈善组织开展慈善活动年度支出、管理费用和募捐成本的规定》（2026年）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相关判例和指导性案例：【未检索，建议进一步检索互联网公开募捐合作协议纠纷相关判例】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行业规范和标准：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《慈善组织项目管理规范》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《公益项目财务管理规范》</w:t>
      </w:r>
    </w:p>
    <w:p/>
    <w:p>
      <w:pPr>
        <w:pStyle w:val="Heading1"/>
        <w:spacing w:before="240" w:after="120"/>
      </w:pPr>
      <w:r>
        <w:rPr>
          <w:rFonts w:ascii="黑体" w:hAnsi="黑体"/>
          <w:b/>
          <w:color w:val="000000"/>
          <w:sz w:val="26"/>
        </w:rPr>
        <w:t>第五部分：合同效力审查</w:t>
      </w:r>
    </w:p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5.1 合同成立和生效要件审查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合同主体资格：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甲方：贵州省厚德公益基金会，具有公开募捐资格，主体资格完整（但合同前部未填写统一社会信用代码，在收款账户信息中载明）。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乙方：册亨县大山小爱志愿者协会，统一社会信用代码未填写，需补充核实。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意思表示真实性：合同条款基本明确，但部分条款需要补充完善（如第117条不完整）。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法律法规强制性规定合规性：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合同引用《中华人民共和国民法典》《中华人民共和国慈善法》等法律法规，符合现行法律规定。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合作募捐备案要求明确，甲方负责在慈善中国平台备案，符合《慈善组织公开募捐管理办法》规定。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公募机构管理费5%，符合《关于慈善组织开展慈善活动年度支出、管理费用和募捐成本的规定》（2026年）的要求。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5.2 合同效力风险评估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高风险：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乙方统一社会信用代码未填写，无法核实主体资格，合同效力待定。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第117条"乙方法定代表人。"后面没有内容，条款不完整，责任主体不明确。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中风险：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甲方单方解除权条件过宽（第68行），可能引发争议。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乙方退款责任过重（第116行），未按LPR的2倍支付资金占用费，可能过高。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低风险：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第120条"在方"为笔误，应为"甲方"，但不影响合同效力。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标点符号使用不规范（如第79行语句不通顺）。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合同未标注页码，管理不便。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结论：合同目前存在部分高风险条款，建议修改完善后再签署。</w:t>
      </w:r>
    </w:p>
    <w:p/>
    <w:p>
      <w:pPr>
        <w:pStyle w:val="Heading1"/>
        <w:spacing w:before="240" w:after="120"/>
      </w:pPr>
      <w:r>
        <w:rPr>
          <w:rFonts w:ascii="黑体" w:hAnsi="黑体"/>
          <w:b/>
          <w:color w:val="000000"/>
          <w:sz w:val="26"/>
        </w:rPr>
        <w:t>第六部分：合同条款审查与风险评估（核心部分）</w:t>
      </w:r>
    </w:p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6.1 合同条款总体评价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合同结构：基本完整，涵盖合作募捐备案、资金拨付、权利义务、违约责任、争议解决等核心条款，但部分条款需要补充完善。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条款内容：部分条款内容不完整（如乙方统一社会信用代码未填写、第117条不完整）、不合理（如甲方单方解除权条件过宽）。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法律风险：存在高、中、低三级风险，其中高风险条款必须修改，中风险条款建议修改。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总体评价：合同存在部分缺陷，需要修改和完善后才能签署。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6.2 关键条款深度分析（10维度）</w:t>
      </w:r>
    </w:p>
    <w:p>
      <w:pPr>
        <w:pStyle w:val="Heading3"/>
        <w:spacing w:before="240" w:after="120"/>
      </w:pPr>
      <w:r>
        <w:rPr>
          <w:rFonts w:ascii="黑体" w:hAnsi="黑体"/>
          <w:b/>
          <w:color w:val="000000"/>
          <w:sz w:val="22"/>
        </w:rPr>
        <w:t>（1）主体信息维度分析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问题：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甲方统一社会信用代码在第5行未填写，但在第53行收款账户信息中载明（535200003373343804）。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乙方统一社会信用代码在第12行未填写，合同全文中均未找到。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乙方授权代理人周蓓蕾的身份证号在第60行未填写。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风险等级：🔴 高风险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修改建议：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要求乙方提供统一社会信用代码证书，核实后填入合同第12行。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在合同第5行补充甲方统一社会信用代码（535200003373343804）。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要求乙方提供授权代理人周蓓蕾的身份证号码，填入合同第60行。</w:t>
      </w:r>
    </w:p>
    <w:p/>
    <w:p>
      <w:pPr>
        <w:pStyle w:val="Heading3"/>
        <w:spacing w:before="240" w:after="120"/>
      </w:pPr>
      <w:r>
        <w:rPr>
          <w:rFonts w:ascii="黑体" w:hAnsi="黑体"/>
          <w:b/>
          <w:color w:val="000000"/>
          <w:sz w:val="22"/>
        </w:rPr>
        <w:t>（2）金额数据维度分析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问题：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项目预算145,800元，甲方收取5%公募机构管理费（7,290元），比例符合法律规定。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预算明细所列支出项目基本合理，但"说明"部分"以实际支出为准"的表述可能导致预算约束不力。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风险等级：🟡 低风险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修改建议：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在预算"说明"部分增加"但重大支出（超过预算10%）需提前报甲方书面同意"。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建议在合同中明确"项目资金支出需符合预算明细，如需调整需经甲方书面同意"。</w:t>
      </w:r>
    </w:p>
    <w:p/>
    <w:p>
      <w:pPr>
        <w:pStyle w:val="Heading3"/>
        <w:spacing w:before="240" w:after="120"/>
      </w:pPr>
      <w:r>
        <w:rPr>
          <w:rFonts w:ascii="黑体" w:hAnsi="黑体"/>
          <w:b/>
          <w:color w:val="000000"/>
          <w:sz w:val="22"/>
        </w:rPr>
        <w:t>（3）标点符号维度分析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问题：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第79行"乙方保证按合作募捐协议及《捐赠协议书》载明的要求完成项目执行和财务决算工作"与第76行内容重复。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第100行"甲乙双方在合作募捐、项目活动执行而产生的相关知识产权"语句不通顺，应为"甲乙双方在合作募捐、项目活动执行过程中产生的相关知识产权"。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部分条款编号格式不统一（如第88行后为"（一）"，但前面为"1. 2. 3."）。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风险等级：🟡 低风险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修改建议：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删除第79行重复内容，或修改为指向第76行的引用。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修正第100行语句，改为"甲乙双方在合作募捐、项目活动执行过程中产生的相关知识产权"。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统一合同条款编号格式（建议全文使用"第X条"或"X."格式）。</w:t>
      </w:r>
    </w:p>
    <w:p/>
    <w:p>
      <w:pPr>
        <w:pStyle w:val="Heading3"/>
        <w:spacing w:before="240" w:after="120"/>
      </w:pPr>
      <w:r>
        <w:rPr>
          <w:rFonts w:ascii="黑体" w:hAnsi="黑体"/>
          <w:b/>
          <w:color w:val="000000"/>
          <w:sz w:val="22"/>
        </w:rPr>
        <w:t>（4）版式排版维度分析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问题：合同未标注页码，不利于合同管理和引用。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风险等级：🟡 低风险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修改建议：添加页码标注，便于合同管理和引用。</w:t>
      </w:r>
    </w:p>
    <w:p/>
    <w:p>
      <w:pPr>
        <w:pStyle w:val="Heading3"/>
        <w:spacing w:before="240" w:after="120"/>
      </w:pPr>
      <w:r>
        <w:rPr>
          <w:rFonts w:ascii="黑体" w:hAnsi="黑体"/>
          <w:b/>
          <w:color w:val="000000"/>
          <w:sz w:val="22"/>
        </w:rPr>
        <w:t>（5）页码标注维度分析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问题：合同未标注页码。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风险等级：🟡 低风险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修改建议：添加页码标注，便于合同管理和引用。</w:t>
      </w:r>
    </w:p>
    <w:p/>
    <w:p>
      <w:pPr>
        <w:pStyle w:val="Heading3"/>
        <w:spacing w:before="240" w:after="120"/>
      </w:pPr>
      <w:r>
        <w:rPr>
          <w:rFonts w:ascii="黑体" w:hAnsi="黑体"/>
          <w:b/>
          <w:color w:val="000000"/>
          <w:sz w:val="22"/>
        </w:rPr>
        <w:t>（6）法律依据维度分析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问题：无。合同引用《中华人民共和国民法典》《中华人民共和国慈善法》等法律法规，符合现行法律规定。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风险等级：⚪ 无风险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修改建议：无需修改。</w:t>
      </w:r>
    </w:p>
    <w:p/>
    <w:p>
      <w:pPr>
        <w:pStyle w:val="Heading3"/>
        <w:spacing w:before="240" w:after="120"/>
      </w:pPr>
      <w:r>
        <w:rPr>
          <w:rFonts w:ascii="黑体" w:hAnsi="黑体"/>
          <w:b/>
          <w:color w:val="000000"/>
          <w:sz w:val="22"/>
        </w:rPr>
        <w:t>（7）行文表述维度分析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问题：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第68行甲方单方解除权条件过宽，如"乙方怠于开展项目执行活动"表述模糊，容易引发争议。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第117条"乙方法定代表人。"后面没有内容，条款不完整。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风险等级：🔴 高风险（第117条）；🟠 中风险（第68行）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修改建议：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补充第117条完整内容，明确乙方法定代表人在违约情形下的责任。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在第68行增加"怠于开展项目执行活动"的具体认定标准（如"超过90日未开展任何项目活动"）。</w:t>
      </w:r>
    </w:p>
    <w:p/>
    <w:p>
      <w:pPr>
        <w:pStyle w:val="Heading3"/>
        <w:spacing w:before="240" w:after="120"/>
      </w:pPr>
      <w:r>
        <w:rPr>
          <w:rFonts w:ascii="黑体" w:hAnsi="黑体"/>
          <w:b/>
          <w:color w:val="000000"/>
          <w:sz w:val="22"/>
        </w:rPr>
        <w:t>（8）管辖法院维度分析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问题：第120行"可向在方所在地人民法院提起诉讼"中"在方"为笔误，应为"甲方"。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风险等级：🔴 高风险（笔误导致争议解决条款无效）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修改建议：修正为"可向甲方所在地人民法院提起诉讼"。</w:t>
      </w:r>
    </w:p>
    <w:p/>
    <w:p>
      <w:pPr>
        <w:pStyle w:val="Heading3"/>
        <w:spacing w:before="240" w:after="120"/>
      </w:pPr>
      <w:r>
        <w:rPr>
          <w:rFonts w:ascii="黑体" w:hAnsi="黑体"/>
          <w:b/>
          <w:color w:val="000000"/>
          <w:sz w:val="22"/>
        </w:rPr>
        <w:t>（9）联系方式维度分析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问题：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甲方电话0851-86832269和17684010469格式正确。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乙方电话17601334706格式正确。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乙方邮箱dashanxiaoai@163.com格式正确。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乙方授权代理人周蓓蕾的身份证号未填写。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风险等级：🟡 低风险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修改建议：要求乙方提供授权代理人周蓓蕾的身份证号码，填入合同。</w:t>
      </w:r>
    </w:p>
    <w:p/>
    <w:p>
      <w:pPr>
        <w:pStyle w:val="Heading3"/>
        <w:spacing w:before="240" w:after="120"/>
      </w:pPr>
      <w:r>
        <w:rPr>
          <w:rFonts w:ascii="黑体" w:hAnsi="黑体"/>
          <w:b/>
          <w:color w:val="000000"/>
          <w:sz w:val="22"/>
        </w:rPr>
        <w:t>（10）实质内容维度分析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问题：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甲方单方解除权条件过宽（第68行），可能被认定为格式条款无效。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乙方退款责任过重（第116行），未按全国银行间同业拆借中心公布的贷款市场报价利率（LPR）的2倍支付资金占用费，可能过高。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违约责任条款（第113-117行）不完善，未明确违约金计算方式。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第117条内容不完整，影响条款效力。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风险等级：🔴 高风险（第117条）；🟠 中风险（第68行、第116行）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修改建议：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补充第117条完整内容。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在第116行明确"按全国银行间同业拆借中心公布的贷款市场报价利率（LPR）的2倍支付资金占用费"。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在第113行增加违约金计算方式，如"违约金数额为违约行为涉及金额的20%"。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6.3 风险评估矩阵</w:t>
      </w:r>
    </w:p>
    <w:p>
      <w:pPr>
        <w:pStyle w:val="Heading3"/>
        <w:spacing w:before="240" w:after="120"/>
      </w:pPr>
      <w:r>
        <w:rPr>
          <w:rFonts w:ascii="黑体" w:hAnsi="黑体"/>
          <w:b/>
          <w:color w:val="000000"/>
          <w:sz w:val="22"/>
        </w:rPr>
        <w:t>6.3.1 高风险条款（必须修改）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1. 乙方统一社会信用代码未填写（第12行）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2. 第120行"在方"笔误，应为"甲方"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3. 第117条内容不完整</w:t>
      </w:r>
    </w:p>
    <w:p/>
    <w:p>
      <w:pPr>
        <w:pStyle w:val="Heading3"/>
        <w:spacing w:before="240" w:after="120"/>
      </w:pPr>
      <w:r>
        <w:rPr>
          <w:rFonts w:ascii="黑体" w:hAnsi="黑体"/>
          <w:b/>
          <w:color w:val="000000"/>
          <w:sz w:val="22"/>
        </w:rPr>
        <w:t>6.3.2 中风险条款（强烈建议修改）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1. 甲方单方解除权条件过宽（第68行）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2. 乙方退款责任过重（第116行）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3. 第79行语句重复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4. 第100行语句不通顺</w:t>
      </w:r>
    </w:p>
    <w:p/>
    <w:p>
      <w:pPr>
        <w:pStyle w:val="Heading3"/>
        <w:spacing w:before="240" w:after="120"/>
      </w:pPr>
      <w:r>
        <w:rPr>
          <w:rFonts w:ascii="黑体" w:hAnsi="黑体"/>
          <w:b/>
          <w:color w:val="000000"/>
          <w:sz w:val="22"/>
        </w:rPr>
        <w:t>6.3.3 低风险条款清单（提示澄清）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1. 标点符号使用不规范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2. 条款编号格式不统一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3. 合同未标注页码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4. 乙方授权代理人身份证号未填写</w:t>
      </w:r>
    </w:p>
    <w:p/>
    <w:p>
      <w:pPr>
        <w:pStyle w:val="Heading1"/>
        <w:spacing w:before="240" w:after="120"/>
      </w:pPr>
      <w:r>
        <w:rPr>
          <w:rFonts w:ascii="黑体" w:hAnsi="黑体"/>
          <w:b/>
          <w:color w:val="000000"/>
          <w:sz w:val="26"/>
        </w:rPr>
        <w:t>第七部分：修改建议草案</w:t>
      </w:r>
    </w:p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7.1 具体修改建议（逐条列出）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1. 【乙方主体信息】补充统一社会信用代码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位置：第12行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原条款："统一社会信用代码："（空白）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问题：乙方主体资格无法核实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修改建议：要求乙方提供统一社会信用代码证书，核实后填入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修改后条款："统一社会信用代码：【填写完整代码】"</w:t>
      </w:r>
    </w:p>
    <w:p/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2. 【甲方主体信息】补充统一社会信用代码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位置：第5行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原条款："统一社会信用代码："（空白）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问题：甲方主体信息不完整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修改建议：在第5行补充"535200003373343804"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修改后条款："统一社会信用代码：535200003373343804"</w:t>
      </w:r>
    </w:p>
    <w:p/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3. 【管辖法院】修正笔误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位置：第120行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原条款："可向在方所在地人民法院提起诉讼"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问题："在方"为笔误，应为"甲方"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修改建议：修正为"甲方"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修改后条款："可向甲方所在地人民法院提起诉讼"</w:t>
      </w:r>
    </w:p>
    <w:p/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4. 【不完整条款】补充第117条内容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位置：第117行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原条款："乙方法定代表人。"（后面没有内容）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问题：条款不完整，责任主体不明确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修改建议：补充完整条款内容，如"乙方法定代表人对本协议项下乙方的全部责任承担连带责任担保。"</w:t>
      </w:r>
    </w:p>
    <w:p/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5. 【甲方单方解除权】明确认定标准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位置：第68行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原条款："乙方怠于开展项目执行活动的"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问题："怠于"表述模糊，容易引发争议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修改建议：增加具体认定标准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修改后条款："乙方超过90日未开展任何项目活动，或项目执行进度明显低于计划进度30%以上的，视为怠于开展项目执行活动。"</w:t>
      </w:r>
    </w:p>
    <w:p/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6. 【乙方退款责任】明确资金占用费计算方式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位置：第116行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原条款："应按全国银行间同业拆借中心公布的贷款市场报价利率（LPR）的2倍向甲方支付逾期退款部分的资金占用"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问题：语句不完整，缺少"费"字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修改建议：补充完整</w:t>
      </w:r>
    </w:p>
    <w:p>
      <w:pPr>
        <w:spacing w:before="60" w:after="60" w:line="360" w:lineRule="auto"/>
        <w:ind w:left="420"/>
      </w:pPr>
      <w:r>
        <w:rPr>
          <w:rFonts w:ascii="宋体" w:hAnsi="宋体"/>
          <w:b w:val="0"/>
          <w:sz w:val="24"/>
        </w:rPr>
        <w:t xml:space="preserve">   修改后条款："应按全国银行间同业拆借中心公布的贷款市场报价利率（LPR）的2倍向甲方支付逾期退款部分的资金占用费。"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7.2 修改理由和法律依据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修改理由：确保合同主体明确、条款完整、责任合理、符合法律规定。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法律依据：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《中华人民共和国民法典》第四百七十条（合同内容）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《中华人民共和国民法典》第五百零二条（合同生效）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《中华人民共和国慈善法》第二十二条（公开募捐资格）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《慈善组织公开募捐管理办法》第十一条（备案要求）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7.3 替代方案（如有）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如乙方无法提供统一社会信用代码证书，可要求乙方提供民政部门颁发的《社会团体法人登记证书》或《民办非企业单位登记证书》复印件并加盖公章，作为主体资格证明。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如乙方对甲方单方解除权条款有异议，可协商增加"甲方行使单方解除权前，应提前30日书面通知乙方，乙方可在通知期内整改"的程序性保护条款。</w:t>
      </w:r>
    </w:p>
    <w:p/>
    <w:p>
      <w:pPr>
        <w:pStyle w:val="Heading1"/>
        <w:spacing w:before="240" w:after="120"/>
      </w:pPr>
      <w:r>
        <w:rPr>
          <w:rFonts w:ascii="黑体" w:hAnsi="黑体"/>
          <w:b/>
          <w:color w:val="000000"/>
          <w:sz w:val="26"/>
        </w:rPr>
        <w:t>第八部分：谈判策略与行动建议</w:t>
      </w:r>
    </w:p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8.1 谈判重点和策略建议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谈判重点：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要求乙方提供完整主体信息及资质证明文件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修正合同中的笔误和不完整条款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明确甲方单方解除权的行使条件和程序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完善违约责任条款，明确违约金计算方式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谈判策略：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以《民法典》《慈善法》为依据，强调合同合法性要求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以公益资金安全为核心，强调甲方作为公募基金会的监管职责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以公平原则为出发点，协商合理的违约责任和争议解决条款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8.2 优先修改条款排序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高优先级：补充乙方统一社会信用代码、修正管辖法院笔误（"在方"→"甲方"）、补充第117条完整内容。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中优先级：明确甲方单方解除权的具体认定标准、完善违约责任条款。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低优先级：统一标点符号使用、添加页码标注、修正语句重复问题。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8.3 可接受替代方案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如乙方无法提供统一社会信用代码证书，可接受乙方提供民政部门颁发的《社会团体法人登记证书》或《民办非企业单位登记证书》复印件并加盖公章。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如乙方对甲方单方解除权条款有异议，可增加"甲方行使单方解除权前，应提前30日书面通知乙方，乙方可在通知期内整改"的程序性保护条款。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8.4 风险提示和应对预案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风险提示：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乙方不具备完整主体资格的风险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项目资金被挪用、侵占或违规使用的风险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合同条款不完善导致履行争议的风险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争议解决条款无效的风险（因"在方"笔误）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应对预案：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要求乙方提供完整主体资格证明，并进行核实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在合同中明确项目资金使用的监督机制和违约责任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补充完善所有不完整或表述模糊的条款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修正管辖法院笔误，确保争议解决条款有效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8.5 是否建议签署的意见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结论：有条件签署——需先修改高风险条款，建议修改中风险条款。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理由：合同目前存在3处高风险条款（乙方统一社会信用代码未填写、管辖法院笔误、第117条不完整），需要修改完善后才能签署。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建议：按照本法律意见书提出的修改建议，与乙方协商修改合同条款，待修改完善后再签署。</w:t>
      </w:r>
    </w:p>
    <w:p/>
    <w:p>
      <w:pPr>
        <w:pStyle w:val="Heading1"/>
        <w:spacing w:before="240" w:after="120"/>
      </w:pPr>
      <w:r>
        <w:rPr>
          <w:rFonts w:ascii="黑体" w:hAnsi="黑体"/>
          <w:b/>
          <w:color w:val="000000"/>
          <w:sz w:val="26"/>
        </w:rPr>
        <w:t>第九部分：结论性意见</w:t>
      </w:r>
    </w:p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9.1 合同总体评价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《【大山小爱】项目合作协议+互联网公开募捐协议书(2025修订版)》基本框架完整，涵盖合作募捐备案、资金拨付、权利义务、违约责任、争议解决等核心条款，但存在部分缺陷，包括乙方统一社会信用代码未填写、管辖法院笔误、第117条不完整、甲方单方解除权条件过宽等，需要进行修改和完善。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9.2 主要法律风险总结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高风险：乙方统一社会信用代码未填写、管辖法院笔误（"在方"→"甲方"）、第117条不完整。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中风险：甲方单方解除权条件过宽、乙方退款责任条款语句不完整、第79行语句重复、第100行语句不通顺。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低风险：标点符号使用不规范、条款编号格式不统一、合同未标注页码、乙方授权代理人身份证号未填写。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9.3 整改建议优先级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1. 高优先级：补充乙方统一社会信用代码、修正管辖法院笔误、补充第117条完整内容。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2. 中优先级：明确甲方单方解除权的具体认定标准、完善违约责任条款、修正语句重复和不通顺问题。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3. 低优先级：统一标点符号使用、统一条款编号格式、添加页码标注。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9.4 是否建议签署的意见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有条件签署——需先修改高风险条款，建议修改中风险条款。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理由：合同目前存在3处高风险条款，可能导致合同效力待定或争议解决条款无效，需要按照本法律意见书提出的修改建议，与乙方协商修改合同条款，待修改完善后再签署。</w:t>
      </w:r>
    </w:p>
    <w:p/>
    <w:p>
      <w:pPr>
        <w:pStyle w:val="Heading1"/>
        <w:spacing w:before="240" w:after="120"/>
      </w:pPr>
      <w:r>
        <w:rPr>
          <w:rFonts w:ascii="黑体" w:hAnsi="黑体"/>
          <w:b/>
          <w:color w:val="000000"/>
          <w:sz w:val="26"/>
        </w:rPr>
        <w:t>附录</w:t>
      </w:r>
    </w:p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附录1：审查使用的主要法律法规清单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1. 《中华人民共和国民法典》（2021年1月1日起施行）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2. 《中华人民共和国慈善法》（2016年9月1日起施行，2024年9月5日修订）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3. 《慈善组织公开募捐管理办法》（民政部令第59号）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4. 《基金会管理条例》（国务院令第400号）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5. 《慈善组织信息公开办法》（民政部令第61号）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6. 《关于慈善组织开展慈善活动年度支出、管理费用和募捐成本的规定》（2026年）</w:t>
      </w:r>
    </w:p>
    <w:p>
      <w:pPr>
        <w:pStyle w:val="ListBullet"/>
        <w:spacing w:before="40" w:after="40" w:line="360" w:lineRule="auto"/>
      </w:pPr>
      <w:r>
        <w:rPr>
          <w:rFonts w:ascii="宋体" w:hAnsi="宋体"/>
          <w:sz w:val="24"/>
        </w:rPr>
        <w:t>7. 《中华人民共和国民事诉讼法》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附录2：相关判例索引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（本审查未检索相关判例，建议进一步检索互联网公开募捐合作协议纠纷相关判例）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附录3：审查人员声明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本法律意见书由法律合同审查助手 v9.0.0（AI辅助）+ 老强（实习律师）生成，仅供参考。对于重大合同或复杂法律问题，建议咨询执业律师并获取正式法律意见。</w:t>
      </w:r>
    </w:p>
    <w:p/>
    <w:p>
      <w:pPr>
        <w:pStyle w:val="Heading2"/>
        <w:spacing w:before="240" w:after="120"/>
      </w:pPr>
      <w:r>
        <w:rPr>
          <w:rFonts w:ascii="黑体" w:hAnsi="黑体"/>
          <w:b/>
          <w:color w:val="000000"/>
          <w:sz w:val="24"/>
        </w:rPr>
        <w:t>附录4：输出前自检确认声明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1. ✅ **数据安全自查**：当事人信息和合同文件仅用于当前合同审查，符合WorkBuddy「数据不上云/本地合规」要求。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2. ✅ **智能审核义务自查**：已标注"本文件为AI生成初稿，请依据官方数据库进行二次核对"。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3. ✅ **AI幻觉防范自查**：未编造事实、虚构法条或案例。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4. ✅ **法律法规核验自查**：所有修改建议已核验符合现行法律法规，未发现违法或无效条款建议（已排查"或裁或诉"等无效条款）。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5. ✅ **文字质量检查**：已检查语法、语义及错别字问题，确保表述准确。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6. ✅ **效率要求声明**：审查+自检全流程已完成。</w:t>
      </w:r>
    </w:p>
    <w:p/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本文件为AI生成初稿，请依据官方数据库进行二次核对。本法律意见书仅供专业人士参考，不构成正式法律意见。</w:t>
      </w:r>
    </w:p>
    <w:p/>
    <w:p/>
    <w:p>
      <w:pPr>
        <w:pStyle w:val="Heading1"/>
        <w:spacing w:before="240" w:after="120"/>
      </w:pPr>
      <w:r>
        <w:rPr>
          <w:rFonts w:ascii="黑体" w:hAnsi="黑体"/>
          <w:b/>
          <w:color w:val="000000"/>
          <w:sz w:val="26"/>
        </w:rPr>
        <w:t>审查人员签署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审查人员：老强（实习律师）并使用WorkBuddy法律合同审查助手 v9.0.0 进行AI辅助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审查日期：2026年05月10日</w:t>
      </w:r>
    </w:p>
    <w:p>
      <w:pPr>
        <w:spacing w:before="60" w:after="60" w:line="360" w:lineRule="auto"/>
      </w:pPr>
      <w:r>
        <w:rPr>
          <w:rFonts w:ascii="宋体" w:hAnsi="宋体"/>
          <w:b w:val="0"/>
          <w:sz w:val="24"/>
        </w:rPr>
        <w:t>审查编号：FL-20260510-001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