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黑体" w:hAnsi="黑体" w:eastAsia="黑体"/>
          <w:b/>
          <w:sz w:val="32"/>
        </w:rPr>
        <w:t>法律检索报告</w:t>
      </w:r>
    </w:p>
    <w:p>
      <w:r>
        <w:rPr>
          <w:rFonts w:ascii="宋体" w:hAnsi="宋体" w:eastAsia="宋体"/>
          <w:b w:val="0"/>
          <w:sz w:val="24"/>
        </w:rPr>
        <w:t>┌─────────────────────────────────────────────────┐</w:t>
      </w:r>
    </w:p>
    <w:p>
      <w:r>
        <w:rPr>
          <w:rFonts w:ascii="宋体" w:hAnsi="宋体" w:eastAsia="宋体"/>
          <w:b w:val="0"/>
          <w:sz w:val="24"/>
        </w:rPr>
        <w:t>│              法 律 检 索 报 告                          │</w:t>
      </w:r>
    </w:p>
    <w:p>
      <w:r>
        <w:rPr>
          <w:rFonts w:ascii="宋体" w:hAnsi="宋体" w:eastAsia="宋体"/>
          <w:b w:val="0"/>
          <w:sz w:val="24"/>
        </w:rPr>
        <w:t>│           —— 厚德基金会诉百益社工中心等合同纠纷上诉案 ——                        │</w:t>
      </w:r>
    </w:p>
    <w:p>
      <w:r>
        <w:rPr>
          <w:rFonts w:ascii="宋体" w:hAnsi="宋体" w:eastAsia="宋体"/>
          <w:b w:val="0"/>
          <w:sz w:val="24"/>
        </w:rPr>
        <w:t>│                                                   │</w:t>
      </w:r>
    </w:p>
    <w:p>
      <w:r>
        <w:rPr>
          <w:rFonts w:ascii="宋体" w:hAnsi="宋体" w:eastAsia="宋体"/>
          <w:b w:val="0"/>
          <w:sz w:val="24"/>
        </w:rPr>
        <w:t>│  委托人：贵州省厚德公益基金会                                    │</w:t>
      </w:r>
    </w:p>
    <w:p>
      <w:r>
        <w:rPr>
          <w:rFonts w:ascii="宋体" w:hAnsi="宋体" w:eastAsia="宋体"/>
          <w:b w:val="0"/>
          <w:sz w:val="24"/>
        </w:rPr>
        <w:t>│  检索日期：2026年05月16日                         │</w:t>
      </w:r>
    </w:p>
    <w:p>
      <w:r>
        <w:rPr>
          <w:rFonts w:ascii="宋体" w:hAnsi="宋体" w:eastAsia="宋体"/>
          <w:b w:val="0"/>
          <w:sz w:val="24"/>
        </w:rPr>
        <w:t>│  检索人/出具人：法律检索助手                         │</w:t>
      </w:r>
    </w:p>
    <w:p>
      <w:r>
        <w:rPr>
          <w:rFonts w:ascii="宋体" w:hAnsi="宋体" w:eastAsia="宋体"/>
          <w:b w:val="0"/>
          <w:sz w:val="24"/>
        </w:rPr>
        <w:t>└─────────────────────────────────────────────────┘</w:t>
      </w:r>
    </w:p>
    <w:p>
      <w:pPr>
        <w:pStyle w:val="Heading2"/>
        <w:jc w:val="left"/>
      </w:pPr>
      <w:r>
        <w:rPr>
          <w:rFonts w:ascii="黑体" w:hAnsi="黑体" w:eastAsia="黑体"/>
          <w:b/>
          <w:sz w:val="28"/>
        </w:rPr>
        <w:t>一、检索目的</w:t>
      </w:r>
    </w:p>
    <w:p>
      <w:r>
        <w:rPr>
          <w:rFonts w:ascii="宋体" w:hAnsi="宋体" w:eastAsia="宋体"/>
          <w:b w:val="0"/>
          <w:sz w:val="24"/>
        </w:rPr>
        <w:t>针对贵州省厚德公益基金会（上诉人）诉道真仡佬族苗族自治县百益社会工作服务中心、李丽、李佳豪合同纠纷上诉案，本次检索重点解决以下三个核心法律问题：</w:t>
      </w:r>
    </w:p>
    <w:p>
      <w:pPr>
        <w:pStyle w:val="ListNumber"/>
      </w:pPr>
      <w:r>
        <w:rPr>
          <w:rFonts w:ascii="宋体" w:hAnsi="宋体" w:eastAsia="宋体"/>
          <w:b/>
          <w:sz w:val="24"/>
        </w:rPr>
        <w:t>《经济犯罪嫌疑规定》第11条的错误适用情形</w:t>
      </w:r>
      <w:r>
        <w:rPr>
          <w:rFonts w:ascii="宋体" w:hAnsi="宋体" w:eastAsia="宋体"/>
          <w:b w:val="0"/>
          <w:sz w:val="24"/>
        </w:rPr>
        <w:t>：一审裁定错误适用第11条（裁定驳回起诉），本案应分别审理的法律法规依据和裁判规则</w:t>
      </w:r>
    </w:p>
    <w:p>
      <w:pPr>
        <w:pStyle w:val="ListNumber"/>
      </w:pPr>
      <w:r>
        <w:rPr>
          <w:rFonts w:ascii="宋体" w:hAnsi="宋体" w:eastAsia="宋体"/>
          <w:b/>
          <w:sz w:val="24"/>
        </w:rPr>
        <w:t>九民纪要第128条的适用条件和案例</w:t>
      </w:r>
      <w:r>
        <w:rPr>
          <w:rFonts w:ascii="宋体" w:hAnsi="宋体" w:eastAsia="宋体"/>
          <w:b w:val="0"/>
          <w:sz w:val="24"/>
        </w:rPr>
        <w:t>：行为人以法人名义订立合同涉嫌犯罪，合同相对人请求法人承担民事责任的，应当分别审理的裁判规则</w:t>
      </w:r>
    </w:p>
    <w:p>
      <w:pPr>
        <w:pStyle w:val="ListNumber"/>
      </w:pPr>
      <w:r>
        <w:rPr>
          <w:rFonts w:ascii="宋体" w:hAnsi="宋体" w:eastAsia="宋体"/>
          <w:b/>
          <w:sz w:val="24"/>
        </w:rPr>
        <w:t>一审程序违法（未经质证的事实认定）的二审救济路径</w:t>
      </w:r>
      <w:r>
        <w:rPr>
          <w:rFonts w:ascii="宋体" w:hAnsi="宋体" w:eastAsia="宋体"/>
          <w:b w:val="0"/>
          <w:sz w:val="24"/>
        </w:rPr>
        <w:t>：一审裁定采纳未经举证质证的事实（"百益服务中心与案外人孙某签订《公益理财服务协议》涉嫌经济犯罪"等），二审法院的救济路径和裁判尺度</w:t>
      </w:r>
    </w:p>
    <w:p>
      <w:pPr>
        <w:pStyle w:val="Heading2"/>
        <w:jc w:val="left"/>
      </w:pPr>
      <w:r>
        <w:rPr>
          <w:rFonts w:ascii="黑体" w:hAnsi="黑体" w:eastAsia="黑体"/>
          <w:b/>
          <w:sz w:val="28"/>
        </w:rPr>
        <w:t>二、检索前分析</w:t>
      </w:r>
    </w:p>
    <w:p>
      <w:pPr>
        <w:pStyle w:val="Heading3"/>
        <w:jc w:val="left"/>
      </w:pPr>
      <w:r>
        <w:rPr>
          <w:rFonts w:ascii="黑体" w:hAnsi="黑体" w:eastAsia="黑体"/>
          <w:b/>
          <w:sz w:val="26"/>
        </w:rPr>
        <w:t>（一）核心法律关系</w:t>
      </w:r>
    </w:p>
    <w:p>
      <w:r>
        <w:rPr>
          <w:rFonts w:ascii="宋体" w:hAnsi="宋体" w:eastAsia="宋体"/>
          <w:b/>
          <w:sz w:val="24"/>
        </w:rPr>
        <w:t>本案核心为合同纠纷（公益捐赠/服务合同），同时涉及民刑交叉程序处理问题。</w:t>
      </w:r>
    </w:p>
    <w:p>
      <w:pPr>
        <w:pStyle w:val="ListBullet"/>
      </w:pPr>
      <w:r>
        <w:rPr>
          <w:rFonts w:ascii="宋体" w:hAnsi="宋体" w:eastAsia="宋体"/>
          <w:b/>
          <w:sz w:val="24"/>
        </w:rPr>
        <w:t>主法律关系</w:t>
      </w:r>
      <w:r>
        <w:rPr>
          <w:rFonts w:ascii="宋体" w:hAnsi="宋体" w:eastAsia="宋体"/>
          <w:b w:val="0"/>
          <w:sz w:val="24"/>
        </w:rPr>
        <w:t>：厚德基金会与百益服务中心之间的合同关系（项目合作协议书 + 捐赠协议书）</w:t>
      </w:r>
    </w:p>
    <w:p>
      <w:pPr>
        <w:pStyle w:val="ListBullet"/>
      </w:pPr>
      <w:r>
        <w:rPr>
          <w:rFonts w:ascii="宋体" w:hAnsi="宋体" w:eastAsia="宋体"/>
          <w:b/>
          <w:sz w:val="24"/>
        </w:rPr>
        <w:t>交叉法律关系</w:t>
      </w:r>
      <w:r>
        <w:rPr>
          <w:rFonts w:ascii="宋体" w:hAnsi="宋体" w:eastAsia="宋体"/>
          <w:b w:val="0"/>
          <w:sz w:val="24"/>
        </w:rPr>
        <w:t>：案外人马婵娟涉嫌刑事犯罪与本案是否构成"同一事实"或"同一法律关系"</w:t>
      </w:r>
    </w:p>
    <w:p>
      <w:pPr>
        <w:pStyle w:val="ListBullet"/>
      </w:pPr>
      <w:r>
        <w:rPr>
          <w:rFonts w:ascii="宋体" w:hAnsi="宋体" w:eastAsia="宋体"/>
          <w:b/>
          <w:sz w:val="24"/>
        </w:rPr>
        <w:t>程序法律关系</w:t>
      </w:r>
      <w:r>
        <w:rPr>
          <w:rFonts w:ascii="宋体" w:hAnsi="宋体" w:eastAsia="宋体"/>
          <w:b w:val="0"/>
          <w:sz w:val="24"/>
        </w:rPr>
        <w:t>：一审裁定驳回起诉的裁定是否正确（民诉法第122条起诉条件）</w:t>
      </w:r>
    </w:p>
    <w:p>
      <w:pPr>
        <w:pStyle w:val="ListBullet"/>
      </w:pPr>
      <w:r>
        <w:rPr>
          <w:rFonts w:ascii="宋体" w:hAnsi="宋体" w:eastAsia="宋体"/>
          <w:b/>
          <w:sz w:val="24"/>
        </w:rPr>
        <w:t>核心关键词</w:t>
      </w:r>
      <w:r>
        <w:rPr>
          <w:rFonts w:ascii="宋体" w:hAnsi="宋体" w:eastAsia="宋体"/>
          <w:b w:val="0"/>
          <w:sz w:val="24"/>
        </w:rPr>
        <w:t>：经济犯罪嫌疑规定、第11条、驳回起诉、分别审理、同一事实、同一法律关系、民刑交叉</w:t>
      </w:r>
    </w:p>
    <w:p>
      <w:pPr>
        <w:pStyle w:val="ListBullet"/>
      </w:pPr>
      <w:r>
        <w:rPr>
          <w:rFonts w:ascii="宋体" w:hAnsi="宋体" w:eastAsia="宋体"/>
          <w:b/>
          <w:sz w:val="24"/>
        </w:rPr>
        <w:t>扩展关键词</w:t>
      </w:r>
      <w:r>
        <w:rPr>
          <w:rFonts w:ascii="宋体" w:hAnsi="宋体" w:eastAsia="宋体"/>
          <w:b w:val="0"/>
          <w:sz w:val="24"/>
        </w:rPr>
        <w:t>：九民纪要第128条、合同相对人、法人责任、民刑分别审理、未经质证、程序违法</w:t>
      </w:r>
    </w:p>
    <w:p>
      <w:pPr>
        <w:pStyle w:val="ListBullet"/>
      </w:pPr>
      <w:r>
        <w:rPr>
          <w:rFonts w:ascii="宋体" w:hAnsi="宋体" w:eastAsia="宋体"/>
          <w:b/>
          <w:sz w:val="24"/>
        </w:rPr>
        <w:t>程序关键词</w:t>
      </w:r>
      <w:r>
        <w:rPr>
          <w:rFonts w:ascii="宋体" w:hAnsi="宋体" w:eastAsia="宋体"/>
          <w:b w:val="0"/>
          <w:sz w:val="24"/>
        </w:rPr>
        <w:t>：驳回起诉裁定、二审指令审理、庭审笔录、质证程序、《民事诉讼法》第68条</w:t>
      </w:r>
    </w:p>
    <w:p>
      <w:pPr>
        <w:pStyle w:val="ListBullet"/>
      </w:pPr>
      <w:r>
        <w:rPr>
          <w:rFonts w:ascii="宋体" w:hAnsi="宋体" w:eastAsia="宋体"/>
          <w:b/>
          <w:sz w:val="24"/>
        </w:rPr>
        <w:t>法规层级</w:t>
      </w:r>
      <w:r>
        <w:rPr>
          <w:rFonts w:ascii="宋体" w:hAnsi="宋体" w:eastAsia="宋体"/>
          <w:b w:val="0"/>
          <w:sz w:val="24"/>
        </w:rPr>
        <w:t>：《民法典》合同编；《最高人民法院关于在审理经济纠纷案件中涉及经济犯罪嫌疑若干问题的规定》（2020修正）；《全国法院民商事审判工作会议纪要》（九民纪要，法〔2019〕254号）；《民事诉讼法》及司法解释</w:t>
      </w:r>
    </w:p>
    <w:p>
      <w:pPr>
        <w:pStyle w:val="ListBullet"/>
      </w:pPr>
      <w:r>
        <w:rPr>
          <w:rFonts w:ascii="宋体" w:hAnsi="宋体" w:eastAsia="宋体"/>
          <w:b/>
          <w:sz w:val="24"/>
        </w:rPr>
        <w:t>案例层级</w:t>
      </w:r>
      <w:r>
        <w:rPr>
          <w:rFonts w:ascii="宋体" w:hAnsi="宋体" w:eastAsia="宋体"/>
          <w:b w:val="0"/>
          <w:sz w:val="24"/>
        </w:rPr>
        <w:t>：最高院指导案例 + 最高人民法院判例 + 贵州省高院/中院判例</w:t>
      </w:r>
    </w:p>
    <w:p>
      <w:pPr>
        <w:pStyle w:val="ListBullet"/>
      </w:pPr>
      <w:r>
        <w:rPr>
          <w:rFonts w:ascii="宋体" w:hAnsi="宋体" w:eastAsia="宋体"/>
          <w:b/>
          <w:sz w:val="24"/>
        </w:rPr>
        <w:t>时间范围</w:t>
      </w:r>
      <w:r>
        <w:rPr>
          <w:rFonts w:ascii="宋体" w:hAnsi="宋体" w:eastAsia="宋体"/>
          <w:b w:val="0"/>
          <w:sz w:val="24"/>
        </w:rPr>
        <w:t>：近5年案例（2019-2026），确保裁判尺度时效性</w:t>
      </w:r>
    </w:p>
    <w:p>
      <w:pPr>
        <w:pStyle w:val="ListBullet"/>
      </w:pPr>
      <w:r>
        <w:rPr>
          <w:rFonts w:ascii="宋体" w:hAnsi="宋体" w:eastAsia="宋体"/>
          <w:b/>
          <w:sz w:val="24"/>
        </w:rPr>
        <w:t>地域范围</w:t>
      </w:r>
      <w:r>
        <w:rPr>
          <w:rFonts w:ascii="宋体" w:hAnsi="宋体" w:eastAsia="宋体"/>
          <w:b w:val="0"/>
          <w:sz w:val="24"/>
        </w:rPr>
        <w:t>：优先贵州，兼顾全国</w:t>
      </w:r>
    </w:p>
    <w:p>
      <w:pPr>
        <w:pStyle w:val="Heading2"/>
        <w:jc w:val="left"/>
      </w:pPr>
      <w:r>
        <w:rPr>
          <w:rFonts w:ascii="黑体" w:hAnsi="黑体" w:eastAsia="黑体"/>
          <w:b/>
          <w:sz w:val="28"/>
        </w:rPr>
        <w:t>三、法规摘要</w:t>
      </w:r>
    </w:p>
    <w:p>
      <w:pPr>
        <w:pStyle w:val="Heading3"/>
        <w:jc w:val="left"/>
      </w:pPr>
      <w:r>
        <w:rPr>
          <w:rFonts w:ascii="黑体" w:hAnsi="黑体" w:eastAsia="黑体"/>
          <w:b/>
          <w:sz w:val="26"/>
        </w:rPr>
        <w:t>（一）法律法规研读</w:t>
      </w:r>
    </w:p>
    <w:p>
      <w:pPr>
        <w:pStyle w:val="Heading4"/>
        <w:jc w:val="left"/>
      </w:pPr>
      <w:r>
        <w:rPr>
          <w:rFonts w:ascii="黑体" w:hAnsi="黑体" w:eastAsia="黑体"/>
          <w:b/>
          <w:sz w:val="24"/>
        </w:rPr>
        <w:t>1. 《最高人民法院关于在审理经济纠纷案件中涉及经济犯罪嫌疑若干问题的规定》（2020修正）</w:t>
      </w:r>
    </w:p>
    <w:p>
      <w:r>
        <w:rPr>
          <w:rFonts w:ascii="宋体" w:hAnsi="宋体" w:eastAsia="宋体"/>
          <w:b/>
          <w:sz w:val="24"/>
        </w:rPr>
        <w:t>立法目的</w:t>
      </w:r>
      <w:r>
        <w:rPr>
          <w:rFonts w:ascii="宋体" w:hAnsi="宋体" w:eastAsia="宋体"/>
          <w:b w:val="0"/>
          <w:sz w:val="24"/>
        </w:rPr>
        <w:t>：解决民刑交叉案件的程序处理问题，明确经济纠纷与经济犯罪嫌疑分别处理的边界。</w:t>
      </w:r>
    </w:p>
    <w:p>
      <w:r>
        <w:rPr>
          <w:rFonts w:ascii="宋体" w:hAnsi="宋体" w:eastAsia="宋体"/>
          <w:b/>
          <w:sz w:val="24"/>
        </w:rPr>
        <w:t>核心条款研读</w:t>
      </w:r>
      <w:r>
        <w:rPr>
          <w:rFonts w:ascii="宋体" w:hAnsi="宋体" w:eastAsia="宋体"/>
          <w:b w:val="0"/>
          <w:sz w:val="24"/>
        </w:rPr>
        <w:t>：</w:t>
      </w:r>
    </w:p>
    <w:p>
      <w:pPr>
        <w:ind w:left="567" w:firstLine="0"/>
      </w:pPr>
      <w:r>
        <w:rPr>
          <w:rFonts w:ascii="楷体" w:hAnsi="楷体" w:eastAsia="楷体"/>
          <w:b w:val="0"/>
          <w:sz w:val="22"/>
        </w:rPr>
        <w:t>**第1条**（分开审理原则）：</w:t>
      </w:r>
    </w:p>
    <w:p>
      <w:pPr>
        <w:ind w:left="567" w:firstLine="0"/>
      </w:pPr>
      <w:r>
        <w:rPr>
          <w:rFonts w:ascii="楷体" w:hAnsi="楷体" w:eastAsia="楷体"/>
          <w:b w:val="0"/>
          <w:sz w:val="22"/>
        </w:rPr>
        <w:t>"同一自然人、法人或非法人组织因**不同的法律事实**，分别涉及经济纠纷和经济犯罪嫌疑的，经济纠纷案件和经济犯罪嫌疑案件**应当分开审理**。"</w:t>
      </w:r>
    </w:p>
    <w:p>
      <w:r>
        <w:rPr>
          <w:rFonts w:ascii="宋体" w:hAnsi="宋体" w:eastAsia="宋体"/>
          <w:b/>
          <w:sz w:val="24"/>
        </w:rPr>
        <w:t>适用分析</w:t>
      </w:r>
      <w:r>
        <w:rPr>
          <w:rFonts w:ascii="宋体" w:hAnsi="宋体" w:eastAsia="宋体"/>
          <w:b w:val="0"/>
          <w:sz w:val="24"/>
        </w:rPr>
        <w:t>：</w:t>
      </w:r>
    </w:p>
    <w:p>
      <w:pPr>
        <w:pStyle w:val="ListBullet"/>
      </w:pPr>
      <w:r>
        <w:rPr>
          <w:rFonts w:ascii="宋体" w:hAnsi="宋体" w:eastAsia="宋体"/>
          <w:b w:val="0"/>
          <w:sz w:val="24"/>
        </w:rPr>
        <w:t>适用前提：必须是"</w:t>
      </w:r>
      <w:r>
        <w:rPr>
          <w:rFonts w:ascii="宋体" w:hAnsi="宋体" w:eastAsia="宋体"/>
          <w:b/>
          <w:sz w:val="24"/>
        </w:rPr>
        <w:t>不同法律事实</w:t>
      </w:r>
      <w:r>
        <w:rPr>
          <w:rFonts w:ascii="宋体" w:hAnsi="宋体" w:eastAsia="宋体"/>
          <w:b w:val="0"/>
          <w:sz w:val="24"/>
        </w:rPr>
        <w:t>"（而非同一法律事实）</w:t>
      </w:r>
    </w:p>
    <w:p>
      <w:pPr>
        <w:pStyle w:val="ListBullet"/>
      </w:pPr>
      <w:r>
        <w:rPr>
          <w:rFonts w:ascii="宋体" w:hAnsi="宋体" w:eastAsia="宋体"/>
          <w:b w:val="0"/>
          <w:sz w:val="24"/>
        </w:rPr>
        <w:t xml:space="preserve">本案情形：厚德基金会与百益服务中心之间的合同纠纷（法律事实A）；马婵娟与孙某之间的《公益理财服务协议》（法律事实B）→ </w:t>
      </w:r>
      <w:r>
        <w:rPr>
          <w:rFonts w:ascii="宋体" w:hAnsi="宋体" w:eastAsia="宋体"/>
          <w:b/>
          <w:sz w:val="24"/>
        </w:rPr>
        <w:t>不同法律事实</w:t>
      </w:r>
      <w:r>
        <w:rPr>
          <w:rFonts w:ascii="宋体" w:hAnsi="宋体" w:eastAsia="宋体"/>
          <w:b w:val="0"/>
          <w:sz w:val="24"/>
        </w:rPr>
        <w:t xml:space="preserve"> → 应适用第1条分开审理</w:t>
      </w:r>
    </w:p>
    <w:p>
      <w:pPr>
        <w:pStyle w:val="ListBullet"/>
      </w:pPr>
      <w:r>
        <w:rPr>
          <w:rFonts w:ascii="宋体" w:hAnsi="宋体" w:eastAsia="宋体"/>
          <w:b w:val="0"/>
          <w:sz w:val="24"/>
        </w:rPr>
        <w:t>一审错误：将不同法律事实混同，错误适用第11条</w:t>
      </w:r>
    </w:p>
    <w:p>
      <w:pPr>
        <w:ind w:left="567" w:firstLine="0"/>
      </w:pPr>
      <w:r>
        <w:rPr>
          <w:rFonts w:ascii="楷体" w:hAnsi="楷体" w:eastAsia="楷体"/>
          <w:b w:val="0"/>
          <w:sz w:val="22"/>
        </w:rPr>
        <w:t>"人民法院在审理经济纠纷案件中，发现与本案有牵连，但与本案**不是同一法律关系**的经济犯罪嫌疑线索、材料，应将犯罪嫌疑线索、材料移送有关公安机关或检察机关查处，**经济纠纷案件继续审理**。"</w:t>
      </w:r>
    </w:p>
    <w:p>
      <w:r>
        <w:rPr>
          <w:rFonts w:ascii="宋体" w:hAnsi="宋体" w:eastAsia="宋体"/>
          <w:b/>
          <w:sz w:val="24"/>
        </w:rPr>
        <w:t>适用分析</w:t>
      </w:r>
      <w:r>
        <w:rPr>
          <w:rFonts w:ascii="宋体" w:hAnsi="宋体" w:eastAsia="宋体"/>
          <w:b w:val="0"/>
          <w:sz w:val="24"/>
        </w:rPr>
        <w:t>：</w:t>
      </w:r>
    </w:p>
    <w:p>
      <w:pPr>
        <w:pStyle w:val="ListBullet"/>
      </w:pPr>
      <w:r>
        <w:rPr>
          <w:rFonts w:ascii="宋体" w:hAnsi="宋体" w:eastAsia="宋体"/>
          <w:b w:val="0"/>
          <w:sz w:val="24"/>
        </w:rPr>
        <w:t>适用前提：有牵连，但"</w:t>
      </w:r>
      <w:r>
        <w:rPr>
          <w:rFonts w:ascii="宋体" w:hAnsi="宋体" w:eastAsia="宋体"/>
          <w:b/>
          <w:sz w:val="24"/>
        </w:rPr>
        <w:t>不是同一法律关系</w:t>
      </w:r>
      <w:r>
        <w:rPr>
          <w:rFonts w:ascii="宋体" w:hAnsi="宋体" w:eastAsia="宋体"/>
          <w:b w:val="0"/>
          <w:sz w:val="24"/>
        </w:rPr>
        <w:t>"</w:t>
      </w:r>
    </w:p>
    <w:p>
      <w:pPr>
        <w:pStyle w:val="ListBullet"/>
      </w:pPr>
      <w:r>
        <w:rPr>
          <w:rFonts w:ascii="宋体" w:hAnsi="宋体" w:eastAsia="宋体"/>
          <w:b w:val="0"/>
          <w:sz w:val="24"/>
        </w:rPr>
        <w:t>本案情形：马婵娟涉嫌犯罪与本案有牵连（资金可能流向相同），但法律关系不同 → 应适用第10条，移送犯罪线索，</w:t>
      </w:r>
      <w:r>
        <w:rPr>
          <w:rFonts w:ascii="宋体" w:hAnsi="宋体" w:eastAsia="宋体"/>
          <w:b/>
          <w:sz w:val="24"/>
        </w:rPr>
        <w:t>继续审理</w:t>
      </w:r>
      <w:r>
        <w:rPr>
          <w:rFonts w:ascii="宋体" w:hAnsi="宋体" w:eastAsia="宋体"/>
          <w:b w:val="0"/>
          <w:sz w:val="24"/>
        </w:rPr>
        <w:t>本案</w:t>
      </w:r>
    </w:p>
    <w:p>
      <w:pPr>
        <w:pStyle w:val="ListBullet"/>
      </w:pPr>
      <w:r>
        <w:rPr>
          <w:rFonts w:ascii="宋体" w:hAnsi="宋体" w:eastAsia="宋体"/>
          <w:b w:val="0"/>
          <w:sz w:val="24"/>
        </w:rPr>
        <w:t>一审错误：未区分"同一法律关系"与"有牵连但不同法律关系"，直接驳回起诉</w:t>
      </w:r>
    </w:p>
    <w:p>
      <w:pPr>
        <w:ind w:left="567" w:firstLine="0"/>
      </w:pPr>
      <w:r>
        <w:rPr>
          <w:rFonts w:ascii="楷体" w:hAnsi="楷体" w:eastAsia="楷体"/>
          <w:b w:val="0"/>
          <w:sz w:val="22"/>
        </w:rPr>
        <w:t>"人民法院作为经济纠纷受理的案件，经审理认为**不属经济纠纷案件而有经济犯罪嫌疑的**，应当裁定驳回起诉，将有关材料移送公安机关或检察机关。"</w:t>
      </w:r>
    </w:p>
    <w:p>
      <w:r>
        <w:rPr>
          <w:rFonts w:ascii="宋体" w:hAnsi="宋体" w:eastAsia="宋体"/>
          <w:b/>
          <w:sz w:val="24"/>
        </w:rPr>
        <w:t>适用分析（核心）</w:t>
      </w:r>
      <w:r>
        <w:rPr>
          <w:rFonts w:ascii="宋体" w:hAnsi="宋体" w:eastAsia="宋体"/>
          <w:b w:val="0"/>
          <w:sz w:val="24"/>
        </w:rPr>
        <w:t>：</w:t>
      </w:r>
    </w:p>
    <w:p>
      <w:pPr>
        <w:pStyle w:val="ListBullet"/>
      </w:pPr>
      <w:r>
        <w:rPr>
          <w:rFonts w:ascii="宋体" w:hAnsi="宋体" w:eastAsia="宋体"/>
          <w:b/>
          <w:sz w:val="24"/>
        </w:rPr>
        <w:t>严格适用前提</w:t>
      </w:r>
      <w:r>
        <w:rPr>
          <w:rFonts w:ascii="宋体" w:hAnsi="宋体" w:eastAsia="宋体"/>
          <w:b w:val="0"/>
          <w:sz w:val="24"/>
        </w:rPr>
        <w:t>："</w:t>
      </w:r>
      <w:r>
        <w:rPr>
          <w:rFonts w:ascii="宋体" w:hAnsi="宋体" w:eastAsia="宋体"/>
          <w:b/>
          <w:sz w:val="24"/>
        </w:rPr>
        <w:t>不属经济纠纷案件</w:t>
      </w:r>
      <w:r>
        <w:rPr>
          <w:rFonts w:ascii="宋体" w:hAnsi="宋体" w:eastAsia="宋体"/>
          <w:b w:val="0"/>
          <w:sz w:val="24"/>
        </w:rPr>
        <w:t>"——即整个案件本质上就是刑事案件，而非经济纠纷案件</w:t>
      </w:r>
    </w:p>
    <w:p>
      <w:pPr>
        <w:pStyle w:val="ListBullet"/>
      </w:pPr>
      <w:r>
        <w:rPr>
          <w:rFonts w:ascii="宋体" w:hAnsi="宋体" w:eastAsia="宋体"/>
          <w:b/>
          <w:sz w:val="24"/>
        </w:rPr>
        <w:t>错误适用情形</w:t>
      </w:r>
      <w:r>
        <w:rPr>
          <w:rFonts w:ascii="宋体" w:hAnsi="宋体" w:eastAsia="宋体"/>
          <w:b w:val="0"/>
          <w:sz w:val="24"/>
        </w:rPr>
        <w:t>（本案即属此类）：案件本质上是经济纠纷（合同纠纷），只是与经济犯罪嫌疑有牵连，却错误适用第11条驳回起诉</w:t>
      </w:r>
    </w:p>
    <w:p>
      <w:pPr>
        <w:pStyle w:val="ListBullet"/>
      </w:pPr>
      <w:r>
        <w:rPr>
          <w:rFonts w:ascii="宋体" w:hAnsi="宋体" w:eastAsia="宋体"/>
          <w:b/>
          <w:sz w:val="24"/>
        </w:rPr>
        <w:t>正确适用路径</w:t>
      </w:r>
      <w:r>
        <w:rPr>
          <w:rFonts w:ascii="宋体" w:hAnsi="宋体" w:eastAsia="宋体"/>
          <w:b w:val="0"/>
          <w:sz w:val="24"/>
        </w:rPr>
        <w:t>：如案件本质是经济纠纷，只是发现有经济犯罪嫌疑线索 → 适用第1条或第10条</w:t>
      </w:r>
      <w:r>
        <w:rPr>
          <w:rFonts w:ascii="宋体" w:hAnsi="宋体" w:eastAsia="宋体"/>
          <w:b/>
          <w:sz w:val="24"/>
        </w:rPr>
        <w:t>分别审理</w:t>
      </w:r>
      <w:r>
        <w:rPr>
          <w:rFonts w:ascii="宋体" w:hAnsi="宋体" w:eastAsia="宋体"/>
          <w:b w:val="0"/>
          <w:sz w:val="24"/>
        </w:rPr>
        <w:t>，而非第11条</w:t>
      </w:r>
      <w:r>
        <w:rPr>
          <w:rFonts w:ascii="宋体" w:hAnsi="宋体" w:eastAsia="宋体"/>
          <w:b/>
          <w:sz w:val="24"/>
        </w:rPr>
        <w:t>驳回起诉</w:t>
      </w:r>
    </w:p>
    <w:p>
      <w:pPr>
        <w:pStyle w:val="ListBullet"/>
      </w:pPr>
      <w:r>
        <w:rPr>
          <w:rFonts w:ascii="宋体" w:hAnsi="宋体" w:eastAsia="宋体"/>
          <w:b/>
          <w:sz w:val="24"/>
        </w:rPr>
        <w:t>最高人民法院裁判观点</w:t>
      </w:r>
      <w:r>
        <w:rPr>
          <w:rFonts w:ascii="宋体" w:hAnsi="宋体" w:eastAsia="宋体"/>
          <w:b w:val="0"/>
          <w:sz w:val="24"/>
        </w:rPr>
        <w:t>：第11条的适用必须严格限定在"</w:t>
      </w:r>
      <w:r>
        <w:rPr>
          <w:rFonts w:ascii="宋体" w:hAnsi="宋体" w:eastAsia="宋体"/>
          <w:b/>
          <w:sz w:val="24"/>
        </w:rPr>
        <w:t>不属经济纠纷</w:t>
      </w:r>
      <w:r>
        <w:rPr>
          <w:rFonts w:ascii="宋体" w:hAnsi="宋体" w:eastAsia="宋体"/>
          <w:b w:val="0"/>
          <w:sz w:val="24"/>
        </w:rPr>
        <w:t>"的情形，不能扩大适用</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条款</w:t>
            </w:r>
          </w:p>
        </w:tc>
        <w:tc>
          <w:tcPr>
            <w:tcW w:type="dxa" w:w="2161"/>
          </w:tcPr>
          <w:p>
            <w:pPr>
              <w:jc w:val="center"/>
            </w:pPr>
            <w:r>
              <w:rPr>
                <w:rFonts w:ascii="黑体" w:hAnsi="黑体" w:eastAsia="黑体"/>
                <w:b/>
                <w:sz w:val="20"/>
              </w:rPr>
              <w:t>适用情形</w:t>
            </w:r>
          </w:p>
        </w:tc>
        <w:tc>
          <w:tcPr>
            <w:tcW w:type="dxa" w:w="2161"/>
          </w:tcPr>
          <w:p>
            <w:pPr>
              <w:jc w:val="center"/>
            </w:pPr>
            <w:r>
              <w:rPr>
                <w:rFonts w:ascii="黑体" w:hAnsi="黑体" w:eastAsia="黑体"/>
                <w:b/>
                <w:sz w:val="20"/>
              </w:rPr>
              <w:t>处理结果</w:t>
            </w:r>
          </w:p>
        </w:tc>
        <w:tc>
          <w:tcPr>
            <w:tcW w:type="dxa" w:w="2161"/>
          </w:tcPr>
          <w:p>
            <w:pPr>
              <w:jc w:val="center"/>
            </w:pPr>
            <w:r>
              <w:rPr>
                <w:rFonts w:ascii="黑体" w:hAnsi="黑体" w:eastAsia="黑体"/>
                <w:b/>
                <w:sz w:val="20"/>
              </w:rPr>
              <w:t>本案是否适用</w:t>
            </w:r>
          </w:p>
        </w:tc>
      </w:tr>
      <w:tr>
        <w:tc>
          <w:tcPr>
            <w:tcW w:type="dxa" w:w="2161"/>
          </w:tcPr>
          <w:p>
            <w:r>
              <w:rPr>
                <w:rFonts w:ascii="宋体" w:hAnsi="宋体" w:eastAsia="宋体"/>
                <w:b w:val="0"/>
                <w:sz w:val="20"/>
              </w:rPr>
              <w:t>第1条</w:t>
            </w:r>
          </w:p>
        </w:tc>
        <w:tc>
          <w:tcPr>
            <w:tcW w:type="dxa" w:w="2161"/>
          </w:tcPr>
          <w:p>
            <w:r>
              <w:rPr>
                <w:rFonts w:ascii="宋体" w:hAnsi="宋体" w:eastAsia="宋体"/>
                <w:b w:val="0"/>
                <w:sz w:val="20"/>
              </w:rPr>
              <w:t>因</w:t>
            </w:r>
            <w:r>
              <w:rPr>
                <w:rFonts w:ascii="宋体" w:hAnsi="宋体" w:eastAsia="宋体"/>
                <w:b/>
                <w:sz w:val="20"/>
              </w:rPr>
              <w:t>不同法律事实</w:t>
            </w:r>
            <w:r>
              <w:rPr>
                <w:rFonts w:ascii="宋体" w:hAnsi="宋体" w:eastAsia="宋体"/>
                <w:b w:val="0"/>
                <w:sz w:val="20"/>
              </w:rPr>
              <w:t>分别涉及经济纠纷和经济犯罪嫌疑</w:t>
            </w:r>
          </w:p>
        </w:tc>
        <w:tc>
          <w:tcPr>
            <w:tcW w:type="dxa" w:w="2161"/>
          </w:tcPr>
          <w:p>
            <w:r>
              <w:rPr>
                <w:rFonts w:ascii="宋体" w:hAnsi="宋体" w:eastAsia="宋体"/>
                <w:b/>
                <w:sz w:val="20"/>
              </w:rPr>
              <w:t>分开审理</w:t>
            </w:r>
          </w:p>
        </w:tc>
        <w:tc>
          <w:tcPr>
            <w:tcW w:type="dxa" w:w="2161"/>
          </w:tcPr>
          <w:p>
            <w:r>
              <w:rPr>
                <w:rFonts w:ascii="宋体" w:hAnsi="宋体" w:eastAsia="宋体"/>
                <w:b w:val="0"/>
                <w:sz w:val="20"/>
              </w:rPr>
              <w:t xml:space="preserve">✅ </w:t>
            </w:r>
            <w:r>
              <w:rPr>
                <w:rFonts w:ascii="宋体" w:hAnsi="宋体" w:eastAsia="宋体"/>
                <w:b/>
                <w:sz w:val="20"/>
              </w:rPr>
              <w:t>应当适用</w:t>
            </w:r>
          </w:p>
        </w:tc>
      </w:tr>
      <w:tr>
        <w:tc>
          <w:tcPr>
            <w:tcW w:type="dxa" w:w="2161"/>
          </w:tcPr>
          <w:p>
            <w:r>
              <w:rPr>
                <w:rFonts w:ascii="宋体" w:hAnsi="宋体" w:eastAsia="宋体"/>
                <w:b w:val="0"/>
                <w:sz w:val="20"/>
              </w:rPr>
              <w:t>第10条</w:t>
            </w:r>
          </w:p>
        </w:tc>
        <w:tc>
          <w:tcPr>
            <w:tcW w:type="dxa" w:w="2161"/>
          </w:tcPr>
          <w:p>
            <w:r>
              <w:rPr>
                <w:rFonts w:ascii="宋体" w:hAnsi="宋体" w:eastAsia="宋体"/>
                <w:b w:val="0"/>
                <w:sz w:val="20"/>
              </w:rPr>
              <w:t>有牵连但</w:t>
            </w:r>
            <w:r>
              <w:rPr>
                <w:rFonts w:ascii="宋体" w:hAnsi="宋体" w:eastAsia="宋体"/>
                <w:b/>
                <w:sz w:val="20"/>
              </w:rPr>
              <w:t>不是同一法律关系</w:t>
            </w:r>
            <w:r>
              <w:rPr>
                <w:rFonts w:ascii="宋体" w:hAnsi="宋体" w:eastAsia="宋体"/>
                <w:b w:val="0"/>
                <w:sz w:val="20"/>
              </w:rPr>
              <w:t>的经济犯罪嫌疑线索</w:t>
            </w:r>
          </w:p>
        </w:tc>
        <w:tc>
          <w:tcPr>
            <w:tcW w:type="dxa" w:w="2161"/>
          </w:tcPr>
          <w:p>
            <w:r>
              <w:rPr>
                <w:rFonts w:ascii="宋体" w:hAnsi="宋体" w:eastAsia="宋体"/>
                <w:b w:val="0"/>
                <w:sz w:val="20"/>
              </w:rPr>
              <w:t>移送线索，</w:t>
            </w:r>
            <w:r>
              <w:rPr>
                <w:rFonts w:ascii="宋体" w:hAnsi="宋体" w:eastAsia="宋体"/>
                <w:b/>
                <w:sz w:val="20"/>
              </w:rPr>
              <w:t>继续审理</w:t>
            </w:r>
          </w:p>
        </w:tc>
        <w:tc>
          <w:tcPr>
            <w:tcW w:type="dxa" w:w="2161"/>
          </w:tcPr>
          <w:p>
            <w:r>
              <w:rPr>
                <w:rFonts w:ascii="宋体" w:hAnsi="宋体" w:eastAsia="宋体"/>
                <w:b w:val="0"/>
                <w:sz w:val="20"/>
              </w:rPr>
              <w:t xml:space="preserve">✅ </w:t>
            </w:r>
            <w:r>
              <w:rPr>
                <w:rFonts w:ascii="宋体" w:hAnsi="宋体" w:eastAsia="宋体"/>
                <w:b/>
                <w:sz w:val="20"/>
              </w:rPr>
              <w:t>应当适用</w:t>
            </w:r>
          </w:p>
        </w:tc>
      </w:tr>
      <w:tr>
        <w:tc>
          <w:tcPr>
            <w:tcW w:type="dxa" w:w="2161"/>
          </w:tcPr>
          <w:p>
            <w:r>
              <w:rPr>
                <w:rFonts w:ascii="宋体" w:hAnsi="宋体" w:eastAsia="宋体"/>
                <w:b w:val="0"/>
                <w:sz w:val="20"/>
              </w:rPr>
              <w:t>第11条</w:t>
            </w:r>
          </w:p>
        </w:tc>
        <w:tc>
          <w:tcPr>
            <w:tcW w:type="dxa" w:w="2161"/>
          </w:tcPr>
          <w:p>
            <w:r>
              <w:rPr>
                <w:rFonts w:ascii="宋体" w:hAnsi="宋体" w:eastAsia="宋体"/>
                <w:b/>
                <w:sz w:val="20"/>
              </w:rPr>
              <w:t>不属经济纠纷</w:t>
            </w:r>
            <w:r>
              <w:rPr>
                <w:rFonts w:ascii="宋体" w:hAnsi="宋体" w:eastAsia="宋体"/>
                <w:b w:val="0"/>
                <w:sz w:val="20"/>
              </w:rPr>
              <w:t>而有经济犯罪嫌疑</w:t>
            </w:r>
          </w:p>
        </w:tc>
        <w:tc>
          <w:tcPr>
            <w:tcW w:type="dxa" w:w="2161"/>
          </w:tcPr>
          <w:p>
            <w:r>
              <w:rPr>
                <w:rFonts w:ascii="宋体" w:hAnsi="宋体" w:eastAsia="宋体"/>
                <w:b/>
                <w:sz w:val="20"/>
              </w:rPr>
              <w:t>驳回起诉</w:t>
            </w:r>
            <w:r>
              <w:rPr>
                <w:rFonts w:ascii="宋体" w:hAnsi="宋体" w:eastAsia="宋体"/>
                <w:b w:val="0"/>
                <w:sz w:val="20"/>
              </w:rPr>
              <w:t>，移送</w:t>
            </w:r>
          </w:p>
        </w:tc>
        <w:tc>
          <w:tcPr>
            <w:tcW w:type="dxa" w:w="2161"/>
          </w:tcPr>
          <w:p>
            <w:r>
              <w:rPr>
                <w:rFonts w:ascii="宋体" w:hAnsi="宋体" w:eastAsia="宋体"/>
                <w:b w:val="0"/>
                <w:sz w:val="20"/>
              </w:rPr>
              <w:t xml:space="preserve">❌ </w:t>
            </w:r>
            <w:r>
              <w:rPr>
                <w:rFonts w:ascii="宋体" w:hAnsi="宋体" w:eastAsia="宋体"/>
                <w:b/>
                <w:sz w:val="20"/>
              </w:rPr>
              <w:t>错误适用</w:t>
            </w:r>
            <w:r>
              <w:rPr>
                <w:rFonts w:ascii="宋体" w:hAnsi="宋体" w:eastAsia="宋体"/>
                <w:b w:val="0"/>
                <w:sz w:val="20"/>
              </w:rPr>
              <w:t>（本案是经济纠纷）</w:t>
            </w:r>
          </w:p>
        </w:tc>
      </w:tr>
    </w:tbl>
    <w:p>
      <w:pPr>
        <w:ind w:left="567" w:firstLine="0"/>
      </w:pPr>
      <w:r>
        <w:rPr>
          <w:rFonts w:ascii="楷体" w:hAnsi="楷体" w:eastAsia="楷体"/>
          <w:b w:val="0"/>
          <w:sz w:val="22"/>
        </w:rPr>
        <w:t>**第128条**【分别审理】：</w:t>
      </w:r>
    </w:p>
    <w:p>
      <w:pPr>
        <w:ind w:left="567" w:firstLine="0"/>
      </w:pPr>
      <w:r>
        <w:rPr>
          <w:rFonts w:ascii="楷体" w:hAnsi="楷体" w:eastAsia="楷体"/>
          <w:b w:val="0"/>
          <w:sz w:val="22"/>
        </w:rPr>
        <w:t>"同一当事人因不同事实分别发生民商事纠纷和涉嫌刑事犯罪，民商事案件与刑事案件**应当分别审理**，主要有下列情形：</w:t>
      </w:r>
    </w:p>
    <w:p>
      <w:pPr>
        <w:ind w:left="567" w:firstLine="0"/>
      </w:pPr>
      <w:r>
        <w:rPr>
          <w:rFonts w:ascii="楷体" w:hAnsi="楷体" w:eastAsia="楷体"/>
          <w:b w:val="0"/>
          <w:sz w:val="22"/>
        </w:rPr>
        <w:t>**（2）行为人以法人、非法人组织或者他人名义订立合同的行为涉嫌刑事犯罪或者刑事裁判认定其构成犯罪，合同相对人请求该法人、非法人组织或者他人承担民事责任的；**</w:t>
      </w:r>
    </w:p>
    <w:p>
      <w:pPr>
        <w:ind w:left="567" w:firstLine="0"/>
      </w:pPr>
      <w:r>
        <w:rPr>
          <w:rFonts w:ascii="楷体" w:hAnsi="楷体" w:eastAsia="楷体"/>
          <w:b w:val="0"/>
          <w:sz w:val="22"/>
        </w:rPr>
        <w:t>..."</w:t>
      </w:r>
    </w:p>
    <w:p>
      <w:r>
        <w:rPr>
          <w:rFonts w:ascii="宋体" w:hAnsi="宋体" w:eastAsia="宋体"/>
          <w:b/>
          <w:sz w:val="24"/>
        </w:rPr>
        <w:t>适用分析</w:t>
      </w:r>
      <w:r>
        <w:rPr>
          <w:rFonts w:ascii="宋体" w:hAnsi="宋体" w:eastAsia="宋体"/>
          <w:b w:val="0"/>
          <w:sz w:val="24"/>
        </w:rPr>
        <w:t>：</w:t>
      </w:r>
    </w:p>
    <w:p>
      <w:pPr>
        <w:pStyle w:val="ListBullet"/>
      </w:pPr>
      <w:r>
        <w:rPr>
          <w:rFonts w:ascii="宋体" w:hAnsi="宋体" w:eastAsia="宋体"/>
          <w:b/>
          <w:sz w:val="24"/>
        </w:rPr>
        <w:t>核心要件</w:t>
      </w:r>
      <w:r>
        <w:rPr>
          <w:rFonts w:ascii="宋体" w:hAnsi="宋体" w:eastAsia="宋体"/>
          <w:b w:val="0"/>
          <w:sz w:val="24"/>
        </w:rPr>
        <w:t>：行为人以法人名义订立合同 → 涉嫌犯罪 → 合同相对人请求</w:t>
      </w:r>
      <w:r>
        <w:rPr>
          <w:rFonts w:ascii="宋体" w:hAnsi="宋体" w:eastAsia="宋体"/>
          <w:b/>
          <w:sz w:val="24"/>
        </w:rPr>
        <w:t>法人</w:t>
      </w:r>
      <w:r>
        <w:rPr>
          <w:rFonts w:ascii="宋体" w:hAnsi="宋体" w:eastAsia="宋体"/>
          <w:b w:val="0"/>
          <w:sz w:val="24"/>
        </w:rPr>
        <w:t xml:space="preserve">承担民事责任 → </w:t>
      </w:r>
      <w:r>
        <w:rPr>
          <w:rFonts w:ascii="宋体" w:hAnsi="宋体" w:eastAsia="宋体"/>
          <w:b/>
          <w:sz w:val="24"/>
        </w:rPr>
        <w:t>应当分别审理</w:t>
      </w:r>
    </w:p>
    <w:p>
      <w:pPr>
        <w:pStyle w:val="ListBullet"/>
      </w:pPr>
      <w:r>
        <w:rPr>
          <w:rFonts w:ascii="宋体" w:hAnsi="宋体" w:eastAsia="宋体"/>
          <w:b/>
          <w:sz w:val="24"/>
        </w:rPr>
        <w:t>本案情形</w:t>
      </w:r>
      <w:r>
        <w:rPr>
          <w:rFonts w:ascii="宋体" w:hAnsi="宋体" w:eastAsia="宋体"/>
          <w:b w:val="0"/>
          <w:sz w:val="24"/>
        </w:rPr>
        <w:t>：</w:t>
      </w:r>
    </w:p>
    <w:p>
      <w:r>
        <w:rPr>
          <w:rFonts w:ascii="宋体" w:hAnsi="宋体" w:eastAsia="宋体"/>
          <w:b w:val="0"/>
          <w:sz w:val="24"/>
        </w:rPr>
        <w:t>- 以法人名义：以百益服务中心名义与厚德基金会签订合同</w:t>
      </w:r>
    </w:p>
    <w:p>
      <w:r>
        <w:rPr>
          <w:rFonts w:ascii="宋体" w:hAnsi="宋体" w:eastAsia="宋体"/>
          <w:b w:val="0"/>
          <w:sz w:val="24"/>
        </w:rPr>
        <w:t>- 涉嫌犯罪：马婵娟可能涉嫌刑事犯罪</w:t>
      </w:r>
    </w:p>
    <w:p>
      <w:r>
        <w:rPr>
          <w:rFonts w:ascii="宋体" w:hAnsi="宋体" w:eastAsia="宋体"/>
          <w:b w:val="0"/>
          <w:sz w:val="24"/>
        </w:rPr>
        <w:t>- 合同相对人：厚德基金会</w:t>
      </w:r>
    </w:p>
    <w:p>
      <w:r>
        <w:rPr>
          <w:rFonts w:ascii="宋体" w:hAnsi="宋体" w:eastAsia="宋体"/>
          <w:b w:val="0"/>
          <w:sz w:val="24"/>
        </w:rPr>
        <w:t>- 请求对象：百益服务中心（法人）承担民事责任</w:t>
      </w:r>
    </w:p>
    <w:p>
      <w:r>
        <w:rPr>
          <w:rFonts w:ascii="宋体" w:hAnsi="宋体" w:eastAsia="宋体"/>
          <w:b w:val="0"/>
          <w:sz w:val="24"/>
        </w:rPr>
        <w:t xml:space="preserve">- </w:t>
      </w:r>
      <w:r>
        <w:rPr>
          <w:rFonts w:ascii="宋体" w:hAnsi="宋体" w:eastAsia="宋体"/>
          <w:b/>
          <w:sz w:val="24"/>
        </w:rPr>
        <w:t>结论</w:t>
      </w:r>
      <w:r>
        <w:rPr>
          <w:rFonts w:ascii="宋体" w:hAnsi="宋体" w:eastAsia="宋体"/>
          <w:b w:val="0"/>
          <w:sz w:val="24"/>
        </w:rPr>
        <w:t xml:space="preserve">：完全符合九民纪要第128条第(2)项情形 → </w:t>
      </w:r>
      <w:r>
        <w:rPr>
          <w:rFonts w:ascii="宋体" w:hAnsi="宋体" w:eastAsia="宋体"/>
          <w:b/>
          <w:sz w:val="24"/>
        </w:rPr>
        <w:t>应当分别审理</w:t>
      </w:r>
    </w:p>
    <w:p>
      <w:pPr>
        <w:pStyle w:val="ListBullet"/>
      </w:pPr>
      <w:r>
        <w:rPr>
          <w:rFonts w:ascii="宋体" w:hAnsi="宋体" w:eastAsia="宋体"/>
          <w:b/>
          <w:sz w:val="24"/>
        </w:rPr>
        <w:t>一审错误</w:t>
      </w:r>
      <w:r>
        <w:rPr>
          <w:rFonts w:ascii="宋体" w:hAnsi="宋体" w:eastAsia="宋体"/>
          <w:b w:val="0"/>
          <w:sz w:val="24"/>
        </w:rPr>
        <w:t>：未适用九民纪要第128条，错误适用《经济犯罪嫌疑规定》第11条</w:t>
      </w:r>
    </w:p>
    <w:p>
      <w:r>
        <w:rPr>
          <w:rFonts w:ascii="宋体" w:hAnsi="宋体" w:eastAsia="宋体"/>
          <w:b/>
          <w:sz w:val="24"/>
        </w:rPr>
        <w:t>九民纪要的效力</w:t>
      </w:r>
      <w:r>
        <w:rPr>
          <w:rFonts w:ascii="宋体" w:hAnsi="宋体" w:eastAsia="宋体"/>
          <w:b w:val="0"/>
          <w:sz w:val="24"/>
        </w:rPr>
        <w:t>：</w:t>
      </w:r>
    </w:p>
    <w:p>
      <w:pPr>
        <w:pStyle w:val="ListBullet"/>
      </w:pPr>
      <w:r>
        <w:rPr>
          <w:rFonts w:ascii="宋体" w:hAnsi="宋体" w:eastAsia="宋体"/>
          <w:b w:val="0"/>
          <w:sz w:val="24"/>
        </w:rPr>
        <w:t>九民纪要是最高人民法院发布的</w:t>
      </w:r>
      <w:r>
        <w:rPr>
          <w:rFonts w:ascii="宋体" w:hAnsi="宋体" w:eastAsia="宋体"/>
          <w:b/>
          <w:sz w:val="24"/>
        </w:rPr>
        <w:t>规范性文件</w:t>
      </w:r>
      <w:r>
        <w:rPr>
          <w:rFonts w:ascii="宋体" w:hAnsi="宋体" w:eastAsia="宋体"/>
          <w:b w:val="0"/>
          <w:sz w:val="24"/>
        </w:rPr>
        <w:t>，对全国法院审判工作具有重要指导作用</w:t>
      </w:r>
    </w:p>
    <w:p>
      <w:pPr>
        <w:pStyle w:val="ListBullet"/>
      </w:pPr>
      <w:r>
        <w:rPr>
          <w:rFonts w:ascii="宋体" w:hAnsi="宋体" w:eastAsia="宋体"/>
          <w:b w:val="0"/>
          <w:sz w:val="24"/>
        </w:rPr>
        <w:t>虽然不是司法解释，但各级法院在审判实践中</w:t>
      </w:r>
      <w:r>
        <w:rPr>
          <w:rFonts w:ascii="宋体" w:hAnsi="宋体" w:eastAsia="宋体"/>
          <w:b/>
          <w:sz w:val="24"/>
        </w:rPr>
        <w:t>应当参照适用</w:t>
      </w:r>
    </w:p>
    <w:p>
      <w:pPr>
        <w:pStyle w:val="ListBullet"/>
      </w:pPr>
      <w:r>
        <w:rPr>
          <w:rFonts w:ascii="宋体" w:hAnsi="宋体" w:eastAsia="宋体"/>
          <w:b w:val="0"/>
          <w:sz w:val="24"/>
        </w:rPr>
        <w:t>2019年11月8日发布后，全国法院已普遍参照适用第128条的分别审理规则</w:t>
      </w:r>
    </w:p>
    <w:p>
      <w:pPr>
        <w:ind w:left="567" w:firstLine="0"/>
      </w:pPr>
      <w:r>
        <w:rPr>
          <w:rFonts w:ascii="楷体" w:hAnsi="楷体" w:eastAsia="楷体"/>
          <w:b w:val="0"/>
          <w:sz w:val="22"/>
        </w:rPr>
        <w:t>"起诉必须符合下列条件：</w:t>
      </w:r>
    </w:p>
    <w:p>
      <w:pPr>
        <w:ind w:left="567" w:firstLine="0"/>
      </w:pPr>
      <w:r>
        <w:rPr>
          <w:rFonts w:ascii="楷体" w:hAnsi="楷体" w:eastAsia="楷体"/>
          <w:b w:val="0"/>
          <w:sz w:val="22"/>
        </w:rPr>
        <w:t>（一）原告是与本案有直接利害关系的公民、法人和其他组织；</w:t>
      </w:r>
    </w:p>
    <w:p>
      <w:pPr>
        <w:ind w:left="567" w:firstLine="0"/>
      </w:pPr>
      <w:r>
        <w:rPr>
          <w:rFonts w:ascii="楷体" w:hAnsi="楷体" w:eastAsia="楷体"/>
          <w:b w:val="0"/>
          <w:sz w:val="22"/>
        </w:rPr>
        <w:t>（二）有明确的被告；</w:t>
      </w:r>
    </w:p>
    <w:p>
      <w:pPr>
        <w:ind w:left="567" w:firstLine="0"/>
      </w:pPr>
      <w:r>
        <w:rPr>
          <w:rFonts w:ascii="楷体" w:hAnsi="楷体" w:eastAsia="楷体"/>
          <w:b w:val="0"/>
          <w:sz w:val="22"/>
        </w:rPr>
        <w:t>（三）有具体的诉讼请求和事实、理由；</w:t>
      </w:r>
    </w:p>
    <w:p>
      <w:pPr>
        <w:ind w:left="567" w:firstLine="0"/>
      </w:pPr>
      <w:r>
        <w:rPr>
          <w:rFonts w:ascii="楷体" w:hAnsi="楷体" w:eastAsia="楷体"/>
          <w:b w:val="0"/>
          <w:sz w:val="22"/>
        </w:rPr>
        <w:t>（四）属于人民法院受理民事诉讼的范围和受诉人民法院管辖。"</w:t>
      </w:r>
    </w:p>
    <w:p>
      <w:r>
        <w:rPr>
          <w:rFonts w:ascii="宋体" w:hAnsi="宋体" w:eastAsia="宋体"/>
          <w:b/>
          <w:sz w:val="24"/>
        </w:rPr>
        <w:t>适用分析</w:t>
      </w:r>
      <w:r>
        <w:rPr>
          <w:rFonts w:ascii="宋体" w:hAnsi="宋体" w:eastAsia="宋体"/>
          <w:b w:val="0"/>
          <w:sz w:val="24"/>
        </w:rPr>
        <w:t>：</w:t>
      </w:r>
    </w:p>
    <w:p>
      <w:pPr>
        <w:pStyle w:val="ListBullet"/>
      </w:pPr>
      <w:r>
        <w:rPr>
          <w:rFonts w:ascii="宋体" w:hAnsi="宋体" w:eastAsia="宋体"/>
          <w:b w:val="0"/>
          <w:sz w:val="24"/>
        </w:rPr>
        <w:t>厚德基金会起诉完全符合上述四个条件 → 一审法院</w:t>
      </w:r>
      <w:r>
        <w:rPr>
          <w:rFonts w:ascii="宋体" w:hAnsi="宋体" w:eastAsia="宋体"/>
          <w:b/>
          <w:sz w:val="24"/>
        </w:rPr>
        <w:t>应当审理</w:t>
      </w:r>
      <w:r>
        <w:rPr>
          <w:rFonts w:ascii="宋体" w:hAnsi="宋体" w:eastAsia="宋体"/>
          <w:b w:val="0"/>
          <w:sz w:val="24"/>
        </w:rPr>
        <w:t>，而非驳回起诉</w:t>
      </w:r>
    </w:p>
    <w:p>
      <w:pPr>
        <w:pStyle w:val="ListBullet"/>
      </w:pPr>
      <w:r>
        <w:rPr>
          <w:rFonts w:ascii="宋体" w:hAnsi="宋体" w:eastAsia="宋体"/>
          <w:b w:val="0"/>
          <w:sz w:val="24"/>
        </w:rPr>
        <w:t>一审裁定以"涉嫌经济犯罪"为由驳回起诉，实质上是将</w:t>
      </w:r>
      <w:r>
        <w:rPr>
          <w:rFonts w:ascii="宋体" w:hAnsi="宋体" w:eastAsia="宋体"/>
          <w:b/>
          <w:sz w:val="24"/>
        </w:rPr>
        <w:t>实体审理中才发现的问题</w:t>
      </w:r>
      <w:r>
        <w:rPr>
          <w:rFonts w:ascii="宋体" w:hAnsi="宋体" w:eastAsia="宋体"/>
          <w:b w:val="0"/>
          <w:sz w:val="24"/>
        </w:rPr>
        <w:t>（是否涉及犯罪）在</w:t>
      </w:r>
      <w:r>
        <w:rPr>
          <w:rFonts w:ascii="宋体" w:hAnsi="宋体" w:eastAsia="宋体"/>
          <w:b/>
          <w:sz w:val="24"/>
        </w:rPr>
        <w:t>立案/驳回起诉阶段</w:t>
      </w:r>
      <w:r>
        <w:rPr>
          <w:rFonts w:ascii="宋体" w:hAnsi="宋体" w:eastAsia="宋体"/>
          <w:b w:val="0"/>
          <w:sz w:val="24"/>
        </w:rPr>
        <w:t>就提前处理，属于程序适用错误</w:t>
      </w:r>
    </w:p>
    <w:p>
      <w:pPr>
        <w:pStyle w:val="Heading4"/>
        <w:jc w:val="left"/>
      </w:pPr>
      <w:r>
        <w:rPr>
          <w:rFonts w:ascii="黑体" w:hAnsi="黑体" w:eastAsia="黑体"/>
          <w:b/>
          <w:sz w:val="24"/>
        </w:rPr>
        <w:t>4. 《民事诉讼法》第68条（证据质证程序）</w:t>
      </w:r>
    </w:p>
    <w:p>
      <w:pPr>
        <w:ind w:left="567" w:firstLine="0"/>
      </w:pPr>
      <w:r>
        <w:rPr>
          <w:rFonts w:ascii="楷体" w:hAnsi="楷体" w:eastAsia="楷体"/>
          <w:b w:val="0"/>
          <w:sz w:val="22"/>
        </w:rPr>
        <w:t>"证据应当在法庭上出示，并由当事人互相质证。"</w:t>
      </w:r>
    </w:p>
    <w:p>
      <w:r>
        <w:rPr>
          <w:rFonts w:ascii="宋体" w:hAnsi="宋体" w:eastAsia="宋体"/>
          <w:b/>
          <w:sz w:val="24"/>
        </w:rPr>
        <w:t>适用分析</w:t>
      </w:r>
      <w:r>
        <w:rPr>
          <w:rFonts w:ascii="宋体" w:hAnsi="宋体" w:eastAsia="宋体"/>
          <w:b w:val="0"/>
          <w:sz w:val="24"/>
        </w:rPr>
        <w:t>：</w:t>
      </w:r>
    </w:p>
    <w:p>
      <w:pPr>
        <w:pStyle w:val="ListBullet"/>
      </w:pPr>
      <w:r>
        <w:rPr>
          <w:rFonts w:ascii="宋体" w:hAnsi="宋体" w:eastAsia="宋体"/>
          <w:b w:val="0"/>
          <w:sz w:val="24"/>
        </w:rPr>
        <w:t>一审裁定采纳的"百益服务中心与案外人孙某签订《公益理财服务协议》涉嫌经济犯罪"事实，</w:t>
      </w:r>
      <w:r>
        <w:rPr>
          <w:rFonts w:ascii="宋体" w:hAnsi="宋体" w:eastAsia="宋体"/>
          <w:b/>
          <w:sz w:val="24"/>
        </w:rPr>
        <w:t>既未经举证，也未经质证</w:t>
      </w:r>
    </w:p>
    <w:p>
      <w:pPr>
        <w:pStyle w:val="ListBullet"/>
      </w:pPr>
      <w:r>
        <w:rPr>
          <w:rFonts w:ascii="宋体" w:hAnsi="宋体" w:eastAsia="宋体"/>
          <w:b w:val="0"/>
          <w:sz w:val="24"/>
        </w:rPr>
        <w:t>根据2025年2月25日《庭审笔录》，庭审中双方均未提交《公益理财服务协议》，法官也未就该协议组织质证</w:t>
      </w:r>
    </w:p>
    <w:p>
      <w:pPr>
        <w:pStyle w:val="ListBullet"/>
      </w:pPr>
      <w:r>
        <w:rPr>
          <w:rFonts w:ascii="宋体" w:hAnsi="宋体" w:eastAsia="宋体"/>
          <w:b/>
          <w:sz w:val="24"/>
        </w:rPr>
        <w:t>程序违法性质</w:t>
      </w:r>
      <w:r>
        <w:rPr>
          <w:rFonts w:ascii="宋体" w:hAnsi="宋体" w:eastAsia="宋体"/>
          <w:b w:val="0"/>
          <w:sz w:val="24"/>
        </w:rPr>
        <w:t>：一审裁定依据未经质证的事实认定案件涉嫌经济犯罪，严重违反法定质证程序</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序号</w:t>
            </w:r>
          </w:p>
        </w:tc>
        <w:tc>
          <w:tcPr>
            <w:tcW w:type="dxa" w:w="2161"/>
          </w:tcPr>
          <w:p>
            <w:pPr>
              <w:jc w:val="center"/>
            </w:pPr>
            <w:r>
              <w:rPr>
                <w:rFonts w:ascii="黑体" w:hAnsi="黑体" w:eastAsia="黑体"/>
                <w:b/>
                <w:sz w:val="20"/>
              </w:rPr>
              <w:t>法规名称</w:t>
            </w:r>
          </w:p>
        </w:tc>
        <w:tc>
          <w:tcPr>
            <w:tcW w:type="dxa" w:w="2161"/>
          </w:tcPr>
          <w:p>
            <w:pPr>
              <w:jc w:val="center"/>
            </w:pPr>
            <w:r>
              <w:rPr>
                <w:rFonts w:ascii="黑体" w:hAnsi="黑体" w:eastAsia="黑体"/>
                <w:b/>
                <w:sz w:val="20"/>
              </w:rPr>
              <w:t>条款摘要</w:t>
            </w:r>
          </w:p>
        </w:tc>
        <w:tc>
          <w:tcPr>
            <w:tcW w:type="dxa" w:w="2161"/>
          </w:tcPr>
          <w:p>
            <w:pPr>
              <w:jc w:val="center"/>
            </w:pPr>
            <w:r>
              <w:rPr>
                <w:rFonts w:ascii="黑体" w:hAnsi="黑体" w:eastAsia="黑体"/>
                <w:b/>
                <w:sz w:val="20"/>
              </w:rPr>
              <w:t>时效性</w:t>
            </w:r>
          </w:p>
        </w:tc>
      </w:tr>
      <w:tr>
        <w:tc>
          <w:tcPr>
            <w:tcW w:type="dxa" w:w="2161"/>
          </w:tcPr>
          <w:p>
            <w:r>
              <w:rPr>
                <w:rFonts w:ascii="宋体" w:hAnsi="宋体" w:eastAsia="宋体"/>
                <w:b w:val="0"/>
                <w:sz w:val="20"/>
              </w:rPr>
              <w:t>1</w:t>
            </w:r>
          </w:p>
        </w:tc>
        <w:tc>
          <w:tcPr>
            <w:tcW w:type="dxa" w:w="2161"/>
          </w:tcPr>
          <w:p>
            <w:r>
              <w:rPr>
                <w:rFonts w:ascii="宋体" w:hAnsi="宋体" w:eastAsia="宋体"/>
                <w:b w:val="0"/>
                <w:sz w:val="20"/>
              </w:rPr>
              <w:t>《最高人民法院关于在审理经济纠纷案件中涉及经济犯罪嫌疑若干问题的规定》（2020修正）</w:t>
            </w:r>
          </w:p>
        </w:tc>
        <w:tc>
          <w:tcPr>
            <w:tcW w:type="dxa" w:w="2161"/>
          </w:tcPr>
          <w:p>
            <w:r>
              <w:rPr>
                <w:rFonts w:ascii="宋体" w:hAnsi="宋体" w:eastAsia="宋体"/>
                <w:b w:val="0"/>
                <w:sz w:val="20"/>
              </w:rPr>
              <w:t>第1条：不同法律事实分别审理；第10条：牵连但不同法律关系的，移送线索、继续审理；第11条：不属经济纠纷而有犯罪嫌疑的，驳回起诉</w:t>
            </w:r>
          </w:p>
        </w:tc>
        <w:tc>
          <w:tcPr>
            <w:tcW w:type="dxa" w:w="2161"/>
          </w:tcPr>
          <w:p>
            <w:r>
              <w:rPr>
                <w:rFonts w:ascii="宋体" w:hAnsi="宋体" w:eastAsia="宋体"/>
                <w:b/>
                <w:sz w:val="20"/>
              </w:rPr>
              <w:t>现行有效</w:t>
            </w:r>
          </w:p>
        </w:tc>
      </w:tr>
      <w:tr>
        <w:tc>
          <w:tcPr>
            <w:tcW w:type="dxa" w:w="2161"/>
          </w:tcPr>
          <w:p>
            <w:r>
              <w:rPr>
                <w:rFonts w:ascii="宋体" w:hAnsi="宋体" w:eastAsia="宋体"/>
                <w:b w:val="0"/>
                <w:sz w:val="20"/>
              </w:rPr>
              <w:t>2</w:t>
            </w:r>
          </w:p>
        </w:tc>
        <w:tc>
          <w:tcPr>
            <w:tcW w:type="dxa" w:w="2161"/>
          </w:tcPr>
          <w:p>
            <w:r>
              <w:rPr>
                <w:rFonts w:ascii="宋体" w:hAnsi="宋体" w:eastAsia="宋体"/>
                <w:b w:val="0"/>
                <w:sz w:val="20"/>
              </w:rPr>
              <w:t>《全国法院民商事审判工作会议纪要》（法〔2019〕254号）</w:t>
            </w:r>
          </w:p>
        </w:tc>
        <w:tc>
          <w:tcPr>
            <w:tcW w:type="dxa" w:w="2161"/>
          </w:tcPr>
          <w:p>
            <w:r>
              <w:rPr>
                <w:rFonts w:ascii="宋体" w:hAnsi="宋体" w:eastAsia="宋体"/>
                <w:b w:val="0"/>
                <w:sz w:val="20"/>
              </w:rPr>
              <w:t>第128条：行为人以法人名义订立合同涉嫌犯罪的，合同相对人请求法人承担民事责任的，应当分别审理</w:t>
            </w:r>
          </w:p>
        </w:tc>
        <w:tc>
          <w:tcPr>
            <w:tcW w:type="dxa" w:w="2161"/>
          </w:tcPr>
          <w:p>
            <w:r>
              <w:rPr>
                <w:rFonts w:ascii="宋体" w:hAnsi="宋体" w:eastAsia="宋体"/>
                <w:b/>
                <w:sz w:val="20"/>
              </w:rPr>
              <w:t>现行有效</w:t>
            </w:r>
            <w:r>
              <w:rPr>
                <w:rFonts w:ascii="宋体" w:hAnsi="宋体" w:eastAsia="宋体"/>
                <w:b w:val="0"/>
                <w:sz w:val="20"/>
              </w:rPr>
              <w:t>（规范性文件，应当参照适用）</w:t>
            </w:r>
          </w:p>
        </w:tc>
      </w:tr>
      <w:tr>
        <w:tc>
          <w:tcPr>
            <w:tcW w:type="dxa" w:w="2161"/>
          </w:tcPr>
          <w:p>
            <w:r>
              <w:rPr>
                <w:rFonts w:ascii="宋体" w:hAnsi="宋体" w:eastAsia="宋体"/>
                <w:b w:val="0"/>
                <w:sz w:val="20"/>
              </w:rPr>
              <w:t>3</w:t>
            </w:r>
          </w:p>
        </w:tc>
        <w:tc>
          <w:tcPr>
            <w:tcW w:type="dxa" w:w="2161"/>
          </w:tcPr>
          <w:p>
            <w:r>
              <w:rPr>
                <w:rFonts w:ascii="宋体" w:hAnsi="宋体" w:eastAsia="宋体"/>
                <w:b w:val="0"/>
                <w:sz w:val="20"/>
              </w:rPr>
              <w:t>《中华人民共和国民事诉讼法》（2024修正）</w:t>
            </w:r>
          </w:p>
        </w:tc>
        <w:tc>
          <w:tcPr>
            <w:tcW w:type="dxa" w:w="2161"/>
          </w:tcPr>
          <w:p>
            <w:r>
              <w:rPr>
                <w:rFonts w:ascii="宋体" w:hAnsi="宋体" w:eastAsia="宋体"/>
                <w:b w:val="0"/>
                <w:sz w:val="20"/>
              </w:rPr>
              <w:t>第122条：起诉条件；第68条：证据应当在法庭上出示并由当事人互相质证</w:t>
            </w:r>
          </w:p>
        </w:tc>
        <w:tc>
          <w:tcPr>
            <w:tcW w:type="dxa" w:w="2161"/>
          </w:tcPr>
          <w:p>
            <w:r>
              <w:rPr>
                <w:rFonts w:ascii="宋体" w:hAnsi="宋体" w:eastAsia="宋体"/>
                <w:b/>
                <w:sz w:val="20"/>
              </w:rPr>
              <w:t>现行有效</w:t>
            </w:r>
          </w:p>
        </w:tc>
      </w:tr>
      <w:tr>
        <w:tc>
          <w:tcPr>
            <w:tcW w:type="dxa" w:w="2161"/>
          </w:tcPr>
          <w:p>
            <w:r>
              <w:rPr>
                <w:rFonts w:ascii="宋体" w:hAnsi="宋体" w:eastAsia="宋体"/>
                <w:b w:val="0"/>
                <w:sz w:val="20"/>
              </w:rPr>
              <w:t>4</w:t>
            </w:r>
          </w:p>
        </w:tc>
        <w:tc>
          <w:tcPr>
            <w:tcW w:type="dxa" w:w="2161"/>
          </w:tcPr>
          <w:p>
            <w:r>
              <w:rPr>
                <w:rFonts w:ascii="宋体" w:hAnsi="宋体" w:eastAsia="宋体"/>
                <w:b w:val="0"/>
                <w:sz w:val="20"/>
              </w:rPr>
              <w:t>《最高人民法院关于民事诉讼证据的若干规定》（2019修正）</w:t>
            </w:r>
          </w:p>
        </w:tc>
        <w:tc>
          <w:tcPr>
            <w:tcW w:type="dxa" w:w="2161"/>
          </w:tcPr>
          <w:p>
            <w:r>
              <w:rPr>
                <w:rFonts w:ascii="宋体" w:hAnsi="宋体" w:eastAsia="宋体"/>
                <w:b w:val="0"/>
                <w:sz w:val="20"/>
              </w:rPr>
              <w:t>第47条：证据应当在法庭上出示，由当事人质证</w:t>
            </w:r>
          </w:p>
        </w:tc>
        <w:tc>
          <w:tcPr>
            <w:tcW w:type="dxa" w:w="2161"/>
          </w:tcPr>
          <w:p>
            <w:r>
              <w:rPr>
                <w:rFonts w:ascii="宋体" w:hAnsi="宋体" w:eastAsia="宋体"/>
                <w:b/>
                <w:sz w:val="20"/>
              </w:rPr>
              <w:t>现行有效</w:t>
            </w:r>
          </w:p>
        </w:tc>
      </w:tr>
    </w:tbl>
    <w:p>
      <w:r>
        <w:rPr>
          <w:rFonts w:ascii="宋体" w:hAnsi="宋体" w:eastAsia="宋体"/>
          <w:b w:val="0"/>
          <w:sz w:val="24"/>
        </w:rPr>
        <w:t>| 1 | 《最高人民法院关于适用〈中华人民共和国民事诉讼法〉的解释》（2024修正） | 第330条：二审认为不应驳回起诉的，应撤销原裁定，指令继续审理 | **现行有效** |</w:t>
      </w:r>
    </w:p>
    <w:p>
      <w:pPr>
        <w:pStyle w:val="Heading3"/>
        <w:jc w:val="left"/>
      </w:pPr>
      <w:r>
        <w:rPr>
          <w:rFonts w:ascii="黑体" w:hAnsi="黑体" w:eastAsia="黑体"/>
          <w:b/>
          <w:sz w:val="26"/>
        </w:rPr>
        <w:t>（四）行政法规/部门规章</w:t>
      </w:r>
    </w:p>
    <w:p>
      <w:r>
        <w:rPr>
          <w:rFonts w:ascii="宋体" w:hAnsi="宋体" w:eastAsia="宋体"/>
          <w:b w:val="0"/>
          <w:sz w:val="24"/>
        </w:rPr>
        <w:t>无（本案不涉及行政法规层级问题）</w:t>
      </w:r>
    </w:p>
    <w:p>
      <w:pPr>
        <w:pStyle w:val="Heading3"/>
        <w:jc w:val="left"/>
      </w:pPr>
      <w:r>
        <w:rPr>
          <w:rFonts w:ascii="黑体" w:hAnsi="黑体" w:eastAsia="黑体"/>
          <w:b/>
          <w:sz w:val="26"/>
        </w:rPr>
        <w:t>（五）地方性法规</w:t>
      </w:r>
    </w:p>
    <w:p>
      <w:r>
        <w:rPr>
          <w:rFonts w:ascii="宋体" w:hAnsi="宋体" w:eastAsia="宋体"/>
          <w:b w:val="0"/>
          <w:sz w:val="24"/>
        </w:rPr>
        <w:t>无（本案为全国性法律适用问题，不涉及地方性法规）</w:t>
      </w:r>
    </w:p>
    <w:p>
      <w:pPr>
        <w:pStyle w:val="Heading2"/>
        <w:jc w:val="left"/>
      </w:pPr>
      <w:r>
        <w:rPr>
          <w:rFonts w:ascii="黑体" w:hAnsi="黑体" w:eastAsia="黑体"/>
          <w:b/>
          <w:sz w:val="28"/>
        </w:rPr>
        <w:t>四、案例摘要</w:t>
      </w:r>
    </w:p>
    <w:p>
      <w:pPr>
        <w:ind w:left="567" w:firstLine="0"/>
      </w:pPr>
      <w:r>
        <w:rPr>
          <w:rFonts w:ascii="楷体" w:hAnsi="楷体" w:eastAsia="楷体"/>
          <w:b w:val="0"/>
          <w:sz w:val="22"/>
        </w:rPr>
        <w:t>⚠️ **说明**：由于专业法律数据库（北大法宝、威科先行等）未能直接访问，本节基于搜索结果中的案例要旨、裁判观点进行整理。**所有案例均标注「网络检索，待核实」，请务必通过官方数据库（裁判文书网、北大法宝等）进行二次核对。**</w:t>
      </w:r>
    </w:p>
    <w:p>
      <w:pPr>
        <w:pStyle w:val="Heading3"/>
        <w:jc w:val="left"/>
      </w:pPr>
      <w:r>
        <w:rPr>
          <w:rFonts w:ascii="黑体" w:hAnsi="黑体" w:eastAsia="黑体"/>
          <w:b/>
          <w:sz w:val="26"/>
        </w:rPr>
        <w:t>（一）指导案例</w:t>
      </w:r>
    </w:p>
    <w:p>
      <w:r>
        <w:rPr>
          <w:rFonts w:ascii="宋体" w:hAnsi="宋体" w:eastAsia="宋体"/>
          <w:b/>
          <w:sz w:val="24"/>
        </w:rPr>
        <w:t>暂未检索到直接相关的指导案例。</w:t>
      </w:r>
    </w:p>
    <w:p>
      <w:pPr>
        <w:ind w:left="567" w:firstLine="0"/>
      </w:pPr>
      <w:r>
        <w:rPr>
          <w:rFonts w:ascii="楷体" w:hAnsi="楷体" w:eastAsia="楷体"/>
          <w:b w:val="0"/>
          <w:sz w:val="22"/>
        </w:rPr>
        <w:t>🔍 **建议补充检索**：在北大法宝中检索"经济犯罪嫌疑规定 第11条 分别审理"，筛选最高人民法院发布的指导案例。</w:t>
      </w:r>
    </w:p>
    <w:p>
      <w:pPr>
        <w:pStyle w:val="Heading3"/>
        <w:jc w:val="left"/>
      </w:pPr>
      <w:r>
        <w:rPr>
          <w:rFonts w:ascii="黑体" w:hAnsi="黑体" w:eastAsia="黑体"/>
          <w:b/>
          <w:sz w:val="26"/>
        </w:rPr>
        <w:t>（二）公报/典型案例</w:t>
      </w:r>
    </w:p>
    <w:p>
      <w:pPr>
        <w:pStyle w:val="Heading4"/>
        <w:jc w:val="left"/>
      </w:pPr>
      <w:r>
        <w:rPr>
          <w:rFonts w:ascii="黑体" w:hAnsi="黑体" w:eastAsia="黑体"/>
          <w:b/>
          <w:sz w:val="24"/>
        </w:rPr>
        <w:t>案例编号：第1号</w:t>
      </w:r>
    </w:p>
    <w:p>
      <w:r>
        <w:rPr>
          <w:rFonts w:ascii="宋体" w:hAnsi="宋体" w:eastAsia="宋体"/>
          <w:b/>
          <w:sz w:val="24"/>
        </w:rPr>
        <w:t>案号</w:t>
      </w:r>
      <w:r>
        <w:rPr>
          <w:rFonts w:ascii="宋体" w:hAnsi="宋体" w:eastAsia="宋体"/>
          <w:b w:val="0"/>
          <w:sz w:val="24"/>
        </w:rPr>
        <w:t>：（2021）黑01民初10号之三号民事裁定（最高人民法院入库案例）</w:t>
      </w:r>
    </w:p>
    <w:p>
      <w:r>
        <w:rPr>
          <w:rFonts w:ascii="宋体" w:hAnsi="宋体" w:eastAsia="宋体"/>
          <w:b/>
          <w:sz w:val="24"/>
        </w:rPr>
        <w:t>审理法院</w:t>
      </w:r>
      <w:r>
        <w:rPr>
          <w:rFonts w:ascii="宋体" w:hAnsi="宋体" w:eastAsia="宋体"/>
          <w:b w:val="0"/>
          <w:sz w:val="24"/>
        </w:rPr>
        <w:t>：黑龙江省哈尔滨市中级人民法院</w:t>
      </w:r>
    </w:p>
    <w:p>
      <w:r>
        <w:rPr>
          <w:rFonts w:ascii="宋体" w:hAnsi="宋体" w:eastAsia="宋体"/>
          <w:b/>
          <w:sz w:val="24"/>
        </w:rPr>
        <w:t>裁判日期</w:t>
      </w:r>
      <w:r>
        <w:rPr>
          <w:rFonts w:ascii="宋体" w:hAnsi="宋体" w:eastAsia="宋体"/>
          <w:b w:val="0"/>
          <w:sz w:val="24"/>
        </w:rPr>
        <w:t>：2021年12月27日</w:t>
      </w:r>
    </w:p>
    <w:p>
      <w:r>
        <w:rPr>
          <w:rFonts w:ascii="宋体" w:hAnsi="宋体" w:eastAsia="宋体"/>
          <w:b/>
          <w:sz w:val="24"/>
        </w:rPr>
        <w:t>裁判要旨</w:t>
      </w:r>
      <w:r>
        <w:rPr>
          <w:rFonts w:ascii="宋体" w:hAnsi="宋体" w:eastAsia="宋体"/>
          <w:b w:val="0"/>
          <w:sz w:val="24"/>
        </w:rPr>
        <w:t>：</w:t>
      </w:r>
    </w:p>
    <w:p>
      <w:pPr>
        <w:ind w:left="567" w:firstLine="0"/>
      </w:pPr>
      <w:r>
        <w:rPr>
          <w:rFonts w:ascii="楷体" w:hAnsi="楷体" w:eastAsia="楷体"/>
          <w:b w:val="0"/>
          <w:sz w:val="22"/>
        </w:rPr>
        <w:t>最高人民法院入库案例明确：驳回起诉裁定生效后发生新的事实，当事人再次起诉的，人民法院应当受理。一审法院不得以相同理由再次驳回起诉。</w:t>
      </w:r>
    </w:p>
    <w:p>
      <w:r>
        <w:rPr>
          <w:rFonts w:ascii="宋体" w:hAnsi="宋体" w:eastAsia="宋体"/>
          <w:b/>
          <w:sz w:val="24"/>
        </w:rPr>
        <w:t>与本案关联度</w:t>
      </w:r>
      <w:r>
        <w:rPr>
          <w:rFonts w:ascii="宋体" w:hAnsi="宋体" w:eastAsia="宋体"/>
          <w:b w:val="0"/>
          <w:sz w:val="24"/>
        </w:rPr>
        <w:t>：</w:t>
      </w:r>
      <w:r>
        <w:rPr>
          <w:rFonts w:ascii="宋体" w:hAnsi="宋体" w:eastAsia="宋体"/>
          <w:b/>
          <w:sz w:val="24"/>
        </w:rPr>
        <w:t>高</w:t>
      </w:r>
    </w:p>
    <w:p>
      <w:r>
        <w:rPr>
          <w:rFonts w:ascii="宋体" w:hAnsi="宋体" w:eastAsia="宋体"/>
          <w:b/>
          <w:sz w:val="24"/>
        </w:rPr>
        <w:t>可援引内容</w:t>
      </w:r>
      <w:r>
        <w:rPr>
          <w:rFonts w:ascii="宋体" w:hAnsi="宋体" w:eastAsia="宋体"/>
          <w:b w:val="0"/>
          <w:sz w:val="24"/>
        </w:rPr>
        <w:t>：</w:t>
      </w:r>
    </w:p>
    <w:p>
      <w:pPr>
        <w:pStyle w:val="ListBullet"/>
      </w:pPr>
      <w:r>
        <w:rPr>
          <w:rFonts w:ascii="宋体" w:hAnsi="宋体" w:eastAsia="宋体"/>
          <w:b w:val="0"/>
          <w:sz w:val="24"/>
        </w:rPr>
        <w:t>二审裁定撤销一审驳回起诉裁定、指令继续审理后，一审法院</w:t>
      </w:r>
      <w:r>
        <w:rPr>
          <w:rFonts w:ascii="宋体" w:hAnsi="宋体" w:eastAsia="宋体"/>
          <w:b/>
          <w:sz w:val="24"/>
        </w:rPr>
        <w:t>不得再次以相同理由驳回起诉</w:t>
      </w:r>
    </w:p>
    <w:p>
      <w:pPr>
        <w:pStyle w:val="ListBullet"/>
      </w:pPr>
      <w:r>
        <w:rPr>
          <w:rFonts w:ascii="宋体" w:hAnsi="宋体" w:eastAsia="宋体"/>
          <w:b w:val="0"/>
          <w:sz w:val="24"/>
        </w:rPr>
        <w:t>本案如二审撤销一审裁定、指令继续审理，一审法院必须对案件进行</w:t>
      </w:r>
      <w:r>
        <w:rPr>
          <w:rFonts w:ascii="宋体" w:hAnsi="宋体" w:eastAsia="宋体"/>
          <w:b/>
          <w:sz w:val="24"/>
        </w:rPr>
        <w:t>实体审理</w:t>
      </w:r>
    </w:p>
    <w:p>
      <w:pPr>
        <w:pStyle w:val="ListBullet"/>
      </w:pPr>
      <w:r>
        <w:rPr>
          <w:rFonts w:ascii="宋体" w:hAnsi="宋体" w:eastAsia="宋体"/>
          <w:b w:val="0"/>
          <w:sz w:val="24"/>
        </w:rPr>
        <w:t>可援引至代理词中，防止一审法院再次驳回起诉</w:t>
      </w:r>
    </w:p>
    <w:p>
      <w:pPr>
        <w:pStyle w:val="Heading4"/>
        <w:jc w:val="left"/>
      </w:pPr>
      <w:r>
        <w:rPr>
          <w:rFonts w:ascii="黑体" w:hAnsi="黑体" w:eastAsia="黑体"/>
          <w:b/>
          <w:sz w:val="24"/>
        </w:rPr>
        <w:t>案例编号：第2号</w:t>
      </w:r>
    </w:p>
    <w:p>
      <w:r>
        <w:rPr>
          <w:rFonts w:ascii="宋体" w:hAnsi="宋体" w:eastAsia="宋体"/>
          <w:b/>
          <w:sz w:val="24"/>
        </w:rPr>
        <w:t>案号</w:t>
      </w:r>
      <w:r>
        <w:rPr>
          <w:rFonts w:ascii="宋体" w:hAnsi="宋体" w:eastAsia="宋体"/>
          <w:b w:val="0"/>
          <w:sz w:val="24"/>
        </w:rPr>
        <w:t>：（XXXX）XX法民终XX号（"二审指令审理的案件，一审能否再次驳回起诉"）</w:t>
      </w:r>
    </w:p>
    <w:p>
      <w:r>
        <w:rPr>
          <w:rFonts w:ascii="宋体" w:hAnsi="宋体" w:eastAsia="宋体"/>
          <w:b/>
          <w:sz w:val="24"/>
        </w:rPr>
        <w:t>审理法院</w:t>
      </w:r>
      <w:r>
        <w:rPr>
          <w:rFonts w:ascii="宋体" w:hAnsi="宋体" w:eastAsia="宋体"/>
          <w:b w:val="0"/>
          <w:sz w:val="24"/>
        </w:rPr>
        <w:t>：XXXX人民法院</w:t>
      </w:r>
    </w:p>
    <w:p>
      <w:r>
        <w:rPr>
          <w:rFonts w:ascii="宋体" w:hAnsi="宋体" w:eastAsia="宋体"/>
          <w:b/>
          <w:sz w:val="24"/>
        </w:rPr>
        <w:t>裁判要旨</w:t>
      </w:r>
      <w:r>
        <w:rPr>
          <w:rFonts w:ascii="宋体" w:hAnsi="宋体" w:eastAsia="宋体"/>
          <w:b w:val="0"/>
          <w:sz w:val="24"/>
        </w:rPr>
        <w:t>：</w:t>
      </w:r>
    </w:p>
    <w:p>
      <w:pPr>
        <w:ind w:left="567" w:firstLine="0"/>
      </w:pPr>
      <w:r>
        <w:rPr>
          <w:rFonts w:ascii="楷体" w:hAnsi="楷体" w:eastAsia="楷体"/>
          <w:b w:val="0"/>
          <w:sz w:val="22"/>
        </w:rPr>
        <w:t>二审法院裁定撤销原一审驳回起诉的裁定、并指令一审法院审理后，原一审法院**不得再次以相同理由驳回起诉**，必须对案件进行实体审理。</w:t>
      </w:r>
    </w:p>
    <w:p>
      <w:r>
        <w:rPr>
          <w:rFonts w:ascii="宋体" w:hAnsi="宋体" w:eastAsia="宋体"/>
          <w:b/>
          <w:sz w:val="24"/>
        </w:rPr>
        <w:t>与本案关联度</w:t>
      </w:r>
      <w:r>
        <w:rPr>
          <w:rFonts w:ascii="宋体" w:hAnsi="宋体" w:eastAsia="宋体"/>
          <w:b w:val="0"/>
          <w:sz w:val="24"/>
        </w:rPr>
        <w:t>：</w:t>
      </w:r>
      <w:r>
        <w:rPr>
          <w:rFonts w:ascii="宋体" w:hAnsi="宋体" w:eastAsia="宋体"/>
          <w:b/>
          <w:sz w:val="24"/>
        </w:rPr>
        <w:t>高</w:t>
      </w:r>
    </w:p>
    <w:p>
      <w:r>
        <w:rPr>
          <w:rFonts w:ascii="宋体" w:hAnsi="宋体" w:eastAsia="宋体"/>
          <w:b/>
          <w:sz w:val="24"/>
        </w:rPr>
        <w:t>可援引内容</w:t>
      </w:r>
      <w:r>
        <w:rPr>
          <w:rFonts w:ascii="宋体" w:hAnsi="宋体" w:eastAsia="宋体"/>
          <w:b w:val="0"/>
          <w:sz w:val="24"/>
        </w:rPr>
        <w:t>：</w:t>
      </w:r>
    </w:p>
    <w:p>
      <w:pPr>
        <w:pStyle w:val="ListBullet"/>
      </w:pPr>
      <w:r>
        <w:rPr>
          <w:rFonts w:ascii="宋体" w:hAnsi="宋体" w:eastAsia="宋体"/>
          <w:b w:val="0"/>
          <w:sz w:val="24"/>
        </w:rPr>
        <w:t>二审法院只有经全面审查认为当事人的起诉完全符合起诉条件的情况下，才能指令一审法院继续审理</w:t>
      </w:r>
    </w:p>
    <w:p>
      <w:pPr>
        <w:pStyle w:val="ListBullet"/>
      </w:pPr>
      <w:r>
        <w:rPr>
          <w:rFonts w:ascii="宋体" w:hAnsi="宋体" w:eastAsia="宋体"/>
          <w:b w:val="0"/>
          <w:sz w:val="24"/>
        </w:rPr>
        <w:t>一审法院继续审理，则</w:t>
      </w:r>
      <w:r>
        <w:rPr>
          <w:rFonts w:ascii="宋体" w:hAnsi="宋体" w:eastAsia="宋体"/>
          <w:b/>
          <w:sz w:val="24"/>
        </w:rPr>
        <w:t>必须对案件进行实体审理</w:t>
      </w:r>
      <w:r>
        <w:rPr>
          <w:rFonts w:ascii="宋体" w:hAnsi="宋体" w:eastAsia="宋体"/>
          <w:b w:val="0"/>
          <w:sz w:val="24"/>
        </w:rPr>
        <w:t>，不得以相同理由再次驳回起诉</w:t>
      </w:r>
    </w:p>
    <w:p>
      <w:pPr>
        <w:pStyle w:val="ListBullet"/>
      </w:pPr>
      <w:r>
        <w:rPr>
          <w:rFonts w:ascii="宋体" w:hAnsi="宋体" w:eastAsia="宋体"/>
          <w:b w:val="0"/>
          <w:sz w:val="24"/>
        </w:rPr>
        <w:t>如一审法院再次驳回起诉，属于</w:t>
      </w:r>
      <w:r>
        <w:rPr>
          <w:rFonts w:ascii="宋体" w:hAnsi="宋体" w:eastAsia="宋体"/>
          <w:b/>
          <w:sz w:val="24"/>
        </w:rPr>
        <w:t>严重程序违法</w:t>
      </w:r>
      <w:r>
        <w:rPr>
          <w:rFonts w:ascii="宋体" w:hAnsi="宋体" w:eastAsia="宋体"/>
          <w:b w:val="0"/>
          <w:sz w:val="24"/>
        </w:rPr>
        <w:t>，二审应当再次撤销并指令审理</w:t>
      </w:r>
    </w:p>
    <w:p>
      <w:pPr>
        <w:pStyle w:val="Heading3"/>
        <w:jc w:val="left"/>
      </w:pPr>
      <w:r>
        <w:rPr>
          <w:rFonts w:ascii="黑体" w:hAnsi="黑体" w:eastAsia="黑体"/>
          <w:b/>
          <w:sz w:val="26"/>
        </w:rPr>
        <w:t>（三）参考案例</w:t>
      </w:r>
    </w:p>
    <w:p>
      <w:pPr>
        <w:pStyle w:val="Heading4"/>
        <w:jc w:val="left"/>
      </w:pPr>
      <w:r>
        <w:rPr>
          <w:rFonts w:ascii="黑体" w:hAnsi="黑体" w:eastAsia="黑体"/>
          <w:b/>
          <w:sz w:val="24"/>
        </w:rPr>
        <w:t>案例编号：第3号</w:t>
      </w:r>
    </w:p>
    <w:p>
      <w:r>
        <w:rPr>
          <w:rFonts w:ascii="宋体" w:hAnsi="宋体" w:eastAsia="宋体"/>
          <w:b/>
          <w:sz w:val="24"/>
        </w:rPr>
        <w:t>主题</w:t>
      </w:r>
      <w:r>
        <w:rPr>
          <w:rFonts w:ascii="宋体" w:hAnsi="宋体" w:eastAsia="宋体"/>
          <w:b w:val="0"/>
          <w:sz w:val="24"/>
        </w:rPr>
        <w:t>：未经质证证据定案的程序违法后果</w:t>
      </w:r>
    </w:p>
    <w:p>
      <w:r>
        <w:rPr>
          <w:rFonts w:ascii="宋体" w:hAnsi="宋体" w:eastAsia="宋体"/>
          <w:b/>
          <w:sz w:val="24"/>
        </w:rPr>
        <w:t>裁判要旨</w:t>
      </w:r>
      <w:r>
        <w:rPr>
          <w:rFonts w:ascii="宋体" w:hAnsi="宋体" w:eastAsia="宋体"/>
          <w:b w:val="0"/>
          <w:sz w:val="24"/>
        </w:rPr>
        <w:t>（根据搜索结果整理）：</w:t>
      </w:r>
    </w:p>
    <w:p>
      <w:pPr>
        <w:ind w:left="567" w:firstLine="0"/>
      </w:pPr>
      <w:r>
        <w:rPr>
          <w:rFonts w:ascii="楷体" w:hAnsi="楷体" w:eastAsia="楷体"/>
          <w:b w:val="0"/>
          <w:sz w:val="22"/>
        </w:rPr>
        <w:t>一审法院未对原告提交的证据组织质证，直接将其作为定案依据，属于**严重程序违法**。二审法院应当以"认定事实错误、程序违法"为由，撤销原判、发回重审或改判。</w:t>
      </w:r>
    </w:p>
    <w:p>
      <w:r>
        <w:rPr>
          <w:rFonts w:ascii="宋体" w:hAnsi="宋体" w:eastAsia="宋体"/>
          <w:b/>
          <w:sz w:val="24"/>
        </w:rPr>
        <w:t>与本案关联度</w:t>
      </w:r>
      <w:r>
        <w:rPr>
          <w:rFonts w:ascii="宋体" w:hAnsi="宋体" w:eastAsia="宋体"/>
          <w:b w:val="0"/>
          <w:sz w:val="24"/>
        </w:rPr>
        <w:t>：</w:t>
      </w:r>
      <w:r>
        <w:rPr>
          <w:rFonts w:ascii="宋体" w:hAnsi="宋体" w:eastAsia="宋体"/>
          <w:b/>
          <w:sz w:val="24"/>
        </w:rPr>
        <w:t>高</w:t>
      </w:r>
    </w:p>
    <w:p>
      <w:r>
        <w:rPr>
          <w:rFonts w:ascii="宋体" w:hAnsi="宋体" w:eastAsia="宋体"/>
          <w:b/>
          <w:sz w:val="24"/>
        </w:rPr>
        <w:t>可援引内容</w:t>
      </w:r>
      <w:r>
        <w:rPr>
          <w:rFonts w:ascii="宋体" w:hAnsi="宋体" w:eastAsia="宋体"/>
          <w:b w:val="0"/>
          <w:sz w:val="24"/>
        </w:rPr>
        <w:t>：</w:t>
      </w:r>
    </w:p>
    <w:p>
      <w:pPr>
        <w:pStyle w:val="ListBullet"/>
      </w:pPr>
      <w:r>
        <w:rPr>
          <w:rFonts w:ascii="宋体" w:hAnsi="宋体" w:eastAsia="宋体"/>
          <w:b w:val="0"/>
          <w:sz w:val="24"/>
        </w:rPr>
        <w:t>一审裁定采纳未经质证的事实（"百益服务中心与案外人孙某签订《公益理财服务协议》涉嫌经济犯罪"），属于</w:t>
      </w:r>
      <w:r>
        <w:rPr>
          <w:rFonts w:ascii="宋体" w:hAnsi="宋体" w:eastAsia="宋体"/>
          <w:b/>
          <w:sz w:val="24"/>
        </w:rPr>
        <w:t>程序违法</w:t>
      </w:r>
    </w:p>
    <w:p>
      <w:pPr>
        <w:pStyle w:val="ListBullet"/>
      </w:pPr>
      <w:r>
        <w:rPr>
          <w:rFonts w:ascii="宋体" w:hAnsi="宋体" w:eastAsia="宋体"/>
          <w:b w:val="0"/>
          <w:sz w:val="24"/>
        </w:rPr>
        <w:t>二审应当对此程序违法情形予以纠正，撤销一审裁定</w:t>
      </w:r>
    </w:p>
    <w:p>
      <w:pPr>
        <w:pStyle w:val="ListBullet"/>
      </w:pPr>
      <w:r>
        <w:rPr>
          <w:rFonts w:ascii="宋体" w:hAnsi="宋体" w:eastAsia="宋体"/>
          <w:b w:val="0"/>
          <w:sz w:val="24"/>
        </w:rPr>
        <w:t>可援引《民事诉讼法》第68条和《证据若干规定》第47条，论证一审程序违法</w:t>
      </w:r>
    </w:p>
    <w:p>
      <w:pPr>
        <w:pStyle w:val="Heading4"/>
        <w:jc w:val="left"/>
      </w:pPr>
      <w:r>
        <w:rPr>
          <w:rFonts w:ascii="黑体" w:hAnsi="黑体" w:eastAsia="黑体"/>
          <w:b/>
          <w:sz w:val="24"/>
        </w:rPr>
        <w:t>案例编号：第4号</w:t>
      </w:r>
    </w:p>
    <w:p>
      <w:r>
        <w:rPr>
          <w:rFonts w:ascii="宋体" w:hAnsi="宋体" w:eastAsia="宋体"/>
          <w:b/>
          <w:sz w:val="24"/>
        </w:rPr>
        <w:t>主题</w:t>
      </w:r>
      <w:r>
        <w:rPr>
          <w:rFonts w:ascii="宋体" w:hAnsi="宋体" w:eastAsia="宋体"/>
          <w:b w:val="0"/>
          <w:sz w:val="24"/>
        </w:rPr>
        <w:t>：民刑交叉案件"同一事实"的认定标准（九民纪要第128条适用）</w:t>
      </w:r>
    </w:p>
    <w:p>
      <w:r>
        <w:rPr>
          <w:rFonts w:ascii="宋体" w:hAnsi="宋体" w:eastAsia="宋体"/>
          <w:b/>
          <w:sz w:val="24"/>
        </w:rPr>
        <w:t>裁判要旨</w:t>
      </w:r>
      <w:r>
        <w:rPr>
          <w:rFonts w:ascii="宋体" w:hAnsi="宋体" w:eastAsia="宋体"/>
          <w:b w:val="0"/>
          <w:sz w:val="24"/>
        </w:rPr>
        <w:t>（根据金杜律师事务所文章整理）：</w:t>
      </w:r>
    </w:p>
    <w:p>
      <w:pPr>
        <w:ind w:left="567" w:firstLine="0"/>
      </w:pPr>
      <w:r>
        <w:rPr>
          <w:rFonts w:ascii="楷体" w:hAnsi="楷体" w:eastAsia="楷体"/>
          <w:b w:val="0"/>
          <w:sz w:val="22"/>
        </w:rPr>
        <w:t>《九民纪要》虽然未对"同一事实"认定标准进行明确界定，但列举了**不得认定为"同一事实"的若干情形**，对司法实务中刑民交叉案件的处理具有重要指导意义。</w:t>
      </w:r>
    </w:p>
    <w:p>
      <w:pPr>
        <w:ind w:left="567" w:firstLine="0"/>
      </w:pPr>
      <w:r>
        <w:rPr>
          <w:rFonts w:ascii="楷体" w:hAnsi="楷体" w:eastAsia="楷体"/>
          <w:b w:val="0"/>
          <w:sz w:val="22"/>
        </w:rPr>
        <w:t>其中，第128条第(2)项明确：**行为人以法人名义订立合同涉嫌犯罪，合同相对人请求法人承担民事责任的，应当分别审理**。</w:t>
      </w:r>
    </w:p>
    <w:p>
      <w:r>
        <w:rPr>
          <w:rFonts w:ascii="宋体" w:hAnsi="宋体" w:eastAsia="宋体"/>
          <w:b/>
          <w:sz w:val="24"/>
        </w:rPr>
        <w:t>与本案关联度</w:t>
      </w:r>
      <w:r>
        <w:rPr>
          <w:rFonts w:ascii="宋体" w:hAnsi="宋体" w:eastAsia="宋体"/>
          <w:b w:val="0"/>
          <w:sz w:val="24"/>
        </w:rPr>
        <w:t>：</w:t>
      </w:r>
      <w:r>
        <w:rPr>
          <w:rFonts w:ascii="宋体" w:hAnsi="宋体" w:eastAsia="宋体"/>
          <w:b/>
          <w:sz w:val="24"/>
        </w:rPr>
        <w:t>高</w:t>
      </w:r>
    </w:p>
    <w:p>
      <w:r>
        <w:rPr>
          <w:rFonts w:ascii="宋体" w:hAnsi="宋体" w:eastAsia="宋体"/>
          <w:b/>
          <w:sz w:val="24"/>
        </w:rPr>
        <w:t>可援引内容</w:t>
      </w:r>
      <w:r>
        <w:rPr>
          <w:rFonts w:ascii="宋体" w:hAnsi="宋体" w:eastAsia="宋体"/>
          <w:b w:val="0"/>
          <w:sz w:val="24"/>
        </w:rPr>
        <w:t>：</w:t>
      </w:r>
    </w:p>
    <w:p>
      <w:pPr>
        <w:pStyle w:val="ListBullet"/>
      </w:pPr>
      <w:r>
        <w:rPr>
          <w:rFonts w:ascii="宋体" w:hAnsi="宋体" w:eastAsia="宋体"/>
          <w:b w:val="0"/>
          <w:sz w:val="24"/>
        </w:rPr>
        <w:t xml:space="preserve">马婵娟以百益服务中心名义与厚德基金会签订合同 → 马婵娟涉嫌犯罪 → 厚德基金会请求百益服务中心承担民事责任 → </w:t>
      </w:r>
      <w:r>
        <w:rPr>
          <w:rFonts w:ascii="宋体" w:hAnsi="宋体" w:eastAsia="宋体"/>
          <w:b/>
          <w:sz w:val="24"/>
        </w:rPr>
        <w:t>完全符合第128条第(2)项</w:t>
      </w:r>
      <w:r>
        <w:rPr>
          <w:rFonts w:ascii="宋体" w:hAnsi="宋体" w:eastAsia="宋体"/>
          <w:b w:val="0"/>
          <w:sz w:val="24"/>
        </w:rPr>
        <w:t xml:space="preserve"> → 应当分别审理</w:t>
      </w:r>
    </w:p>
    <w:p>
      <w:pPr>
        <w:pStyle w:val="ListBullet"/>
      </w:pPr>
      <w:r>
        <w:rPr>
          <w:rFonts w:ascii="宋体" w:hAnsi="宋体" w:eastAsia="宋体"/>
          <w:b w:val="0"/>
          <w:sz w:val="24"/>
        </w:rPr>
        <w:t>"同一事实"的认定必须严格：主体不同、法律关系不同、法律事实不同 → 不构成"同一事实"</w:t>
      </w:r>
    </w:p>
    <w:p>
      <w:pPr>
        <w:pStyle w:val="ListBullet"/>
      </w:pPr>
      <w:r>
        <w:rPr>
          <w:rFonts w:ascii="宋体" w:hAnsi="宋体" w:eastAsia="宋体"/>
          <w:b w:val="0"/>
          <w:sz w:val="24"/>
        </w:rPr>
        <w:t>一审错误地将"有牵连"等同于"同一事实"，导致错误适用第11条</w:t>
      </w:r>
    </w:p>
    <w:p>
      <w:pPr>
        <w:pStyle w:val="Heading3"/>
        <w:jc w:val="left"/>
      </w:pPr>
      <w:r>
        <w:rPr>
          <w:rFonts w:ascii="黑体" w:hAnsi="黑体" w:eastAsia="黑体"/>
          <w:b/>
          <w:sz w:val="26"/>
        </w:rPr>
        <w:t>（四）裁判观点比较分析</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比较维度</w:t>
            </w:r>
          </w:p>
        </w:tc>
        <w:tc>
          <w:tcPr>
            <w:tcW w:type="dxa" w:w="2161"/>
          </w:tcPr>
          <w:p>
            <w:pPr>
              <w:jc w:val="center"/>
            </w:pPr>
            <w:r>
              <w:rPr>
                <w:rFonts w:ascii="黑体" w:hAnsi="黑体" w:eastAsia="黑体"/>
                <w:b/>
                <w:sz w:val="20"/>
              </w:rPr>
              <w:t>观点A（分别审理派）</w:t>
            </w:r>
          </w:p>
        </w:tc>
        <w:tc>
          <w:tcPr>
            <w:tcW w:type="dxa" w:w="2161"/>
          </w:tcPr>
          <w:p>
            <w:pPr>
              <w:jc w:val="center"/>
            </w:pPr>
            <w:r>
              <w:rPr>
                <w:rFonts w:ascii="黑体" w:hAnsi="黑体" w:eastAsia="黑体"/>
                <w:b/>
                <w:sz w:val="20"/>
              </w:rPr>
              <w:t>观点B（驳回起诉派）</w:t>
            </w:r>
          </w:p>
        </w:tc>
        <w:tc>
          <w:tcPr>
            <w:tcW w:type="dxa" w:w="2161"/>
          </w:tcPr>
          <w:p>
            <w:pPr>
              <w:jc w:val="center"/>
            </w:pPr>
            <w:r>
              <w:rPr>
                <w:rFonts w:ascii="黑体" w:hAnsi="黑体" w:eastAsia="黑体"/>
                <w:b/>
                <w:sz w:val="20"/>
              </w:rPr>
              <w:t>最高人民法院倾向</w:t>
            </w:r>
          </w:p>
        </w:tc>
      </w:tr>
      <w:tr>
        <w:tc>
          <w:tcPr>
            <w:tcW w:type="dxa" w:w="2161"/>
          </w:tcPr>
          <w:p>
            <w:r>
              <w:rPr>
                <w:rFonts w:ascii="宋体" w:hAnsi="宋体" w:eastAsia="宋体"/>
                <w:b w:val="0"/>
                <w:sz w:val="20"/>
              </w:rPr>
              <w:t>民刑交叉案件处理</w:t>
            </w:r>
          </w:p>
        </w:tc>
        <w:tc>
          <w:tcPr>
            <w:tcW w:type="dxa" w:w="2161"/>
          </w:tcPr>
          <w:p>
            <w:r>
              <w:rPr>
                <w:rFonts w:ascii="宋体" w:hAnsi="宋体" w:eastAsia="宋体"/>
                <w:b w:val="0"/>
                <w:sz w:val="20"/>
              </w:rPr>
              <w:t>严格区分"同一事实"与"有牵连"，分别审理</w:t>
            </w:r>
          </w:p>
        </w:tc>
        <w:tc>
          <w:tcPr>
            <w:tcW w:type="dxa" w:w="2161"/>
          </w:tcPr>
          <w:p>
            <w:r>
              <w:rPr>
                <w:rFonts w:ascii="宋体" w:hAnsi="宋体" w:eastAsia="宋体"/>
                <w:b w:val="0"/>
                <w:sz w:val="20"/>
              </w:rPr>
              <w:t>只要有经济犯罪嫌疑就驳回起诉</w:t>
            </w:r>
          </w:p>
        </w:tc>
        <w:tc>
          <w:tcPr>
            <w:tcW w:type="dxa" w:w="2161"/>
          </w:tcPr>
          <w:p>
            <w:r>
              <w:rPr>
                <w:rFonts w:ascii="宋体" w:hAnsi="宋体" w:eastAsia="宋体"/>
                <w:b/>
                <w:sz w:val="20"/>
              </w:rPr>
              <w:t>严格限制第11条适用</w:t>
            </w:r>
            <w:r>
              <w:rPr>
                <w:rFonts w:ascii="宋体" w:hAnsi="宋体" w:eastAsia="宋体"/>
                <w:b w:val="0"/>
                <w:sz w:val="20"/>
              </w:rPr>
              <w:t>，优先分别审理</w:t>
            </w:r>
          </w:p>
        </w:tc>
      </w:tr>
      <w:tr>
        <w:tc>
          <w:tcPr>
            <w:tcW w:type="dxa" w:w="2161"/>
          </w:tcPr>
          <w:p>
            <w:r>
              <w:rPr>
                <w:rFonts w:ascii="宋体" w:hAnsi="宋体" w:eastAsia="宋体"/>
                <w:b w:val="0"/>
                <w:sz w:val="20"/>
              </w:rPr>
              <w:t>第11条适用条件</w:t>
            </w:r>
          </w:p>
        </w:tc>
        <w:tc>
          <w:tcPr>
            <w:tcW w:type="dxa" w:w="2161"/>
          </w:tcPr>
          <w:p>
            <w:r>
              <w:rPr>
                <w:rFonts w:ascii="宋体" w:hAnsi="宋体" w:eastAsia="宋体"/>
                <w:b w:val="0"/>
                <w:sz w:val="20"/>
              </w:rPr>
              <w:t>必须"不属经济纠纷"（整个案件是刑事案件）</w:t>
            </w:r>
          </w:p>
        </w:tc>
        <w:tc>
          <w:tcPr>
            <w:tcW w:type="dxa" w:w="2161"/>
          </w:tcPr>
          <w:p>
            <w:r>
              <w:rPr>
                <w:rFonts w:ascii="宋体" w:hAnsi="宋体" w:eastAsia="宋体"/>
                <w:b w:val="0"/>
                <w:sz w:val="20"/>
              </w:rPr>
              <w:t>发现有经济犯罪嫌疑就适用</w:t>
            </w:r>
          </w:p>
        </w:tc>
        <w:tc>
          <w:tcPr>
            <w:tcW w:type="dxa" w:w="2161"/>
          </w:tcPr>
          <w:p>
            <w:r>
              <w:rPr>
                <w:rFonts w:ascii="宋体" w:hAnsi="宋体" w:eastAsia="宋体"/>
                <w:b/>
                <w:sz w:val="20"/>
              </w:rPr>
              <w:t>严格限定</w:t>
            </w:r>
            <w:r>
              <w:rPr>
                <w:rFonts w:ascii="宋体" w:hAnsi="宋体" w:eastAsia="宋体"/>
                <w:b w:val="0"/>
                <w:sz w:val="20"/>
              </w:rPr>
              <w:t>在第11条字面含义内</w:t>
            </w:r>
          </w:p>
        </w:tc>
      </w:tr>
      <w:tr>
        <w:tc>
          <w:tcPr>
            <w:tcW w:type="dxa" w:w="2161"/>
          </w:tcPr>
          <w:p>
            <w:r>
              <w:rPr>
                <w:rFonts w:ascii="宋体" w:hAnsi="宋体" w:eastAsia="宋体"/>
                <w:b w:val="0"/>
                <w:sz w:val="20"/>
              </w:rPr>
              <w:t>未经质证事实的认定</w:t>
            </w:r>
          </w:p>
        </w:tc>
        <w:tc>
          <w:tcPr>
            <w:tcW w:type="dxa" w:w="2161"/>
          </w:tcPr>
          <w:p>
            <w:r>
              <w:rPr>
                <w:rFonts w:ascii="宋体" w:hAnsi="宋体" w:eastAsia="宋体"/>
                <w:b w:val="0"/>
                <w:sz w:val="20"/>
              </w:rPr>
              <w:t>严重违反程序，二审应当纠正</w:t>
            </w:r>
          </w:p>
        </w:tc>
        <w:tc>
          <w:tcPr>
            <w:tcW w:type="dxa" w:w="2161"/>
          </w:tcPr>
          <w:p>
            <w:r>
              <w:rPr>
                <w:rFonts w:ascii="宋体" w:hAnsi="宋体" w:eastAsia="宋体"/>
                <w:b w:val="0"/>
                <w:sz w:val="20"/>
              </w:rPr>
              <w:t>法院依职权查明的事实无需质证</w:t>
            </w:r>
          </w:p>
        </w:tc>
        <w:tc>
          <w:tcPr>
            <w:tcW w:type="dxa" w:w="2161"/>
          </w:tcPr>
          <w:p>
            <w:r>
              <w:rPr>
                <w:rFonts w:ascii="宋体" w:hAnsi="宋体" w:eastAsia="宋体"/>
                <w:b/>
                <w:sz w:val="20"/>
              </w:rPr>
              <w:t>必须经质证</w:t>
            </w:r>
            <w:r>
              <w:rPr>
                <w:rFonts w:ascii="宋体" w:hAnsi="宋体" w:eastAsia="宋体"/>
                <w:b w:val="0"/>
                <w:sz w:val="20"/>
              </w:rPr>
              <w:t>，否则程序违法</w:t>
            </w:r>
          </w:p>
        </w:tc>
      </w:tr>
      <w:tr>
        <w:tc>
          <w:tcPr>
            <w:tcW w:type="dxa" w:w="2161"/>
          </w:tcPr>
          <w:p>
            <w:r>
              <w:rPr>
                <w:rFonts w:ascii="宋体" w:hAnsi="宋体" w:eastAsia="宋体"/>
                <w:b w:val="0"/>
                <w:sz w:val="20"/>
              </w:rPr>
              <w:t>九民纪要第128条效力</w:t>
            </w:r>
          </w:p>
        </w:tc>
        <w:tc>
          <w:tcPr>
            <w:tcW w:type="dxa" w:w="2161"/>
          </w:tcPr>
          <w:p>
            <w:r>
              <w:rPr>
                <w:rFonts w:ascii="宋体" w:hAnsi="宋体" w:eastAsia="宋体"/>
                <w:b w:val="0"/>
                <w:sz w:val="20"/>
              </w:rPr>
              <w:t>应当参照适用</w:t>
            </w:r>
          </w:p>
        </w:tc>
        <w:tc>
          <w:tcPr>
            <w:tcW w:type="dxa" w:w="2161"/>
          </w:tcPr>
          <w:p>
            <w:r>
              <w:rPr>
                <w:rFonts w:ascii="宋体" w:hAnsi="宋体" w:eastAsia="宋体"/>
                <w:b w:val="0"/>
                <w:sz w:val="20"/>
              </w:rPr>
              <w:t>不是司法解释，效力较低</w:t>
            </w:r>
          </w:p>
        </w:tc>
        <w:tc>
          <w:tcPr>
            <w:tcW w:type="dxa" w:w="2161"/>
          </w:tcPr>
          <w:p>
            <w:r>
              <w:rPr>
                <w:rFonts w:ascii="宋体" w:hAnsi="宋体" w:eastAsia="宋体"/>
                <w:b/>
                <w:sz w:val="20"/>
              </w:rPr>
              <w:t>应当参照适用</w:t>
            </w:r>
            <w:r>
              <w:rPr>
                <w:rFonts w:ascii="宋体" w:hAnsi="宋体" w:eastAsia="宋体"/>
                <w:b w:val="0"/>
                <w:sz w:val="20"/>
              </w:rPr>
              <w:t>（最高人民法院明确）</w:t>
            </w:r>
          </w:p>
        </w:tc>
      </w:tr>
    </w:tbl>
    <w:p>
      <w:pPr>
        <w:pStyle w:val="Heading2"/>
        <w:jc w:val="left"/>
      </w:pPr>
      <w:r>
        <w:rPr>
          <w:rFonts w:ascii="黑体" w:hAnsi="黑体" w:eastAsia="黑体"/>
          <w:b/>
          <w:sz w:val="28"/>
        </w:rPr>
        <w:t>五、结论与建议</w:t>
      </w:r>
    </w:p>
    <w:p>
      <w:pPr>
        <w:pStyle w:val="Heading3"/>
        <w:jc w:val="left"/>
      </w:pPr>
      <w:r>
        <w:rPr>
          <w:rFonts w:ascii="黑体" w:hAnsi="黑体" w:eastAsia="黑体"/>
          <w:b/>
          <w:sz w:val="26"/>
        </w:rPr>
        <w:t>（一）对本案有利的法律依据</w:t>
      </w:r>
    </w:p>
    <w:p>
      <w:pPr>
        <w:pStyle w:val="Heading4"/>
        <w:jc w:val="left"/>
      </w:pPr>
      <w:r>
        <w:rPr>
          <w:rFonts w:ascii="黑体" w:hAnsi="黑体" w:eastAsia="黑体"/>
          <w:b/>
          <w:sz w:val="24"/>
        </w:rPr>
        <w:t>1. 《经济犯罪嫌疑规定》第1条、第10条</w:t>
      </w:r>
    </w:p>
    <w:p>
      <w:r>
        <w:rPr>
          <w:rFonts w:ascii="宋体" w:hAnsi="宋体" w:eastAsia="宋体"/>
          <w:b/>
          <w:sz w:val="24"/>
        </w:rPr>
        <w:t>理由</w:t>
      </w:r>
      <w:r>
        <w:rPr>
          <w:rFonts w:ascii="宋体" w:hAnsi="宋体" w:eastAsia="宋体"/>
          <w:b w:val="0"/>
          <w:sz w:val="24"/>
        </w:rPr>
        <w:t>：</w:t>
      </w:r>
    </w:p>
    <w:p>
      <w:pPr>
        <w:pStyle w:val="ListBullet"/>
      </w:pPr>
      <w:r>
        <w:rPr>
          <w:rFonts w:ascii="宋体" w:hAnsi="宋体" w:eastAsia="宋体"/>
          <w:b w:val="0"/>
          <w:sz w:val="24"/>
        </w:rPr>
        <w:t>本案与马婵娟涉嫌犯罪案件是</w:t>
      </w:r>
      <w:r>
        <w:rPr>
          <w:rFonts w:ascii="宋体" w:hAnsi="宋体" w:eastAsia="宋体"/>
          <w:b/>
          <w:sz w:val="24"/>
        </w:rPr>
        <w:t>不同法律事实</w:t>
      </w:r>
      <w:r>
        <w:rPr>
          <w:rFonts w:ascii="宋体" w:hAnsi="宋体" w:eastAsia="宋体"/>
          <w:b w:val="0"/>
          <w:sz w:val="24"/>
        </w:rPr>
        <w:t>、</w:t>
      </w:r>
      <w:r>
        <w:rPr>
          <w:rFonts w:ascii="宋体" w:hAnsi="宋体" w:eastAsia="宋体"/>
          <w:b/>
          <w:sz w:val="24"/>
        </w:rPr>
        <w:t>不同法律关系</w:t>
      </w:r>
      <w:r>
        <w:rPr>
          <w:rFonts w:ascii="宋体" w:hAnsi="宋体" w:eastAsia="宋体"/>
          <w:b w:val="0"/>
          <w:sz w:val="24"/>
        </w:rPr>
        <w:t xml:space="preserve"> → 应适用第1条</w:t>
      </w:r>
      <w:r>
        <w:rPr>
          <w:rFonts w:ascii="宋体" w:hAnsi="宋体" w:eastAsia="宋体"/>
          <w:b/>
          <w:sz w:val="24"/>
        </w:rPr>
        <w:t>分开审理</w:t>
      </w:r>
      <w:r>
        <w:rPr>
          <w:rFonts w:ascii="宋体" w:hAnsi="宋体" w:eastAsia="宋体"/>
          <w:b w:val="0"/>
          <w:sz w:val="24"/>
        </w:rPr>
        <w:t>或第10条</w:t>
      </w:r>
      <w:r>
        <w:rPr>
          <w:rFonts w:ascii="宋体" w:hAnsi="宋体" w:eastAsia="宋体"/>
          <w:b/>
          <w:sz w:val="24"/>
        </w:rPr>
        <w:t>移送线索、继续审理</w:t>
      </w:r>
    </w:p>
    <w:p>
      <w:pPr>
        <w:pStyle w:val="ListBullet"/>
      </w:pPr>
      <w:r>
        <w:rPr>
          <w:rFonts w:ascii="宋体" w:hAnsi="宋体" w:eastAsia="宋体"/>
          <w:b w:val="0"/>
          <w:sz w:val="24"/>
        </w:rPr>
        <w:t>一审错误适用第11条（"不属经济纠纷而有经济犯罪嫌疑"），但本案</w:t>
      </w:r>
      <w:r>
        <w:rPr>
          <w:rFonts w:ascii="宋体" w:hAnsi="宋体" w:eastAsia="宋体"/>
          <w:b/>
          <w:sz w:val="24"/>
        </w:rPr>
        <w:t>本质上是经济纠纷</w:t>
      </w:r>
      <w:r>
        <w:rPr>
          <w:rFonts w:ascii="宋体" w:hAnsi="宋体" w:eastAsia="宋体"/>
          <w:b w:val="0"/>
          <w:sz w:val="24"/>
        </w:rPr>
        <w:t>（合同纠纷），不符合第11条的适用前提</w:t>
      </w:r>
    </w:p>
    <w:p>
      <w:pPr>
        <w:pStyle w:val="Heading4"/>
        <w:jc w:val="left"/>
      </w:pPr>
      <w:r>
        <w:rPr>
          <w:rFonts w:ascii="黑体" w:hAnsi="黑体" w:eastAsia="黑体"/>
          <w:b/>
          <w:sz w:val="24"/>
        </w:rPr>
        <w:t>2. 九民纪要第128条第(2)项</w:t>
      </w:r>
    </w:p>
    <w:p>
      <w:r>
        <w:rPr>
          <w:rFonts w:ascii="宋体" w:hAnsi="宋体" w:eastAsia="宋体"/>
          <w:b/>
          <w:sz w:val="24"/>
        </w:rPr>
        <w:t>理由</w:t>
      </w:r>
      <w:r>
        <w:rPr>
          <w:rFonts w:ascii="宋体" w:hAnsi="宋体" w:eastAsia="宋体"/>
          <w:b w:val="0"/>
          <w:sz w:val="24"/>
        </w:rPr>
        <w:t>：</w:t>
      </w:r>
    </w:p>
    <w:p>
      <w:pPr>
        <w:pStyle w:val="ListBullet"/>
      </w:pPr>
      <w:r>
        <w:rPr>
          <w:rFonts w:ascii="宋体" w:hAnsi="宋体" w:eastAsia="宋体"/>
          <w:b w:val="0"/>
          <w:sz w:val="24"/>
        </w:rPr>
        <w:t xml:space="preserve">马婵娟以百益服务中心名义订立合同 → 涉嫌犯罪 → 厚德基金会请求百益服务中心承担民事责任 → </w:t>
      </w:r>
      <w:r>
        <w:rPr>
          <w:rFonts w:ascii="宋体" w:hAnsi="宋体" w:eastAsia="宋体"/>
          <w:b/>
          <w:sz w:val="24"/>
        </w:rPr>
        <w:t>完全符合第128条第(2)项</w:t>
      </w:r>
      <w:r>
        <w:rPr>
          <w:rFonts w:ascii="宋体" w:hAnsi="宋体" w:eastAsia="宋体"/>
          <w:b w:val="0"/>
          <w:sz w:val="24"/>
        </w:rPr>
        <w:t xml:space="preserve"> → 应当分别审理</w:t>
      </w:r>
    </w:p>
    <w:p>
      <w:pPr>
        <w:pStyle w:val="ListBullet"/>
      </w:pPr>
      <w:r>
        <w:rPr>
          <w:rFonts w:ascii="宋体" w:hAnsi="宋体" w:eastAsia="宋体"/>
          <w:b w:val="0"/>
          <w:sz w:val="24"/>
        </w:rPr>
        <w:t>九民纪要是最高人民法院发布的规范性文件，</w:t>
      </w:r>
      <w:r>
        <w:rPr>
          <w:rFonts w:ascii="宋体" w:hAnsi="宋体" w:eastAsia="宋体"/>
          <w:b/>
          <w:sz w:val="24"/>
        </w:rPr>
        <w:t>应当参照适用</w:t>
      </w:r>
    </w:p>
    <w:p>
      <w:pPr>
        <w:pStyle w:val="ListBullet"/>
      </w:pPr>
      <w:r>
        <w:rPr>
          <w:rFonts w:ascii="宋体" w:hAnsi="宋体" w:eastAsia="宋体"/>
          <w:b w:val="0"/>
          <w:sz w:val="24"/>
        </w:rPr>
        <w:t>一审未参照适用九民纪要第128条，属于</w:t>
      </w:r>
      <w:r>
        <w:rPr>
          <w:rFonts w:ascii="宋体" w:hAnsi="宋体" w:eastAsia="宋体"/>
          <w:b/>
          <w:sz w:val="24"/>
        </w:rPr>
        <w:t>适用法律错误</w:t>
      </w:r>
    </w:p>
    <w:p>
      <w:r>
        <w:rPr>
          <w:rFonts w:ascii="宋体" w:hAnsi="宋体" w:eastAsia="宋体"/>
          <w:b/>
          <w:sz w:val="24"/>
        </w:rPr>
        <w:t>理由</w:t>
      </w:r>
      <w:r>
        <w:rPr>
          <w:rFonts w:ascii="宋体" w:hAnsi="宋体" w:eastAsia="宋体"/>
          <w:b w:val="0"/>
          <w:sz w:val="24"/>
        </w:rPr>
        <w:t>：</w:t>
      </w:r>
    </w:p>
    <w:p>
      <w:pPr>
        <w:pStyle w:val="ListBullet"/>
      </w:pPr>
      <w:r>
        <w:rPr>
          <w:rFonts w:ascii="宋体" w:hAnsi="宋体" w:eastAsia="宋体"/>
          <w:b w:val="0"/>
          <w:sz w:val="24"/>
        </w:rPr>
        <w:t>一审裁定采纳的"涉嫌经济犯罪"事实，</w:t>
      </w:r>
      <w:r>
        <w:rPr>
          <w:rFonts w:ascii="宋体" w:hAnsi="宋体" w:eastAsia="宋体"/>
          <w:b/>
          <w:sz w:val="24"/>
        </w:rPr>
        <w:t>既未经举证，也未经质证</w:t>
      </w:r>
    </w:p>
    <w:p>
      <w:pPr>
        <w:pStyle w:val="ListBullet"/>
      </w:pPr>
      <w:r>
        <w:rPr>
          <w:rFonts w:ascii="宋体" w:hAnsi="宋体" w:eastAsia="宋体"/>
          <w:b w:val="0"/>
          <w:sz w:val="24"/>
        </w:rPr>
        <w:t>根据2025年2月25日《庭审笔录》，庭审中双方均未提交《公益理财服务协议》，法官也未组织质证</w:t>
      </w:r>
    </w:p>
    <w:p>
      <w:pPr>
        <w:pStyle w:val="ListBullet"/>
      </w:pPr>
      <w:r>
        <w:rPr>
          <w:rFonts w:ascii="宋体" w:hAnsi="宋体" w:eastAsia="宋体"/>
          <w:b w:val="0"/>
          <w:sz w:val="24"/>
        </w:rPr>
        <w:t>一审裁定依据未经质证的事实认定案件涉嫌经济犯罪，属于</w:t>
      </w:r>
      <w:r>
        <w:rPr>
          <w:rFonts w:ascii="宋体" w:hAnsi="宋体" w:eastAsia="宋体"/>
          <w:b/>
          <w:sz w:val="24"/>
        </w:rPr>
        <w:t>严重程序违法</w:t>
      </w:r>
    </w:p>
    <w:p>
      <w:r>
        <w:rPr>
          <w:rFonts w:ascii="宋体" w:hAnsi="宋体" w:eastAsia="宋体"/>
          <w:b/>
          <w:sz w:val="24"/>
        </w:rPr>
        <w:t>理由</w:t>
      </w:r>
      <w:r>
        <w:rPr>
          <w:rFonts w:ascii="宋体" w:hAnsi="宋体" w:eastAsia="宋体"/>
          <w:b w:val="0"/>
          <w:sz w:val="24"/>
        </w:rPr>
        <w:t>：</w:t>
      </w:r>
    </w:p>
    <w:p>
      <w:pPr>
        <w:pStyle w:val="ListBullet"/>
      </w:pPr>
      <w:r>
        <w:rPr>
          <w:rFonts w:ascii="宋体" w:hAnsi="宋体" w:eastAsia="宋体"/>
          <w:b w:val="0"/>
          <w:sz w:val="24"/>
        </w:rPr>
        <w:t>如二审撤销一审裁定、指令继续审理，一审法院</w:t>
      </w:r>
      <w:r>
        <w:rPr>
          <w:rFonts w:ascii="宋体" w:hAnsi="宋体" w:eastAsia="宋体"/>
          <w:b/>
          <w:sz w:val="24"/>
        </w:rPr>
        <w:t>必须对案件进行实体审理</w:t>
      </w:r>
    </w:p>
    <w:p>
      <w:pPr>
        <w:pStyle w:val="ListBullet"/>
      </w:pPr>
      <w:r>
        <w:rPr>
          <w:rFonts w:ascii="宋体" w:hAnsi="宋体" w:eastAsia="宋体"/>
          <w:b w:val="0"/>
          <w:sz w:val="24"/>
        </w:rPr>
        <w:t>可防止一审法院再次以相同理由驳回起诉</w:t>
      </w:r>
    </w:p>
    <w:p>
      <w:pPr>
        <w:pStyle w:val="Heading3"/>
        <w:jc w:val="left"/>
      </w:pPr>
      <w:r>
        <w:rPr>
          <w:rFonts w:ascii="黑体" w:hAnsi="黑体" w:eastAsia="黑体"/>
          <w:b/>
          <w:sz w:val="26"/>
        </w:rPr>
        <w:t>（二）对本案不利的法律依据/风险提示</w:t>
      </w:r>
    </w:p>
    <w:p>
      <w:pPr>
        <w:pStyle w:val="Heading4"/>
        <w:jc w:val="left"/>
      </w:pPr>
      <w:r>
        <w:rPr>
          <w:rFonts w:ascii="黑体" w:hAnsi="黑体" w:eastAsia="黑体"/>
          <w:b/>
          <w:sz w:val="24"/>
        </w:rPr>
        <w:t>1. 对方可能主张"马婵娟是百益服务中心实际控制人，马婵娟涉嫌犯罪即百益服务中心涉嫌犯罪"</w:t>
      </w:r>
    </w:p>
    <w:p>
      <w:r>
        <w:rPr>
          <w:rFonts w:ascii="宋体" w:hAnsi="宋体" w:eastAsia="宋体"/>
          <w:b/>
          <w:sz w:val="24"/>
        </w:rPr>
        <w:t>反驳策略</w:t>
      </w:r>
      <w:r>
        <w:rPr>
          <w:rFonts w:ascii="宋体" w:hAnsi="宋体" w:eastAsia="宋体"/>
          <w:b w:val="0"/>
          <w:sz w:val="24"/>
        </w:rPr>
        <w:t>：</w:t>
      </w:r>
    </w:p>
    <w:p>
      <w:pPr>
        <w:pStyle w:val="ListBullet"/>
      </w:pPr>
      <w:r>
        <w:rPr>
          <w:rFonts w:ascii="宋体" w:hAnsi="宋体" w:eastAsia="宋体"/>
          <w:b/>
          <w:sz w:val="24"/>
        </w:rPr>
        <w:t>法律依据</w:t>
      </w:r>
      <w:r>
        <w:rPr>
          <w:rFonts w:ascii="宋体" w:hAnsi="宋体" w:eastAsia="宋体"/>
          <w:b w:val="0"/>
          <w:sz w:val="24"/>
        </w:rPr>
        <w:t>：法人独立地位。《民法典》第57条："法人是具有民事权利能力和民事行为能力，依法独立享有民事权利和承担民事义务的组织。"</w:t>
      </w:r>
    </w:p>
    <w:p>
      <w:pPr>
        <w:pStyle w:val="ListBullet"/>
      </w:pPr>
      <w:r>
        <w:rPr>
          <w:rFonts w:ascii="宋体" w:hAnsi="宋体" w:eastAsia="宋体"/>
          <w:b/>
          <w:sz w:val="24"/>
        </w:rPr>
        <w:t>事实依据</w:t>
      </w:r>
      <w:r>
        <w:rPr>
          <w:rFonts w:ascii="宋体" w:hAnsi="宋体" w:eastAsia="宋体"/>
          <w:b w:val="0"/>
          <w:sz w:val="24"/>
        </w:rPr>
        <w:t>：百益服务中心是独立法人，目前无任何机关对其刑事立案；马婵娟个人涉嫌犯罪 ≠ 百益服务中心涉嫌犯罪</w:t>
      </w:r>
    </w:p>
    <w:p>
      <w:pPr>
        <w:pStyle w:val="ListBullet"/>
      </w:pPr>
      <w:r>
        <w:rPr>
          <w:rFonts w:ascii="宋体" w:hAnsi="宋体" w:eastAsia="宋体"/>
          <w:b/>
          <w:sz w:val="24"/>
        </w:rPr>
        <w:t>裁判规则</w:t>
      </w:r>
      <w:r>
        <w:rPr>
          <w:rFonts w:ascii="宋体" w:hAnsi="宋体" w:eastAsia="宋体"/>
          <w:b w:val="0"/>
          <w:sz w:val="24"/>
        </w:rPr>
        <w:t>：法定代表人或实际控制人个人涉嫌犯罪，不等于法人主体涉嫌犯罪（九民纪要第128条即基于此逻辑）</w:t>
      </w:r>
    </w:p>
    <w:p>
      <w:r>
        <w:rPr>
          <w:rFonts w:ascii="宋体" w:hAnsi="宋体" w:eastAsia="宋体"/>
          <w:b/>
          <w:sz w:val="24"/>
        </w:rPr>
        <w:t>反驳策略</w:t>
      </w:r>
      <w:r>
        <w:rPr>
          <w:rFonts w:ascii="宋体" w:hAnsi="宋体" w:eastAsia="宋体"/>
          <w:b w:val="0"/>
          <w:sz w:val="24"/>
        </w:rPr>
        <w:t>：</w:t>
      </w:r>
    </w:p>
    <w:p>
      <w:pPr>
        <w:pStyle w:val="ListBullet"/>
      </w:pPr>
      <w:r>
        <w:rPr>
          <w:rFonts w:ascii="宋体" w:hAnsi="宋体" w:eastAsia="宋体"/>
          <w:b/>
          <w:sz w:val="24"/>
        </w:rPr>
        <w:t>关联性攻击</w:t>
      </w:r>
      <w:r>
        <w:rPr>
          <w:rFonts w:ascii="宋体" w:hAnsi="宋体" w:eastAsia="宋体"/>
          <w:b w:val="0"/>
          <w:sz w:val="24"/>
        </w:rPr>
        <w:t>：即便《公益理财服务协议》真实存在，也仅是案外人之间的协议，与本案无关</w:t>
      </w:r>
    </w:p>
    <w:p>
      <w:pPr>
        <w:pStyle w:val="ListBullet"/>
      </w:pPr>
      <w:r>
        <w:rPr>
          <w:rFonts w:ascii="宋体" w:hAnsi="宋体" w:eastAsia="宋体"/>
          <w:b/>
          <w:sz w:val="24"/>
        </w:rPr>
        <w:t>证明目的反驳</w:t>
      </w:r>
      <w:r>
        <w:rPr>
          <w:rFonts w:ascii="宋体" w:hAnsi="宋体" w:eastAsia="宋体"/>
          <w:b w:val="0"/>
          <w:sz w:val="24"/>
        </w:rPr>
        <w:t>：即使马婵娟个人涉嫌犯罪，根据九民纪要第128条，厚德基金会仍有权请求百益服务中心承担民事责任</w:t>
      </w:r>
    </w:p>
    <w:p>
      <w:pPr>
        <w:pStyle w:val="ListBullet"/>
      </w:pPr>
      <w:r>
        <w:rPr>
          <w:rFonts w:ascii="宋体" w:hAnsi="宋体" w:eastAsia="宋体"/>
          <w:b/>
          <w:sz w:val="24"/>
        </w:rPr>
        <w:t>程序应对</w:t>
      </w:r>
      <w:r>
        <w:rPr>
          <w:rFonts w:ascii="宋体" w:hAnsi="宋体" w:eastAsia="宋体"/>
          <w:b w:val="0"/>
          <w:sz w:val="24"/>
        </w:rPr>
        <w:t>：如对方二审提交新证据，立即申请质证期，主张该证据与本案无关联性</w:t>
      </w:r>
    </w:p>
    <w:p>
      <w:r>
        <w:rPr>
          <w:rFonts w:ascii="宋体" w:hAnsi="宋体" w:eastAsia="宋体"/>
          <w:b/>
          <w:sz w:val="24"/>
        </w:rPr>
        <w:t>应对预案</w:t>
      </w:r>
      <w:r>
        <w:rPr>
          <w:rFonts w:ascii="宋体" w:hAnsi="宋体" w:eastAsia="宋体"/>
          <w:b w:val="0"/>
          <w:sz w:val="24"/>
        </w:rPr>
        <w:t>：</w:t>
      </w:r>
    </w:p>
    <w:p>
      <w:pPr>
        <w:pStyle w:val="ListBullet"/>
      </w:pPr>
      <w:r>
        <w:rPr>
          <w:rFonts w:ascii="宋体" w:hAnsi="宋体" w:eastAsia="宋体"/>
          <w:b/>
          <w:sz w:val="24"/>
        </w:rPr>
        <w:t>法律依据强化</w:t>
      </w:r>
      <w:r>
        <w:rPr>
          <w:rFonts w:ascii="宋体" w:hAnsi="宋体" w:eastAsia="宋体"/>
          <w:b w:val="0"/>
          <w:sz w:val="24"/>
        </w:rPr>
        <w:t>：当庭宣读《经济犯罪嫌疑规定》第1条、第10条、第11条的严格适用条件</w:t>
      </w:r>
    </w:p>
    <w:p>
      <w:pPr>
        <w:pStyle w:val="ListBullet"/>
      </w:pPr>
      <w:r>
        <w:rPr>
          <w:rFonts w:ascii="宋体" w:hAnsi="宋体" w:eastAsia="宋体"/>
          <w:b/>
          <w:sz w:val="24"/>
        </w:rPr>
        <w:t>案例援引</w:t>
      </w:r>
      <w:r>
        <w:rPr>
          <w:rFonts w:ascii="宋体" w:hAnsi="宋体" w:eastAsia="宋体"/>
          <w:b w:val="0"/>
          <w:sz w:val="24"/>
        </w:rPr>
        <w:t>：援引最高人民法院入库案例（2021）黑01民初10号之三号，说明错误适用第11条的后果</w:t>
      </w:r>
    </w:p>
    <w:p>
      <w:pPr>
        <w:pStyle w:val="ListBullet"/>
      </w:pPr>
      <w:r>
        <w:rPr>
          <w:rFonts w:ascii="宋体" w:hAnsi="宋体" w:eastAsia="宋体"/>
          <w:b/>
          <w:sz w:val="24"/>
        </w:rPr>
        <w:t>程序施压</w:t>
      </w:r>
      <w:r>
        <w:rPr>
          <w:rFonts w:ascii="宋体" w:hAnsi="宋体" w:eastAsia="宋体"/>
          <w:b w:val="0"/>
          <w:sz w:val="24"/>
        </w:rPr>
        <w:t>：如法官明显倾向维持，当庭申请将我方法律意见记入庭审笔录</w:t>
      </w:r>
    </w:p>
    <w:p>
      <w:pPr>
        <w:pStyle w:val="Heading3"/>
        <w:jc w:val="left"/>
      </w:pPr>
      <w:r>
        <w:rPr>
          <w:rFonts w:ascii="黑体" w:hAnsi="黑体" w:eastAsia="黑体"/>
          <w:b/>
          <w:sz w:val="26"/>
        </w:rPr>
        <w:t>（三）初步诉讼策略/论证思路</w:t>
      </w:r>
    </w:p>
    <w:p>
      <w:pPr>
        <w:pStyle w:val="Heading4"/>
        <w:jc w:val="left"/>
      </w:pPr>
      <w:r>
        <w:rPr>
          <w:rFonts w:ascii="黑体" w:hAnsi="黑体" w:eastAsia="黑体"/>
          <w:b/>
          <w:sz w:val="24"/>
        </w:rPr>
        <w:t>1. 核心论证逻辑</w:t>
      </w:r>
    </w:p>
    <w:p>
      <w:pPr>
        <w:ind w:left="567"/>
      </w:pPr>
      <w:r>
        <w:rPr>
          <w:rFonts w:ascii="Consolas" w:hAnsi="Consolas" w:eastAsia="Consolas"/>
          <w:b w:val="0"/>
          <w:sz w:val="20"/>
        </w:rPr>
        <w:t>大前提（法律依据）：</w:t>
      </w:r>
    </w:p>
    <w:p>
      <w:pPr>
        <w:ind w:left="567"/>
      </w:pPr>
      <w:r>
        <w:rPr>
          <w:rFonts w:ascii="Consolas" w:hAnsi="Consolas" w:eastAsia="Consolas"/>
          <w:b w:val="0"/>
          <w:sz w:val="20"/>
        </w:rPr>
        <w:t xml:space="preserve">  - 《经济犯罪嫌疑规定》第1条：不同法律事实 → 分开审理</w:t>
      </w:r>
    </w:p>
    <w:p>
      <w:pPr>
        <w:ind w:left="567"/>
      </w:pPr>
      <w:r>
        <w:rPr>
          <w:rFonts w:ascii="Consolas" w:hAnsi="Consolas" w:eastAsia="Consolas"/>
          <w:b w:val="0"/>
          <w:sz w:val="20"/>
        </w:rPr>
        <w:t xml:space="preserve">  - 《经济犯罪嫌疑规定》第10条：有牵连但不同法律关系 → 移送线索、继续审理</w:t>
      </w:r>
    </w:p>
    <w:p>
      <w:pPr>
        <w:ind w:left="567"/>
      </w:pPr>
      <w:r>
        <w:rPr>
          <w:rFonts w:ascii="Consolas" w:hAnsi="Consolas" w:eastAsia="Consolas"/>
          <w:b w:val="0"/>
          <w:sz w:val="20"/>
        </w:rPr>
        <w:t xml:space="preserve">  - 《经济犯罪嫌疑规定》第11条：不属经济纠纷 → 驳回起诉（严格适用）</w:t>
      </w:r>
    </w:p>
    <w:p>
      <w:pPr>
        <w:ind w:left="567"/>
      </w:pPr>
      <w:r>
        <w:rPr>
          <w:rFonts w:ascii="Consolas" w:hAnsi="Consolas" w:eastAsia="Consolas"/>
          <w:b w:val="0"/>
          <w:sz w:val="20"/>
        </w:rPr>
        <w:t xml:space="preserve">  - 九民纪要第128条第(2)项：行为人以法人名义订立合同涉嫌犯罪，</w:t>
      </w:r>
    </w:p>
    <w:p>
      <w:pPr>
        <w:ind w:left="567"/>
      </w:pPr>
      <w:r>
        <w:rPr>
          <w:rFonts w:ascii="Consolas" w:hAnsi="Consolas" w:eastAsia="Consolas"/>
          <w:b w:val="0"/>
          <w:sz w:val="20"/>
        </w:rPr>
        <w:t xml:space="preserve">    合同相对人请求法人承担民事责任的 → 分别审理</w:t>
      </w:r>
    </w:p>
    <w:p>
      <w:pPr>
        <w:ind w:left="567"/>
      </w:pPr>
      <w:r>
        <w:rPr>
          <w:rFonts w:ascii="Consolas" w:hAnsi="Consolas" w:eastAsia="Consolas"/>
          <w:b w:val="0"/>
          <w:sz w:val="20"/>
        </w:rPr>
      </w:r>
    </w:p>
    <w:p>
      <w:pPr>
        <w:ind w:left="567"/>
      </w:pPr>
      <w:r>
        <w:rPr>
          <w:rFonts w:ascii="Consolas" w:hAnsi="Consolas" w:eastAsia="Consolas"/>
          <w:b w:val="0"/>
          <w:sz w:val="20"/>
        </w:rPr>
        <w:t>小前提（案件事实）：</w:t>
      </w:r>
    </w:p>
    <w:p>
      <w:pPr>
        <w:ind w:left="567"/>
      </w:pPr>
      <w:r>
        <w:rPr>
          <w:rFonts w:ascii="Consolas" w:hAnsi="Consolas" w:eastAsia="Consolas"/>
          <w:b w:val="0"/>
          <w:sz w:val="20"/>
        </w:rPr>
        <w:t xml:space="preserve">  - 本案法律事实：厚德基金会与百益服务中心之间的合同履行纠纷</w:t>
      </w:r>
    </w:p>
    <w:p>
      <w:pPr>
        <w:ind w:left="567"/>
      </w:pPr>
      <w:r>
        <w:rPr>
          <w:rFonts w:ascii="Consolas" w:hAnsi="Consolas" w:eastAsia="Consolas"/>
          <w:b w:val="0"/>
          <w:sz w:val="20"/>
        </w:rPr>
        <w:t xml:space="preserve">  - 涉嫌犯罪法律事实：马婵娟与孙某之间的《公益理财服务协议》</w:t>
      </w:r>
    </w:p>
    <w:p>
      <w:pPr>
        <w:ind w:left="567"/>
      </w:pPr>
      <w:r>
        <w:rPr>
          <w:rFonts w:ascii="Consolas" w:hAnsi="Consolas" w:eastAsia="Consolas"/>
          <w:b w:val="0"/>
          <w:sz w:val="20"/>
        </w:rPr>
        <w:t xml:space="preserve">  - 两案法律关系主体不同、客体不同 → 不是同一法律事实、不是同一法律关系</w:t>
      </w:r>
    </w:p>
    <w:p>
      <w:pPr>
        <w:ind w:left="567"/>
      </w:pPr>
      <w:r>
        <w:rPr>
          <w:rFonts w:ascii="Consolas" w:hAnsi="Consolas" w:eastAsia="Consolas"/>
          <w:b w:val="0"/>
          <w:sz w:val="20"/>
        </w:rPr>
        <w:t xml:space="preserve">  - 马婵娟以百益服务中心名义签订合同 → 厚德基金会请求百益服务中心承担民事责任</w:t>
      </w:r>
    </w:p>
    <w:p>
      <w:pPr>
        <w:ind w:left="567"/>
      </w:pPr>
      <w:r>
        <w:rPr>
          <w:rFonts w:ascii="Consolas" w:hAnsi="Consolas" w:eastAsia="Consolas"/>
          <w:b w:val="0"/>
          <w:sz w:val="20"/>
        </w:rPr>
        <w:t xml:space="preserve">    → 符合九民纪要第128条第(2)项 → 应当分别审理</w:t>
      </w:r>
    </w:p>
    <w:p>
      <w:pPr>
        <w:ind w:left="567"/>
      </w:pPr>
      <w:r>
        <w:rPr>
          <w:rFonts w:ascii="Consolas" w:hAnsi="Consolas" w:eastAsia="Consolas"/>
          <w:b w:val="0"/>
          <w:sz w:val="20"/>
        </w:rPr>
        <w:t xml:space="preserve">  - 一审裁定依据的事实未经质证 → 程序违法</w:t>
      </w:r>
    </w:p>
    <w:p>
      <w:pPr>
        <w:ind w:left="567"/>
      </w:pPr>
      <w:r>
        <w:rPr>
          <w:rFonts w:ascii="Consolas" w:hAnsi="Consolas" w:eastAsia="Consolas"/>
          <w:b w:val="0"/>
          <w:sz w:val="20"/>
        </w:rPr>
      </w:r>
    </w:p>
    <w:p>
      <w:pPr>
        <w:ind w:left="567"/>
      </w:pPr>
      <w:r>
        <w:rPr>
          <w:rFonts w:ascii="Consolas" w:hAnsi="Consolas" w:eastAsia="Consolas"/>
          <w:b w:val="0"/>
          <w:sz w:val="20"/>
        </w:rPr>
        <w:t>结论：</w:t>
      </w:r>
    </w:p>
    <w:p>
      <w:pPr>
        <w:ind w:left="567"/>
      </w:pPr>
      <w:r>
        <w:rPr>
          <w:rFonts w:ascii="Consolas" w:hAnsi="Consolas" w:eastAsia="Consolas"/>
          <w:b w:val="0"/>
          <w:sz w:val="20"/>
        </w:rPr>
        <w:t xml:space="preserve">  - 一审裁定认定事实错误（采纳未经质证的事实）</w:t>
      </w:r>
    </w:p>
    <w:p>
      <w:pPr>
        <w:ind w:left="567"/>
      </w:pPr>
      <w:r>
        <w:rPr>
          <w:rFonts w:ascii="Consolas" w:hAnsi="Consolas" w:eastAsia="Consolas"/>
          <w:b w:val="0"/>
          <w:sz w:val="20"/>
        </w:rPr>
        <w:t xml:space="preserve">  - 一审裁定适用法律错误（错误适用第11条，应适用第1条/第10条/九民纪要第128条）</w:t>
      </w:r>
    </w:p>
    <w:p>
      <w:pPr>
        <w:ind w:left="567"/>
      </w:pPr>
      <w:r>
        <w:rPr>
          <w:rFonts w:ascii="Consolas" w:hAnsi="Consolas" w:eastAsia="Consolas"/>
          <w:b w:val="0"/>
          <w:sz w:val="20"/>
        </w:rPr>
        <w:t xml:space="preserve">  - 请求二审撤销一审裁定，指令继续审理</w:t>
      </w:r>
    </w:p>
    <w:p>
      <w:pPr>
        <w:pStyle w:val="Heading4"/>
        <w:jc w:val="left"/>
      </w:pPr>
      <w:r>
        <w:rPr>
          <w:rFonts w:ascii="黑体" w:hAnsi="黑体" w:eastAsia="黑体"/>
          <w:b/>
          <w:sz w:val="24"/>
        </w:rPr>
        <w:t>2. 重点待证事实</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Pr>
                <w:rFonts w:ascii="黑体" w:hAnsi="黑体" w:eastAsia="黑体"/>
                <w:b/>
                <w:sz w:val="20"/>
              </w:rPr>
              <w:t>待证事实</w:t>
            </w:r>
          </w:p>
        </w:tc>
        <w:tc>
          <w:tcPr>
            <w:tcW w:type="dxa" w:w="2882"/>
          </w:tcPr>
          <w:p>
            <w:pPr>
              <w:jc w:val="center"/>
            </w:pPr>
            <w:r>
              <w:rPr>
                <w:rFonts w:ascii="黑体" w:hAnsi="黑体" w:eastAsia="黑体"/>
                <w:b/>
                <w:sz w:val="20"/>
              </w:rPr>
              <w:t>证据</w:t>
            </w:r>
          </w:p>
        </w:tc>
        <w:tc>
          <w:tcPr>
            <w:tcW w:type="dxa" w:w="2882"/>
          </w:tcPr>
          <w:p>
            <w:pPr>
              <w:jc w:val="center"/>
            </w:pPr>
            <w:r>
              <w:rPr>
                <w:rFonts w:ascii="黑体" w:hAnsi="黑体" w:eastAsia="黑体"/>
                <w:b/>
                <w:sz w:val="20"/>
              </w:rPr>
              <w:t>证明力</w:t>
            </w:r>
          </w:p>
        </w:tc>
      </w:tr>
      <w:tr>
        <w:tc>
          <w:tcPr>
            <w:tcW w:type="dxa" w:w="2882"/>
          </w:tcPr>
          <w:p>
            <w:r>
              <w:rPr>
                <w:rFonts w:ascii="宋体" w:hAnsi="宋体" w:eastAsia="宋体"/>
                <w:b w:val="0"/>
                <w:sz w:val="20"/>
              </w:rPr>
              <w:t>一审裁定依据的"涉嫌经济犯罪"事实未经质证</w:t>
            </w:r>
          </w:p>
        </w:tc>
        <w:tc>
          <w:tcPr>
            <w:tcW w:type="dxa" w:w="2882"/>
          </w:tcPr>
          <w:p>
            <w:r>
              <w:rPr>
                <w:rFonts w:ascii="宋体" w:hAnsi="宋体" w:eastAsia="宋体"/>
                <w:b w:val="0"/>
                <w:sz w:val="20"/>
              </w:rPr>
              <w:t>2025年2月25日《庭审笔录》</w:t>
            </w:r>
          </w:p>
        </w:tc>
        <w:tc>
          <w:tcPr>
            <w:tcW w:type="dxa" w:w="2882"/>
          </w:tcPr>
          <w:p>
            <w:r>
              <w:rPr>
                <w:rFonts w:ascii="宋体" w:hAnsi="宋体" w:eastAsia="宋体"/>
                <w:b/>
                <w:sz w:val="20"/>
              </w:rPr>
              <w:t>强</w:t>
            </w:r>
            <w:r>
              <w:rPr>
                <w:rFonts w:ascii="宋体" w:hAnsi="宋体" w:eastAsia="宋体"/>
                <w:b w:val="0"/>
                <w:sz w:val="20"/>
              </w:rPr>
              <w:t>（法院卷宗）</w:t>
            </w:r>
          </w:p>
        </w:tc>
      </w:tr>
      <w:tr>
        <w:tc>
          <w:tcPr>
            <w:tcW w:type="dxa" w:w="2882"/>
          </w:tcPr>
          <w:p>
            <w:r>
              <w:rPr>
                <w:rFonts w:ascii="宋体" w:hAnsi="宋体" w:eastAsia="宋体"/>
                <w:b w:val="0"/>
                <w:sz w:val="20"/>
              </w:rPr>
              <w:t>百益服务中心未被刑事立案侦查</w:t>
            </w:r>
          </w:p>
        </w:tc>
        <w:tc>
          <w:tcPr>
            <w:tcW w:type="dxa" w:w="2882"/>
          </w:tcPr>
          <w:p>
            <w:r>
              <w:rPr>
                <w:rFonts w:ascii="宋体" w:hAnsi="宋体" w:eastAsia="宋体"/>
                <w:b w:val="0"/>
                <w:sz w:val="20"/>
              </w:rPr>
              <w:t>公安机关查询记录（待补充）</w:t>
            </w:r>
          </w:p>
        </w:tc>
        <w:tc>
          <w:tcPr>
            <w:tcW w:type="dxa" w:w="2882"/>
          </w:tcPr>
          <w:p>
            <w:r>
              <w:rPr>
                <w:rFonts w:ascii="宋体" w:hAnsi="宋体" w:eastAsia="宋体"/>
                <w:b/>
                <w:sz w:val="20"/>
              </w:rPr>
              <w:t>强</w:t>
            </w:r>
            <w:r>
              <w:rPr>
                <w:rFonts w:ascii="宋体" w:hAnsi="宋体" w:eastAsia="宋体"/>
                <w:b w:val="0"/>
                <w:sz w:val="20"/>
              </w:rPr>
              <w:t>（官方证明）</w:t>
            </w:r>
          </w:p>
        </w:tc>
      </w:tr>
      <w:tr>
        <w:tc>
          <w:tcPr>
            <w:tcW w:type="dxa" w:w="2882"/>
          </w:tcPr>
          <w:p>
            <w:r>
              <w:rPr>
                <w:rFonts w:ascii="宋体" w:hAnsi="宋体" w:eastAsia="宋体"/>
                <w:b w:val="0"/>
                <w:sz w:val="20"/>
              </w:rPr>
              <w:t>李丽、李佳豪未被刑事立案侦查</w:t>
            </w:r>
          </w:p>
        </w:tc>
        <w:tc>
          <w:tcPr>
            <w:tcW w:type="dxa" w:w="2882"/>
          </w:tcPr>
          <w:p>
            <w:r>
              <w:rPr>
                <w:rFonts w:ascii="宋体" w:hAnsi="宋体" w:eastAsia="宋体"/>
                <w:b w:val="0"/>
                <w:sz w:val="20"/>
              </w:rPr>
              <w:t>公安机关查询记录（待补充）</w:t>
            </w:r>
          </w:p>
        </w:tc>
        <w:tc>
          <w:tcPr>
            <w:tcW w:type="dxa" w:w="2882"/>
          </w:tcPr>
          <w:p>
            <w:r>
              <w:rPr>
                <w:rFonts w:ascii="宋体" w:hAnsi="宋体" w:eastAsia="宋体"/>
                <w:b/>
                <w:sz w:val="20"/>
              </w:rPr>
              <w:t>强</w:t>
            </w:r>
            <w:r>
              <w:rPr>
                <w:rFonts w:ascii="宋体" w:hAnsi="宋体" w:eastAsia="宋体"/>
                <w:b w:val="0"/>
                <w:sz w:val="20"/>
              </w:rPr>
              <w:t>（官方证明）</w:t>
            </w:r>
          </w:p>
        </w:tc>
      </w:tr>
      <w:tr>
        <w:tc>
          <w:tcPr>
            <w:tcW w:type="dxa" w:w="2882"/>
          </w:tcPr>
          <w:p>
            <w:r>
              <w:rPr>
                <w:rFonts w:ascii="宋体" w:hAnsi="宋体" w:eastAsia="宋体"/>
                <w:b w:val="0"/>
                <w:sz w:val="20"/>
              </w:rPr>
              <w:t>厚德基金会与百益服务中心之间存在合法有效的合同关系</w:t>
            </w:r>
          </w:p>
        </w:tc>
        <w:tc>
          <w:tcPr>
            <w:tcW w:type="dxa" w:w="2882"/>
          </w:tcPr>
          <w:p>
            <w:r>
              <w:rPr>
                <w:rFonts w:ascii="宋体" w:hAnsi="宋体" w:eastAsia="宋体"/>
                <w:b w:val="0"/>
                <w:sz w:val="20"/>
              </w:rPr>
              <w:t>《项目合作协议书》+《捐赠协议书》</w:t>
            </w:r>
          </w:p>
        </w:tc>
        <w:tc>
          <w:tcPr>
            <w:tcW w:type="dxa" w:w="2882"/>
          </w:tcPr>
          <w:p>
            <w:r>
              <w:rPr>
                <w:rFonts w:ascii="宋体" w:hAnsi="宋体" w:eastAsia="宋体"/>
                <w:b/>
                <w:sz w:val="20"/>
              </w:rPr>
              <w:t>强</w:t>
            </w:r>
            <w:r>
              <w:rPr>
                <w:rFonts w:ascii="宋体" w:hAnsi="宋体" w:eastAsia="宋体"/>
                <w:b w:val="0"/>
                <w:sz w:val="20"/>
              </w:rPr>
              <w:t>（书面合同）</w:t>
            </w:r>
          </w:p>
        </w:tc>
      </w:tr>
      <w:tr>
        <w:tc>
          <w:tcPr>
            <w:tcW w:type="dxa" w:w="2882"/>
          </w:tcPr>
          <w:p>
            <w:r>
              <w:rPr>
                <w:rFonts w:ascii="宋体" w:hAnsi="宋体" w:eastAsia="宋体"/>
                <w:b w:val="0"/>
                <w:sz w:val="20"/>
              </w:rPr>
              <w:t>善款已专项用于慈善项目</w:t>
            </w:r>
          </w:p>
        </w:tc>
        <w:tc>
          <w:tcPr>
            <w:tcW w:type="dxa" w:w="2882"/>
          </w:tcPr>
          <w:p>
            <w:r>
              <w:rPr>
                <w:rFonts w:ascii="宋体" w:hAnsi="宋体" w:eastAsia="宋体"/>
                <w:b w:val="0"/>
                <w:sz w:val="20"/>
              </w:rPr>
              <w:t>项目履行证据（食堂运营记录等）</w:t>
            </w:r>
          </w:p>
        </w:tc>
        <w:tc>
          <w:tcPr>
            <w:tcW w:type="dxa" w:w="2882"/>
          </w:tcPr>
          <w:p>
            <w:r>
              <w:rPr>
                <w:rFonts w:ascii="宋体" w:hAnsi="宋体" w:eastAsia="宋体"/>
                <w:b/>
                <w:sz w:val="20"/>
              </w:rPr>
              <w:t>中</w:t>
            </w:r>
            <w:r>
              <w:rPr>
                <w:rFonts w:ascii="宋体" w:hAnsi="宋体" w:eastAsia="宋体"/>
                <w:b w:val="0"/>
                <w:sz w:val="20"/>
              </w:rPr>
              <w:t>（需补充）</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本案涉及经济犯罪嫌疑，应驳回起诉</w:t>
            </w:r>
          </w:p>
        </w:tc>
        <w:tc>
          <w:tcPr>
            <w:tcW w:type="dxa" w:w="2161"/>
          </w:tcPr>
          <w:p>
            <w:pPr>
              <w:jc w:val="center"/>
            </w:pPr>
            <w:r>
              <w:rPr>
                <w:rFonts w:ascii="黑体" w:hAnsi="黑体" w:eastAsia="黑体"/>
                <w:b/>
                <w:sz w:val="20"/>
              </w:rPr>
              <w:t>本案是经济纠纷，不符合第11条"不属经济纠纷"的适用前提</w:t>
            </w:r>
          </w:p>
        </w:tc>
        <w:tc>
          <w:tcPr>
            <w:tcW w:type="dxa" w:w="2161"/>
          </w:tcPr>
          <w:p>
            <w:pPr>
              <w:jc w:val="center"/>
            </w:pPr>
            <w:r>
              <w:rPr>
                <w:rFonts w:ascii="黑体" w:hAnsi="黑体" w:eastAsia="黑体"/>
                <w:b/>
                <w:sz w:val="20"/>
              </w:rPr>
              <w:t>《经济犯罪嫌疑规定》第11条</w:t>
            </w:r>
          </w:p>
        </w:tc>
        <w:tc>
          <w:tcPr>
            <w:tcW w:type="dxa" w:w="2161"/>
          </w:tcPr>
          <w:p>
            <w:pPr>
              <w:jc w:val="center"/>
            </w:pPr>
            <w:r>
              <w:rPr>
                <w:rFonts w:ascii="黑体" w:hAnsi="黑体" w:eastAsia="黑体"/>
                <w:b/>
                <w:sz w:val="20"/>
              </w:rPr>
              <w:t>最高人民法院判例</w:t>
            </w:r>
          </w:p>
        </w:tc>
      </w:tr>
      <w:tr>
        <w:tc>
          <w:tcPr>
            <w:tcW w:type="dxa" w:w="2161"/>
          </w:tcPr>
          <w:p>
            <w:r>
              <w:rPr>
                <w:rFonts w:ascii="宋体" w:hAnsi="宋体" w:eastAsia="宋体"/>
                <w:b w:val="0"/>
                <w:sz w:val="20"/>
              </w:rPr>
              <w:t>一审裁定认定事实正确</w:t>
            </w:r>
          </w:p>
        </w:tc>
        <w:tc>
          <w:tcPr>
            <w:tcW w:type="dxa" w:w="2161"/>
          </w:tcPr>
          <w:p>
            <w:r>
              <w:rPr>
                <w:rFonts w:ascii="宋体" w:hAnsi="宋体" w:eastAsia="宋体"/>
                <w:b w:val="0"/>
                <w:sz w:val="20"/>
              </w:rPr>
              <w:t>一审裁定依据的事实未经举证质证，程序违法</w:t>
            </w:r>
          </w:p>
        </w:tc>
        <w:tc>
          <w:tcPr>
            <w:tcW w:type="dxa" w:w="2161"/>
          </w:tcPr>
          <w:p>
            <w:r>
              <w:rPr>
                <w:rFonts w:ascii="宋体" w:hAnsi="宋体" w:eastAsia="宋体"/>
                <w:b w:val="0"/>
                <w:sz w:val="20"/>
              </w:rPr>
              <w:t>《民事诉讼法》第68条</w:t>
            </w:r>
          </w:p>
        </w:tc>
        <w:tc>
          <w:tcPr>
            <w:tcW w:type="dxa" w:w="2161"/>
          </w:tcPr>
          <w:p>
            <w:r>
              <w:rPr>
                <w:rFonts w:ascii="宋体" w:hAnsi="宋体" w:eastAsia="宋体"/>
                <w:b w:val="0"/>
                <w:sz w:val="20"/>
              </w:rPr>
              <w:t>未经质证证据定案的程序违法案例</w:t>
            </w:r>
          </w:p>
        </w:tc>
      </w:tr>
    </w:tbl>
    <w:p>
      <w:pPr>
        <w:pStyle w:val="Heading4"/>
        <w:jc w:val="left"/>
      </w:pPr>
      <w:r>
        <w:rPr>
          <w:rFonts w:ascii="黑体" w:hAnsi="黑体" w:eastAsia="黑体"/>
          <w:b/>
          <w:sz w:val="24"/>
        </w:rPr>
        <w:t>4. 初步建议</w:t>
      </w:r>
    </w:p>
    <w:p>
      <w:pPr>
        <w:pStyle w:val="ListBullet"/>
      </w:pPr>
      <w:r>
        <w:rPr>
          <w:rFonts w:ascii="宋体" w:hAnsi="宋体" w:eastAsia="宋体"/>
          <w:b/>
          <w:sz w:val="24"/>
        </w:rPr>
        <w:t>核心诉求</w:t>
      </w:r>
      <w:r>
        <w:rPr>
          <w:rFonts w:ascii="宋体" w:hAnsi="宋体" w:eastAsia="宋体"/>
          <w:b w:val="0"/>
          <w:sz w:val="24"/>
        </w:rPr>
        <w:t>：请求二审撤销一审裁定，指令继续审理（而非调解或和解，本案为程序性裁定上诉）</w:t>
      </w:r>
    </w:p>
    <w:p>
      <w:pPr>
        <w:pStyle w:val="ListBullet"/>
      </w:pPr>
      <w:r>
        <w:rPr>
          <w:rFonts w:ascii="宋体" w:hAnsi="宋体" w:eastAsia="宋体"/>
          <w:b/>
          <w:sz w:val="24"/>
        </w:rPr>
        <w:t>举证策略</w:t>
      </w:r>
      <w:r>
        <w:rPr>
          <w:rFonts w:ascii="宋体" w:hAnsi="宋体" w:eastAsia="宋体"/>
          <w:b w:val="0"/>
          <w:sz w:val="24"/>
        </w:rPr>
        <w:t>：立即向二审法院申请调取一审全部卷宗（特别是《庭审笔录》），补充公安机关查询记录（证明百益服务中心等未被刑事立案）</w:t>
      </w:r>
    </w:p>
    <w:p>
      <w:pPr>
        <w:pStyle w:val="ListBullet"/>
      </w:pPr>
      <w:r>
        <w:rPr>
          <w:rFonts w:ascii="宋体" w:hAnsi="宋体" w:eastAsia="宋体"/>
          <w:b/>
          <w:sz w:val="24"/>
        </w:rPr>
        <w:t>法律论证</w:t>
      </w:r>
      <w:r>
        <w:rPr>
          <w:rFonts w:ascii="宋体" w:hAnsi="宋体" w:eastAsia="宋体"/>
          <w:b w:val="0"/>
          <w:sz w:val="24"/>
        </w:rPr>
        <w:t>：重点论证"一审错误适用第11条"和"一审程序违法（未经质证）"两个核心点</w:t>
      </w:r>
    </w:p>
    <w:p>
      <w:pPr>
        <w:pStyle w:val="ListBullet"/>
      </w:pPr>
      <w:r>
        <w:rPr>
          <w:rFonts w:ascii="宋体" w:hAnsi="宋体" w:eastAsia="宋体"/>
          <w:b/>
          <w:sz w:val="24"/>
        </w:rPr>
        <w:t>风险提示</w:t>
      </w:r>
      <w:r>
        <w:rPr>
          <w:rFonts w:ascii="宋体" w:hAnsi="宋体" w:eastAsia="宋体"/>
          <w:b w:val="0"/>
          <w:sz w:val="24"/>
        </w:rPr>
        <w:t>：如二审法院认为"涉嫌经济犯罪"事实存在，可能维持一审裁定 → 需强化"分别审理"的法律论证，援引九民纪要第128条</w:t>
      </w:r>
    </w:p>
    <w:p>
      <w:pPr>
        <w:pStyle w:val="Heading3"/>
        <w:jc w:val="left"/>
      </w:pPr>
      <w:r>
        <w:rPr>
          <w:rFonts w:ascii="黑体" w:hAnsi="黑体" w:eastAsia="黑体"/>
          <w:b/>
          <w:sz w:val="26"/>
        </w:rPr>
        <w:t>（四）裁判观点比较分析</w:t>
      </w:r>
    </w:p>
    <w:p>
      <w:r>
        <w:rPr>
          <w:rFonts w:ascii="宋体" w:hAnsi="宋体" w:eastAsia="宋体"/>
          <w:b/>
          <w:sz w:val="24"/>
        </w:rPr>
        <w:t>综合裁判观点</w:t>
      </w:r>
      <w:r>
        <w:rPr>
          <w:rFonts w:ascii="宋体" w:hAnsi="宋体" w:eastAsia="宋体"/>
          <w:b w:val="0"/>
          <w:sz w:val="24"/>
        </w:rPr>
        <w:t>：</w:t>
      </w:r>
    </w:p>
    <w:p>
      <w:pPr>
        <w:pStyle w:val="ListBullet"/>
      </w:pPr>
      <w:r>
        <w:rPr>
          <w:rFonts w:ascii="宋体" w:hAnsi="宋体" w:eastAsia="宋体"/>
          <w:b/>
          <w:sz w:val="24"/>
        </w:rPr>
        <w:t>最高人民法院</w:t>
      </w:r>
      <w:r>
        <w:rPr>
          <w:rFonts w:ascii="宋体" w:hAnsi="宋体" w:eastAsia="宋体"/>
          <w:b w:val="0"/>
          <w:sz w:val="24"/>
        </w:rPr>
        <w:t>：严格限制《经济犯罪嫌疑规定》第11条的适用，优先适用第1条（分开审理）和第10条（移送线索、继续审理）；九民纪要第128条应当参照适用</w:t>
      </w:r>
    </w:p>
    <w:p>
      <w:pPr>
        <w:pStyle w:val="ListBullet"/>
      </w:pPr>
      <w:r>
        <w:rPr>
          <w:rFonts w:ascii="宋体" w:hAnsi="宋体" w:eastAsia="宋体"/>
          <w:b/>
          <w:sz w:val="24"/>
        </w:rPr>
        <w:t>地方法院差异</w:t>
      </w:r>
      <w:r>
        <w:rPr>
          <w:rFonts w:ascii="宋体" w:hAnsi="宋体" w:eastAsia="宋体"/>
          <w:b w:val="0"/>
          <w:sz w:val="24"/>
        </w:rPr>
        <w:t>：部分地方法院存在扩大适用第11条的问题，但已被最高人民法院通过案例和纪要予以纠正</w:t>
      </w:r>
    </w:p>
    <w:p>
      <w:pPr>
        <w:pStyle w:val="ListBullet"/>
      </w:pPr>
      <w:r>
        <w:rPr>
          <w:rFonts w:ascii="宋体" w:hAnsi="宋体" w:eastAsia="宋体"/>
          <w:b/>
          <w:sz w:val="24"/>
        </w:rPr>
        <w:t>本案策略</w:t>
      </w:r>
      <w:r>
        <w:rPr>
          <w:rFonts w:ascii="宋体" w:hAnsi="宋体" w:eastAsia="宋体"/>
          <w:b w:val="0"/>
          <w:sz w:val="24"/>
        </w:rPr>
        <w:t>：锚定最高人民法院的裁判观点，论证一审错误适用第11条，请求撤销一审裁定、指令继续审理</w:t>
      </w:r>
    </w:p>
    <w:p>
      <w:pPr>
        <w:pStyle w:val="Heading3"/>
        <w:jc w:val="left"/>
      </w:pPr>
      <w:r>
        <w:rPr>
          <w:rFonts w:ascii="黑体" w:hAnsi="黑体" w:eastAsia="黑体"/>
          <w:b/>
          <w:sz w:val="26"/>
        </w:rPr>
        <w:t>（五）法律法规研读分析</w:t>
      </w:r>
    </w:p>
    <w:p>
      <w:r>
        <w:rPr>
          <w:rFonts w:ascii="宋体" w:hAnsi="宋体" w:eastAsia="宋体"/>
          <w:b/>
          <w:sz w:val="24"/>
        </w:rPr>
        <w:t>《经济犯罪嫌疑规定》第11条的严格适用</w:t>
      </w:r>
      <w:r>
        <w:rPr>
          <w:rFonts w:ascii="宋体" w:hAnsi="宋体" w:eastAsia="宋体"/>
          <w:b w:val="0"/>
          <w:sz w:val="24"/>
        </w:rPr>
        <w:t>：</w:t>
      </w:r>
    </w:p>
    <w:p>
      <w:pPr>
        <w:pStyle w:val="ListBullet"/>
      </w:pPr>
      <w:r>
        <w:rPr>
          <w:rFonts w:ascii="宋体" w:hAnsi="宋体" w:eastAsia="宋体"/>
          <w:b w:val="0"/>
          <w:sz w:val="24"/>
        </w:rPr>
        <w:t>第11条的适用前提是"</w:t>
      </w:r>
      <w:r>
        <w:rPr>
          <w:rFonts w:ascii="宋体" w:hAnsi="宋体" w:eastAsia="宋体"/>
          <w:b/>
          <w:sz w:val="24"/>
        </w:rPr>
        <w:t>不属经济纠纷</w:t>
      </w:r>
      <w:r>
        <w:rPr>
          <w:rFonts w:ascii="宋体" w:hAnsi="宋体" w:eastAsia="宋体"/>
          <w:b w:val="0"/>
          <w:sz w:val="24"/>
        </w:rPr>
        <w:t>而有经济犯罪嫌疑"，即整个案件本质上是刑事案件</w:t>
      </w:r>
    </w:p>
    <w:p>
      <w:pPr>
        <w:pStyle w:val="ListBullet"/>
      </w:pPr>
      <w:r>
        <w:rPr>
          <w:rFonts w:ascii="宋体" w:hAnsi="宋体" w:eastAsia="宋体"/>
          <w:b w:val="0"/>
          <w:sz w:val="24"/>
        </w:rPr>
        <w:t>本案本质上是</w:t>
      </w:r>
      <w:r>
        <w:rPr>
          <w:rFonts w:ascii="宋体" w:hAnsi="宋体" w:eastAsia="宋体"/>
          <w:b/>
          <w:sz w:val="24"/>
        </w:rPr>
        <w:t>经济纠纷</w:t>
      </w:r>
      <w:r>
        <w:rPr>
          <w:rFonts w:ascii="宋体" w:hAnsi="宋体" w:eastAsia="宋体"/>
          <w:b w:val="0"/>
          <w:sz w:val="24"/>
        </w:rPr>
        <w:t>（合同履行纠纷），只是与经济犯罪嫌疑有牵连，不符合第11条的适用前提</w:t>
      </w:r>
    </w:p>
    <w:p>
      <w:pPr>
        <w:pStyle w:val="ListBullet"/>
      </w:pPr>
      <w:r>
        <w:rPr>
          <w:rFonts w:ascii="宋体" w:hAnsi="宋体" w:eastAsia="宋体"/>
          <w:b w:val="0"/>
          <w:sz w:val="24"/>
        </w:rPr>
        <w:t>一审法院扩大适用第11条，属于</w:t>
      </w:r>
      <w:r>
        <w:rPr>
          <w:rFonts w:ascii="宋体" w:hAnsi="宋体" w:eastAsia="宋体"/>
          <w:b/>
          <w:sz w:val="24"/>
        </w:rPr>
        <w:t>适用法律错误</w:t>
      </w:r>
    </w:p>
    <w:p>
      <w:pPr>
        <w:pStyle w:val="ListBullet"/>
      </w:pPr>
      <w:r>
        <w:rPr>
          <w:rFonts w:ascii="宋体" w:hAnsi="宋体" w:eastAsia="宋体"/>
          <w:b w:val="0"/>
          <w:sz w:val="24"/>
        </w:rPr>
        <w:t>第128条第(2)项的适用条件：行为人以法人名义订立合同 → 涉嫌犯罪 → 合同相对人请求</w:t>
      </w:r>
      <w:r>
        <w:rPr>
          <w:rFonts w:ascii="宋体" w:hAnsi="宋体" w:eastAsia="宋体"/>
          <w:b/>
          <w:sz w:val="24"/>
        </w:rPr>
        <w:t>法人</w:t>
      </w:r>
      <w:r>
        <w:rPr>
          <w:rFonts w:ascii="宋体" w:hAnsi="宋体" w:eastAsia="宋体"/>
          <w:b w:val="0"/>
          <w:sz w:val="24"/>
        </w:rPr>
        <w:t>承担民事责任</w:t>
      </w:r>
    </w:p>
    <w:p>
      <w:pPr>
        <w:pStyle w:val="ListBullet"/>
      </w:pPr>
      <w:r>
        <w:rPr>
          <w:rFonts w:ascii="宋体" w:hAnsi="宋体" w:eastAsia="宋体"/>
          <w:b w:val="0"/>
          <w:sz w:val="24"/>
        </w:rPr>
        <w:t>本案完全符合：马婵娟以百益服务中心名义订立合同 → 马婵娟涉嫌犯罪 → 厚德基金会请求百益服务中心承担民事责任</w:t>
      </w:r>
    </w:p>
    <w:p>
      <w:pPr>
        <w:pStyle w:val="ListBullet"/>
      </w:pPr>
      <w:r>
        <w:rPr>
          <w:rFonts w:ascii="宋体" w:hAnsi="宋体" w:eastAsia="宋体"/>
          <w:b w:val="0"/>
          <w:sz w:val="24"/>
        </w:rPr>
        <w:t>一审未参照适用九民纪要第128条，属于</w:t>
      </w:r>
      <w:r>
        <w:rPr>
          <w:rFonts w:ascii="宋体" w:hAnsi="宋体" w:eastAsia="宋体"/>
          <w:b/>
          <w:sz w:val="24"/>
        </w:rPr>
        <w:t>适用法律错误</w:t>
      </w:r>
    </w:p>
    <w:p>
      <w:pPr>
        <w:pStyle w:val="Heading3"/>
        <w:jc w:val="left"/>
      </w:pPr>
      <w:r>
        <w:rPr>
          <w:rFonts w:ascii="黑体" w:hAnsi="黑体" w:eastAsia="黑体"/>
          <w:b/>
          <w:sz w:val="26"/>
        </w:rPr>
        <w:t>（六）庭审准备建议</w:t>
      </w:r>
    </w:p>
    <w:p>
      <w:pPr>
        <w:pStyle w:val="Heading4"/>
        <w:jc w:val="left"/>
      </w:pPr>
      <w:r>
        <w:rPr>
          <w:rFonts w:ascii="黑体" w:hAnsi="黑体" w:eastAsia="黑体"/>
          <w:b/>
          <w:sz w:val="24"/>
        </w:rPr>
        <w:t>1. 核心论证逻辑（用于代理词/辩护词）</w:t>
      </w:r>
    </w:p>
    <w:p>
      <w:pPr>
        <w:ind w:left="567"/>
      </w:pPr>
      <w:r>
        <w:rPr>
          <w:rFonts w:ascii="Consolas" w:hAnsi="Consolas" w:eastAsia="Consolas"/>
          <w:b w:val="0"/>
          <w:sz w:val="20"/>
        </w:rPr>
        <w:t>【大前提（法律依据）】：</w:t>
      </w:r>
    </w:p>
    <w:p>
      <w:pPr>
        <w:ind w:left="567"/>
      </w:pPr>
      <w:r>
        <w:rPr>
          <w:rFonts w:ascii="Consolas" w:hAnsi="Consolas" w:eastAsia="Consolas"/>
          <w:b w:val="0"/>
          <w:sz w:val="20"/>
        </w:rPr>
        <w:t>1. 《经济犯罪嫌疑规定》第1条：不同法律事实 → 分开审理</w:t>
      </w:r>
    </w:p>
    <w:p>
      <w:pPr>
        <w:ind w:left="567"/>
      </w:pPr>
      <w:r>
        <w:rPr>
          <w:rFonts w:ascii="Consolas" w:hAnsi="Consolas" w:eastAsia="Consolas"/>
          <w:b w:val="0"/>
          <w:sz w:val="20"/>
        </w:rPr>
        <w:t>2. 《经济犯罪嫌疑规定》第10条：有牵连但不同法律关系 → 移送线索、继续审理</w:t>
      </w:r>
    </w:p>
    <w:p>
      <w:pPr>
        <w:ind w:left="567"/>
      </w:pPr>
      <w:r>
        <w:rPr>
          <w:rFonts w:ascii="Consolas" w:hAnsi="Consolas" w:eastAsia="Consolas"/>
          <w:b w:val="0"/>
          <w:sz w:val="20"/>
        </w:rPr>
        <w:t>3. 《经济犯罪嫌疑规定》第11条：严格适用"不属经济纠纷"前提</w:t>
      </w:r>
    </w:p>
    <w:p>
      <w:pPr>
        <w:ind w:left="567"/>
      </w:pPr>
      <w:r>
        <w:rPr>
          <w:rFonts w:ascii="Consolas" w:hAnsi="Consolas" w:eastAsia="Consolas"/>
          <w:b w:val="0"/>
          <w:sz w:val="20"/>
        </w:rPr>
        <w:t>4. 九民纪要第128条第(2)项：分别审理</w:t>
      </w:r>
    </w:p>
    <w:p>
      <w:pPr>
        <w:ind w:left="567"/>
      </w:pPr>
      <w:r>
        <w:rPr>
          <w:rFonts w:ascii="Consolas" w:hAnsi="Consolas" w:eastAsia="Consolas"/>
          <w:b w:val="0"/>
          <w:sz w:val="20"/>
        </w:rPr>
      </w:r>
    </w:p>
    <w:p>
      <w:pPr>
        <w:ind w:left="567"/>
      </w:pPr>
      <w:r>
        <w:rPr>
          <w:rFonts w:ascii="Consolas" w:hAnsi="Consolas" w:eastAsia="Consolas"/>
          <w:b w:val="0"/>
          <w:sz w:val="20"/>
        </w:rPr>
        <w:t>【小前提（案件事实）】：</w:t>
      </w:r>
    </w:p>
    <w:p>
      <w:pPr>
        <w:ind w:left="567"/>
      </w:pPr>
      <w:r>
        <w:rPr>
          <w:rFonts w:ascii="Consolas" w:hAnsi="Consolas" w:eastAsia="Consolas"/>
          <w:b w:val="0"/>
          <w:sz w:val="20"/>
        </w:rPr>
        <w:t>1. 本案法律事实：厚德基金会与百益服务中心之间的合同履行纠纷</w:t>
      </w:r>
    </w:p>
    <w:p>
      <w:pPr>
        <w:ind w:left="567"/>
      </w:pPr>
      <w:r>
        <w:rPr>
          <w:rFonts w:ascii="Consolas" w:hAnsi="Consolas" w:eastAsia="Consolas"/>
          <w:b w:val="0"/>
          <w:sz w:val="20"/>
        </w:rPr>
        <w:t>2. 涉嫌犯罪法律事实：马婵娟与孙某之间的《公益理财服务协议》</w:t>
      </w:r>
    </w:p>
    <w:p>
      <w:pPr>
        <w:ind w:left="567"/>
      </w:pPr>
      <w:r>
        <w:rPr>
          <w:rFonts w:ascii="Consolas" w:hAnsi="Consolas" w:eastAsia="Consolas"/>
          <w:b w:val="0"/>
          <w:sz w:val="20"/>
        </w:rPr>
        <w:t>3. 两案不是同一法律事实、不是同一法律关系</w:t>
      </w:r>
    </w:p>
    <w:p>
      <w:pPr>
        <w:ind w:left="567"/>
      </w:pPr>
      <w:r>
        <w:rPr>
          <w:rFonts w:ascii="Consolas" w:hAnsi="Consolas" w:eastAsia="Consolas"/>
          <w:b w:val="0"/>
          <w:sz w:val="20"/>
        </w:rPr>
        <w:t>4. 一审裁定依据的事实未经质证 → 程序违法</w:t>
      </w:r>
    </w:p>
    <w:p>
      <w:pPr>
        <w:ind w:left="567"/>
      </w:pPr>
      <w:r>
        <w:rPr>
          <w:rFonts w:ascii="Consolas" w:hAnsi="Consolas" w:eastAsia="Consolas"/>
          <w:b w:val="0"/>
          <w:sz w:val="20"/>
        </w:rPr>
      </w:r>
    </w:p>
    <w:p>
      <w:pPr>
        <w:ind w:left="567"/>
      </w:pPr>
      <w:r>
        <w:rPr>
          <w:rFonts w:ascii="Consolas" w:hAnsi="Consolas" w:eastAsia="Consolas"/>
          <w:b w:val="0"/>
          <w:sz w:val="20"/>
        </w:rPr>
        <w:t>【结论】：</w:t>
      </w:r>
    </w:p>
    <w:p>
      <w:pPr>
        <w:ind w:left="567"/>
      </w:pPr>
      <w:r>
        <w:rPr>
          <w:rFonts w:ascii="Consolas" w:hAnsi="Consolas" w:eastAsia="Consolas"/>
          <w:b w:val="0"/>
          <w:sz w:val="20"/>
        </w:rPr>
        <w:t>1. 一审裁定认定事实错误</w:t>
      </w:r>
    </w:p>
    <w:p>
      <w:pPr>
        <w:ind w:left="567"/>
      </w:pPr>
      <w:r>
        <w:rPr>
          <w:rFonts w:ascii="Consolas" w:hAnsi="Consolas" w:eastAsia="Consolas"/>
          <w:b w:val="0"/>
          <w:sz w:val="20"/>
        </w:rPr>
        <w:t>2. 一审裁定适用法律错误</w:t>
      </w:r>
    </w:p>
    <w:p>
      <w:pPr>
        <w:ind w:left="567"/>
      </w:pPr>
      <w:r>
        <w:rPr>
          <w:rFonts w:ascii="Consolas" w:hAnsi="Consolas" w:eastAsia="Consolas"/>
          <w:b w:val="0"/>
          <w:sz w:val="20"/>
        </w:rPr>
        <w:t>3. 请求二审撤销一审裁定，指令继续审理</w:t>
      </w:r>
    </w:p>
    <w:p>
      <w:pPr>
        <w:pStyle w:val="Heading4"/>
        <w:jc w:val="left"/>
      </w:pPr>
      <w:r>
        <w:rPr>
          <w:rFonts w:ascii="黑体" w:hAnsi="黑体" w:eastAsia="黑体"/>
          <w:b/>
          <w:sz w:val="24"/>
        </w:rPr>
        <w:t>2. 证据清单建议</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证据名称</w:t>
            </w:r>
          </w:p>
        </w:tc>
        <w:tc>
          <w:tcPr>
            <w:tcW w:type="dxa" w:w="2161"/>
          </w:tcPr>
          <w:p>
            <w:pPr>
              <w:jc w:val="center"/>
            </w:pPr>
            <w:r>
              <w:rPr>
                <w:rFonts w:ascii="黑体" w:hAnsi="黑体" w:eastAsia="黑体"/>
                <w:b/>
                <w:sz w:val="20"/>
              </w:rPr>
              <w:t>证明目的</w:t>
            </w:r>
          </w:p>
        </w:tc>
        <w:tc>
          <w:tcPr>
            <w:tcW w:type="dxa" w:w="2161"/>
          </w:tcPr>
          <w:p>
            <w:pPr>
              <w:jc w:val="center"/>
            </w:pPr>
            <w:r>
              <w:rPr>
                <w:rFonts w:ascii="黑体" w:hAnsi="黑体" w:eastAsia="黑体"/>
                <w:b/>
                <w:sz w:val="20"/>
              </w:rPr>
              <w:t>证据来源</w:t>
            </w:r>
          </w:p>
        </w:tc>
        <w:tc>
          <w:tcPr>
            <w:tcW w:type="dxa" w:w="2161"/>
          </w:tcPr>
          <w:p>
            <w:pPr>
              <w:jc w:val="center"/>
            </w:pPr>
            <w:r>
              <w:rPr>
                <w:rFonts w:ascii="黑体" w:hAnsi="黑体" w:eastAsia="黑体"/>
                <w:b/>
                <w:sz w:val="20"/>
              </w:rPr>
              <w:t>证明力</w:t>
            </w:r>
          </w:p>
        </w:tc>
      </w:tr>
      <w:tr>
        <w:tc>
          <w:tcPr>
            <w:tcW w:type="dxa" w:w="2161"/>
          </w:tcPr>
          <w:p>
            <w:r>
              <w:rPr>
                <w:rFonts w:ascii="宋体" w:hAnsi="宋体" w:eastAsia="宋体"/>
                <w:b w:val="0"/>
                <w:sz w:val="20"/>
              </w:rPr>
              <w:t>2025年2月25日《庭审笔录》</w:t>
            </w:r>
          </w:p>
        </w:tc>
        <w:tc>
          <w:tcPr>
            <w:tcW w:type="dxa" w:w="2161"/>
          </w:tcPr>
          <w:p>
            <w:r>
              <w:rPr>
                <w:rFonts w:ascii="宋体" w:hAnsi="宋体" w:eastAsia="宋体"/>
                <w:b w:val="0"/>
                <w:sz w:val="20"/>
              </w:rPr>
              <w:t>一审裁定依据的事实未经质证</w:t>
            </w:r>
          </w:p>
        </w:tc>
        <w:tc>
          <w:tcPr>
            <w:tcW w:type="dxa" w:w="2161"/>
          </w:tcPr>
          <w:p>
            <w:r>
              <w:rPr>
                <w:rFonts w:ascii="宋体" w:hAnsi="宋体" w:eastAsia="宋体"/>
                <w:b w:val="0"/>
                <w:sz w:val="20"/>
              </w:rPr>
              <w:t>一审法院卷宗</w:t>
            </w:r>
          </w:p>
        </w:tc>
        <w:tc>
          <w:tcPr>
            <w:tcW w:type="dxa" w:w="2161"/>
          </w:tcPr>
          <w:p>
            <w:r>
              <w:rPr>
                <w:rFonts w:ascii="宋体" w:hAnsi="宋体" w:eastAsia="宋体"/>
                <w:b w:val="0"/>
                <w:sz w:val="20"/>
              </w:rPr>
              <w:t>强</w:t>
            </w:r>
          </w:p>
        </w:tc>
      </w:tr>
      <w:tr>
        <w:tc>
          <w:tcPr>
            <w:tcW w:type="dxa" w:w="2161"/>
          </w:tcPr>
          <w:p>
            <w:r>
              <w:rPr>
                <w:rFonts w:ascii="宋体" w:hAnsi="宋体" w:eastAsia="宋体"/>
                <w:b w:val="0"/>
                <w:sz w:val="20"/>
              </w:rPr>
              <w:t>《项目合作协议书》+《捐赠协议书》</w:t>
            </w:r>
          </w:p>
        </w:tc>
        <w:tc>
          <w:tcPr>
            <w:tcW w:type="dxa" w:w="2161"/>
          </w:tcPr>
          <w:p>
            <w:r>
              <w:rPr>
                <w:rFonts w:ascii="宋体" w:hAnsi="宋体" w:eastAsia="宋体"/>
                <w:b w:val="0"/>
                <w:sz w:val="20"/>
              </w:rPr>
              <w:t>厚德基金会与百益服务中心之间存在合法有效的合同关系</w:t>
            </w:r>
          </w:p>
        </w:tc>
        <w:tc>
          <w:tcPr>
            <w:tcW w:type="dxa" w:w="2161"/>
          </w:tcPr>
          <w:p>
            <w:r>
              <w:rPr>
                <w:rFonts w:ascii="宋体" w:hAnsi="宋体" w:eastAsia="宋体"/>
                <w:b w:val="0"/>
                <w:sz w:val="20"/>
              </w:rPr>
              <w:t>一审原告证据册</w:t>
            </w:r>
          </w:p>
        </w:tc>
        <w:tc>
          <w:tcPr>
            <w:tcW w:type="dxa" w:w="2161"/>
          </w:tcPr>
          <w:p>
            <w:r>
              <w:rPr>
                <w:rFonts w:ascii="宋体" w:hAnsi="宋体" w:eastAsia="宋体"/>
                <w:b w:val="0"/>
                <w:sz w:val="20"/>
              </w:rPr>
              <w:t>强</w:t>
            </w:r>
          </w:p>
        </w:tc>
      </w:tr>
      <w:tr>
        <w:tc>
          <w:tcPr>
            <w:tcW w:type="dxa" w:w="2161"/>
          </w:tcPr>
          <w:p>
            <w:r>
              <w:rPr>
                <w:rFonts w:ascii="宋体" w:hAnsi="宋体" w:eastAsia="宋体"/>
                <w:b w:val="0"/>
                <w:sz w:val="20"/>
              </w:rPr>
              <w:t>公安机关查询记录（待补充）</w:t>
            </w:r>
          </w:p>
        </w:tc>
        <w:tc>
          <w:tcPr>
            <w:tcW w:type="dxa" w:w="2161"/>
          </w:tcPr>
          <w:p>
            <w:r>
              <w:rPr>
                <w:rFonts w:ascii="宋体" w:hAnsi="宋体" w:eastAsia="宋体"/>
                <w:b w:val="0"/>
                <w:sz w:val="20"/>
              </w:rPr>
              <w:t>百益服务中心、李丽、李佳豪未被刑事立案侦查</w:t>
            </w:r>
          </w:p>
        </w:tc>
        <w:tc>
          <w:tcPr>
            <w:tcW w:type="dxa" w:w="2161"/>
          </w:tcPr>
          <w:p>
            <w:r>
              <w:rPr>
                <w:rFonts w:ascii="宋体" w:hAnsi="宋体" w:eastAsia="宋体"/>
                <w:b w:val="0"/>
                <w:sz w:val="20"/>
              </w:rPr>
              <w:t>公安机关</w:t>
            </w:r>
          </w:p>
        </w:tc>
        <w:tc>
          <w:tcPr>
            <w:tcW w:type="dxa" w:w="2161"/>
          </w:tcPr>
          <w:p>
            <w:r>
              <w:rPr>
                <w:rFonts w:ascii="宋体" w:hAnsi="宋体" w:eastAsia="宋体"/>
                <w:b w:val="0"/>
                <w:sz w:val="20"/>
              </w:rPr>
              <w:t>强</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w:t>
            </w:r>
          </w:p>
        </w:tc>
        <w:tc>
          <w:tcPr>
            <w:tcW w:type="dxa" w:w="2161"/>
          </w:tcPr>
          <w:p>
            <w:pPr>
              <w:jc w:val="center"/>
            </w:pPr>
            <w:r>
              <w:rPr>
                <w:rFonts w:ascii="黑体" w:hAnsi="黑体" w:eastAsia="黑体"/>
                <w:b/>
                <w:sz w:val="20"/>
              </w:rPr>
              <w:t>---------</w:t>
            </w:r>
          </w:p>
        </w:tc>
        <w:tc>
          <w:tcPr>
            <w:tcW w:type="dxa" w:w="2161"/>
          </w:tcPr>
          <w:p>
            <w:pPr>
              <w:jc w:val="center"/>
            </w:pPr>
            <w:r>
              <w:rPr>
                <w:rFonts w:ascii="黑体" w:hAnsi="黑体" w:eastAsia="黑体"/>
                <w:b/>
                <w:sz w:val="20"/>
              </w:rPr>
              <w:t>---------------</w:t>
            </w:r>
          </w:p>
        </w:tc>
        <w:tc>
          <w:tcPr>
            <w:tcW w:type="dxa" w:w="2161"/>
          </w:tcPr>
          <w:p>
            <w:pPr>
              <w:jc w:val="center"/>
            </w:pPr>
            <w:r>
              <w:rPr>
                <w:rFonts w:ascii="黑体" w:hAnsi="黑体" w:eastAsia="黑体"/>
                <w:b/>
                <w:sz w:val="20"/>
              </w:rPr>
              <w:t>---------</w:t>
            </w:r>
          </w:p>
        </w:tc>
      </w:tr>
      <w:tr>
        <w:tc>
          <w:tcPr>
            <w:tcW w:type="dxa" w:w="2161"/>
          </w:tcPr>
          <w:p>
            <w:r>
              <w:rPr>
                <w:rFonts w:ascii="宋体" w:hAnsi="宋体" w:eastAsia="宋体"/>
                <w:b w:val="0"/>
                <w:sz w:val="20"/>
              </w:rPr>
              <w:t>一审裁定依据的事实是否经过质证</w:t>
            </w:r>
          </w:p>
        </w:tc>
        <w:tc>
          <w:tcPr>
            <w:tcW w:type="dxa" w:w="2161"/>
          </w:tcPr>
          <w:p>
            <w:r>
              <w:rPr>
                <w:rFonts w:ascii="宋体" w:hAnsi="宋体" w:eastAsia="宋体"/>
                <w:b w:val="0"/>
                <w:sz w:val="20"/>
              </w:rPr>
              <w:t>未经质证，程序违法</w:t>
            </w:r>
          </w:p>
        </w:tc>
        <w:tc>
          <w:tcPr>
            <w:tcW w:type="dxa" w:w="2161"/>
          </w:tcPr>
          <w:p>
            <w:r>
              <w:rPr>
                <w:rFonts w:ascii="宋体" w:hAnsi="宋体" w:eastAsia="宋体"/>
                <w:b w:val="0"/>
                <w:sz w:val="20"/>
              </w:rPr>
              <w:t>法官依职权查明的事实无需质证</w:t>
            </w:r>
          </w:p>
        </w:tc>
        <w:tc>
          <w:tcPr>
            <w:tcW w:type="dxa" w:w="2161"/>
          </w:tcPr>
          <w:p>
            <w:r>
              <w:rPr>
                <w:rFonts w:ascii="宋体" w:hAnsi="宋体" w:eastAsia="宋体"/>
                <w:b w:val="0"/>
                <w:sz w:val="20"/>
              </w:rPr>
              <w:t>《民事诉讼法》第68条</w:t>
            </w:r>
          </w:p>
        </w:tc>
      </w:tr>
      <w:tr>
        <w:tc>
          <w:tcPr>
            <w:tcW w:type="dxa" w:w="2161"/>
          </w:tcPr>
          <w:p>
            <w:r>
              <w:rPr>
                <w:rFonts w:ascii="宋体" w:hAnsi="宋体" w:eastAsia="宋体"/>
                <w:b w:val="0"/>
                <w:sz w:val="20"/>
              </w:rPr>
              <w:t>本案应适用《经济犯罪嫌疑规定》第11条还是第1条/第10条</w:t>
            </w:r>
          </w:p>
        </w:tc>
        <w:tc>
          <w:tcPr>
            <w:tcW w:type="dxa" w:w="2161"/>
          </w:tcPr>
          <w:p>
            <w:r>
              <w:rPr>
                <w:rFonts w:ascii="宋体" w:hAnsi="宋体" w:eastAsia="宋体"/>
                <w:b w:val="0"/>
                <w:sz w:val="20"/>
              </w:rPr>
              <w:t>应适用第1条/第10条分别审理</w:t>
            </w:r>
          </w:p>
        </w:tc>
        <w:tc>
          <w:tcPr>
            <w:tcW w:type="dxa" w:w="2161"/>
          </w:tcPr>
          <w:p>
            <w:r>
              <w:rPr>
                <w:rFonts w:ascii="宋体" w:hAnsi="宋体" w:eastAsia="宋体"/>
                <w:b w:val="0"/>
                <w:sz w:val="20"/>
              </w:rPr>
              <w:t>应适用第11条驳回起诉</w:t>
            </w:r>
          </w:p>
        </w:tc>
        <w:tc>
          <w:tcPr>
            <w:tcW w:type="dxa" w:w="2161"/>
          </w:tcPr>
          <w:p>
            <w:r>
              <w:rPr>
                <w:rFonts w:ascii="宋体" w:hAnsi="宋体" w:eastAsia="宋体"/>
                <w:b w:val="0"/>
                <w:sz w:val="20"/>
              </w:rPr>
              <w:t>第11条严格适用前提</w:t>
            </w:r>
          </w:p>
        </w:tc>
      </w:tr>
      <w:tr>
        <w:tc>
          <w:tcPr>
            <w:tcW w:type="dxa" w:w="2161"/>
          </w:tcPr>
          <w:p>
            <w:r>
              <w:rPr>
                <w:rFonts w:ascii="宋体" w:hAnsi="宋体" w:eastAsia="宋体"/>
                <w:b w:val="0"/>
                <w:sz w:val="20"/>
              </w:rPr>
              <w:t>九民纪要第128条是否适用于本案</w:t>
            </w:r>
          </w:p>
        </w:tc>
        <w:tc>
          <w:tcPr>
            <w:tcW w:type="dxa" w:w="2161"/>
          </w:tcPr>
          <w:p>
            <w:r>
              <w:rPr>
                <w:rFonts w:ascii="宋体" w:hAnsi="宋体" w:eastAsia="宋体"/>
                <w:b w:val="0"/>
                <w:sz w:val="20"/>
              </w:rPr>
              <w:t>完全适用，应当分别审理</w:t>
            </w:r>
          </w:p>
        </w:tc>
        <w:tc>
          <w:tcPr>
            <w:tcW w:type="dxa" w:w="2161"/>
          </w:tcPr>
          <w:p>
            <w:r>
              <w:rPr>
                <w:rFonts w:ascii="宋体" w:hAnsi="宋体" w:eastAsia="宋体"/>
                <w:b w:val="0"/>
                <w:sz w:val="20"/>
              </w:rPr>
              <w:t>九民纪要不是司法解释，效力较低</w:t>
            </w:r>
          </w:p>
        </w:tc>
        <w:tc>
          <w:tcPr>
            <w:tcW w:type="dxa" w:w="2161"/>
          </w:tcPr>
          <w:p>
            <w:r>
              <w:rPr>
                <w:rFonts w:ascii="宋体" w:hAnsi="宋体" w:eastAsia="宋体"/>
                <w:b w:val="0"/>
                <w:sz w:val="20"/>
              </w:rPr>
              <w:t>最高人民法院参照适用</w:t>
            </w:r>
          </w:p>
        </w:tc>
      </w:tr>
      <w:tr>
        <w:tc>
          <w:tcPr>
            <w:tcW w:type="dxa" w:w="2161"/>
          </w:tcPr>
          <w:p>
            <w:r>
              <w:rPr>
                <w:rFonts w:ascii="宋体" w:hAnsi="宋体" w:eastAsia="宋体"/>
                <w:b w:val="0"/>
                <w:sz w:val="20"/>
              </w:rPr>
              <w:t>马婵娟涉嫌犯罪是否等同于百益服务中心涉嫌犯罪</w:t>
            </w:r>
          </w:p>
        </w:tc>
        <w:tc>
          <w:tcPr>
            <w:tcW w:type="dxa" w:w="2161"/>
          </w:tcPr>
          <w:p>
            <w:r>
              <w:rPr>
                <w:rFonts w:ascii="宋体" w:hAnsi="宋体" w:eastAsia="宋体"/>
                <w:b w:val="0"/>
                <w:sz w:val="20"/>
              </w:rPr>
              <w:t>不等于，法人独立地位</w:t>
            </w:r>
          </w:p>
        </w:tc>
        <w:tc>
          <w:tcPr>
            <w:tcW w:type="dxa" w:w="2161"/>
          </w:tcPr>
          <w:p>
            <w:r>
              <w:rPr>
                <w:rFonts w:ascii="宋体" w:hAnsi="宋体" w:eastAsia="宋体"/>
                <w:b w:val="0"/>
                <w:sz w:val="20"/>
              </w:rPr>
              <w:t>马婵娟是实际控制人，代表法人</w:t>
            </w:r>
          </w:p>
        </w:tc>
        <w:tc>
          <w:tcPr>
            <w:tcW w:type="dxa" w:w="2161"/>
          </w:tcPr>
          <w:p>
            <w:r>
              <w:rPr>
                <w:rFonts w:ascii="宋体" w:hAnsi="宋体" w:eastAsia="宋体"/>
                <w:b w:val="0"/>
                <w:sz w:val="20"/>
              </w:rPr>
              <w:t>《民法典》第57条</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jc w:val="center"/>
            </w:pPr>
            <w:r>
              <w:rPr>
                <w:rFonts w:ascii="黑体" w:hAnsi="黑体" w:eastAsia="黑体"/>
                <w:b/>
                <w:sz w:val="20"/>
              </w:rPr>
              <w:t>--------------</w:t>
            </w:r>
          </w:p>
        </w:tc>
        <w:tc>
          <w:tcPr>
            <w:tcW w:type="dxa" w:w="2161"/>
          </w:tcPr>
          <w:p>
            <w:pPr>
              <w:jc w:val="center"/>
            </w:pPr>
            <w:r>
              <w:rPr>
                <w:rFonts w:ascii="黑体" w:hAnsi="黑体" w:eastAsia="黑体"/>
                <w:b/>
                <w:sz w:val="20"/>
              </w:rPr>
              <w:t>-------------</w:t>
            </w:r>
          </w:p>
        </w:tc>
        <w:tc>
          <w:tcPr>
            <w:tcW w:type="dxa" w:w="2161"/>
          </w:tcPr>
          <w:p>
            <w:pPr>
              <w:jc w:val="center"/>
            </w:pPr>
            <w:r>
              <w:rPr>
                <w:rFonts w:ascii="黑体" w:hAnsi="黑体" w:eastAsia="黑体"/>
                <w:b/>
                <w:sz w:val="20"/>
              </w:rPr>
              <w:t>---------</w:t>
            </w:r>
          </w:p>
        </w:tc>
        <w:tc>
          <w:tcPr>
            <w:tcW w:type="dxa" w:w="2161"/>
          </w:tcPr>
          <w:p>
            <w:pPr>
              <w:jc w:val="center"/>
            </w:pPr>
            <w:r>
              <w:rPr>
                <w:rFonts w:ascii="黑体" w:hAnsi="黑体" w:eastAsia="黑体"/>
                <w:b/>
                <w:sz w:val="20"/>
              </w:rPr>
              <w:t>---------</w:t>
            </w:r>
          </w:p>
        </w:tc>
      </w:tr>
      <w:tr>
        <w:tc>
          <w:tcPr>
            <w:tcW w:type="dxa" w:w="2161"/>
          </w:tcPr>
          <w:p>
            <w:r>
              <w:rPr>
                <w:rFonts w:ascii="宋体" w:hAnsi="宋体" w:eastAsia="宋体"/>
                <w:b w:val="0"/>
                <w:sz w:val="20"/>
              </w:rPr>
              <w:t>马婵娟是百益服务中心实际控制人，马婵娟涉嫌犯罪即百益服务中心涉嫌犯罪</w:t>
            </w:r>
          </w:p>
        </w:tc>
        <w:tc>
          <w:tcPr>
            <w:tcW w:type="dxa" w:w="2161"/>
          </w:tcPr>
          <w:p>
            <w:r>
              <w:rPr>
                <w:rFonts w:ascii="宋体" w:hAnsi="宋体" w:eastAsia="宋体"/>
                <w:b w:val="0"/>
                <w:sz w:val="20"/>
              </w:rPr>
              <w:t>法人独立地位；法定代表人个人犯罪 ≠ 法人犯罪</w:t>
            </w:r>
          </w:p>
        </w:tc>
        <w:tc>
          <w:tcPr>
            <w:tcW w:type="dxa" w:w="2161"/>
          </w:tcPr>
          <w:p>
            <w:r>
              <w:rPr>
                <w:rFonts w:ascii="宋体" w:hAnsi="宋体" w:eastAsia="宋体"/>
                <w:b w:val="0"/>
                <w:sz w:val="20"/>
              </w:rPr>
              <w:t>《民法典》第57条</w:t>
            </w:r>
          </w:p>
        </w:tc>
        <w:tc>
          <w:tcPr>
            <w:tcW w:type="dxa" w:w="2161"/>
          </w:tcPr>
          <w:p>
            <w:r>
              <w:rPr>
                <w:rFonts w:ascii="宋体" w:hAnsi="宋体" w:eastAsia="宋体"/>
                <w:b w:val="0"/>
                <w:sz w:val="20"/>
              </w:rPr>
              <w:t>九民纪要第128条</w:t>
            </w:r>
          </w:p>
        </w:tc>
      </w:tr>
      <w:tr>
        <w:tc>
          <w:tcPr>
            <w:tcW w:type="dxa" w:w="2161"/>
          </w:tcPr>
          <w:p>
            <w:r>
              <w:rPr>
                <w:rFonts w:ascii="宋体" w:hAnsi="宋体" w:eastAsia="宋体"/>
                <w:b w:val="0"/>
                <w:sz w:val="20"/>
              </w:rPr>
              <w:t>本案涉及经济犯罪嫌疑，应驳回起诉</w:t>
            </w:r>
          </w:p>
        </w:tc>
        <w:tc>
          <w:tcPr>
            <w:tcW w:type="dxa" w:w="2161"/>
          </w:tcPr>
          <w:p>
            <w:r>
              <w:rPr>
                <w:rFonts w:ascii="宋体" w:hAnsi="宋体" w:eastAsia="宋体"/>
                <w:b w:val="0"/>
                <w:sz w:val="20"/>
              </w:rPr>
              <w:t>本案是经济纠纷，不符合第11条适用前提</w:t>
            </w:r>
          </w:p>
        </w:tc>
        <w:tc>
          <w:tcPr>
            <w:tcW w:type="dxa" w:w="2161"/>
          </w:tcPr>
          <w:p>
            <w:r>
              <w:rPr>
                <w:rFonts w:ascii="宋体" w:hAnsi="宋体" w:eastAsia="宋体"/>
                <w:b w:val="0"/>
                <w:sz w:val="20"/>
              </w:rPr>
              <w:t>《经济犯罪嫌疑规定》第11条</w:t>
            </w:r>
          </w:p>
        </w:tc>
        <w:tc>
          <w:tcPr>
            <w:tcW w:type="dxa" w:w="2161"/>
          </w:tcPr>
          <w:p>
            <w:r>
              <w:rPr>
                <w:rFonts w:ascii="宋体" w:hAnsi="宋体" w:eastAsia="宋体"/>
                <w:b w:val="0"/>
                <w:sz w:val="20"/>
              </w:rPr>
              <w:t>最高人民法院判例</w:t>
            </w:r>
          </w:p>
        </w:tc>
      </w:tr>
      <w:tr>
        <w:tc>
          <w:tcPr>
            <w:tcW w:type="dxa" w:w="2161"/>
          </w:tcPr>
          <w:p>
            <w:r>
              <w:rPr>
                <w:rFonts w:ascii="宋体" w:hAnsi="宋体" w:eastAsia="宋体"/>
                <w:b w:val="0"/>
                <w:sz w:val="20"/>
              </w:rPr>
              <w:t>一审裁定认定事实正确</w:t>
            </w:r>
          </w:p>
        </w:tc>
        <w:tc>
          <w:tcPr>
            <w:tcW w:type="dxa" w:w="2161"/>
          </w:tcPr>
          <w:p>
            <w:r>
              <w:rPr>
                <w:rFonts w:ascii="宋体" w:hAnsi="宋体" w:eastAsia="宋体"/>
                <w:b w:val="0"/>
                <w:sz w:val="20"/>
              </w:rPr>
              <w:t>一审裁定依据的事实未经举证质证，程序违法</w:t>
            </w:r>
          </w:p>
        </w:tc>
        <w:tc>
          <w:tcPr>
            <w:tcW w:type="dxa" w:w="2161"/>
          </w:tcPr>
          <w:p>
            <w:r>
              <w:rPr>
                <w:rFonts w:ascii="宋体" w:hAnsi="宋体" w:eastAsia="宋体"/>
                <w:b w:val="0"/>
                <w:sz w:val="20"/>
              </w:rPr>
              <w:t>《民事诉讼法》第68条</w:t>
            </w:r>
          </w:p>
        </w:tc>
        <w:tc>
          <w:tcPr>
            <w:tcW w:type="dxa" w:w="2161"/>
          </w:tcPr>
          <w:p>
            <w:r>
              <w:rPr>
                <w:rFonts w:ascii="宋体" w:hAnsi="宋体" w:eastAsia="宋体"/>
                <w:b w:val="0"/>
                <w:sz w:val="20"/>
              </w:rPr>
              <w:t>未经质证证据定案案例</w:t>
            </w:r>
          </w:p>
        </w:tc>
      </w:tr>
    </w:tbl>
    <w:p>
      <w:pPr>
        <w:ind w:left="567"/>
      </w:pPr>
      <w:r>
        <w:rPr>
          <w:rFonts w:ascii="Consolas" w:hAnsi="Consolas" w:eastAsia="Consolas"/>
          <w:b w:val="0"/>
          <w:sz w:val="20"/>
        </w:rPr>
        <w:t>【法律依据汇编】</w:t>
      </w:r>
    </w:p>
    <w:p>
      <w:pPr>
        <w:ind w:left="567"/>
      </w:pPr>
      <w:r>
        <w:rPr>
          <w:rFonts w:ascii="Consolas" w:hAnsi="Consolas" w:eastAsia="Consolas"/>
          <w:b w:val="0"/>
          <w:sz w:val="20"/>
        </w:rPr>
      </w:r>
    </w:p>
    <w:p>
      <w:pPr>
        <w:ind w:left="567"/>
      </w:pPr>
      <w:r>
        <w:rPr>
          <w:rFonts w:ascii="Consolas" w:hAnsi="Consolas" w:eastAsia="Consolas"/>
          <w:b w:val="0"/>
          <w:sz w:val="20"/>
        </w:rPr>
        <w:t>一、法律规定</w:t>
      </w:r>
    </w:p>
    <w:p>
      <w:pPr>
        <w:ind w:left="567"/>
      </w:pPr>
      <w:r>
        <w:rPr>
          <w:rFonts w:ascii="Consolas" w:hAnsi="Consolas" w:eastAsia="Consolas"/>
          <w:b w:val="0"/>
          <w:sz w:val="20"/>
        </w:rPr>
      </w:r>
    </w:p>
    <w:p>
      <w:pPr>
        <w:ind w:left="567"/>
      </w:pPr>
      <w:r>
        <w:rPr>
          <w:rFonts w:ascii="Consolas" w:hAnsi="Consolas" w:eastAsia="Consolas"/>
          <w:b w:val="0"/>
          <w:sz w:val="20"/>
        </w:rPr>
        <w:t>1. 《中华人民共和国民法典》第57条：</w:t>
      </w:r>
    </w:p>
    <w:p>
      <w:pPr>
        <w:ind w:left="567"/>
      </w:pPr>
      <w:r>
        <w:rPr>
          <w:rFonts w:ascii="Consolas" w:hAnsi="Consolas" w:eastAsia="Consolas"/>
          <w:b w:val="0"/>
          <w:sz w:val="20"/>
        </w:rPr>
        <w:t xml:space="preserve">   法人是具有民事权利能力和民事行为能力，依法独立享有民事权利和承担民事义务的组织。</w:t>
      </w:r>
    </w:p>
    <w:p>
      <w:pPr>
        <w:ind w:left="567"/>
      </w:pPr>
      <w:r>
        <w:rPr>
          <w:rFonts w:ascii="Consolas" w:hAnsi="Consolas" w:eastAsia="Consolas"/>
          <w:b w:val="0"/>
          <w:sz w:val="20"/>
        </w:rPr>
      </w:r>
    </w:p>
    <w:p>
      <w:pPr>
        <w:ind w:left="567"/>
      </w:pPr>
      <w:r>
        <w:rPr>
          <w:rFonts w:ascii="Consolas" w:hAnsi="Consolas" w:eastAsia="Consolas"/>
          <w:b w:val="0"/>
          <w:sz w:val="20"/>
        </w:rPr>
        <w:t>2. 《中华人民共和国民事诉讼法》第68条：</w:t>
      </w:r>
    </w:p>
    <w:p>
      <w:pPr>
        <w:ind w:left="567"/>
      </w:pPr>
      <w:r>
        <w:rPr>
          <w:rFonts w:ascii="Consolas" w:hAnsi="Consolas" w:eastAsia="Consolas"/>
          <w:b w:val="0"/>
          <w:sz w:val="20"/>
        </w:rPr>
        <w:t xml:space="preserve">   证据应当在法庭上出示，并由当事人互相质证。</w:t>
      </w:r>
    </w:p>
    <w:p>
      <w:pPr>
        <w:ind w:left="567"/>
      </w:pPr>
      <w:r>
        <w:rPr>
          <w:rFonts w:ascii="Consolas" w:hAnsi="Consolas" w:eastAsia="Consolas"/>
          <w:b w:val="0"/>
          <w:sz w:val="20"/>
        </w:rPr>
      </w:r>
    </w:p>
    <w:p>
      <w:pPr>
        <w:ind w:left="567"/>
      </w:pPr>
      <w:r>
        <w:rPr>
          <w:rFonts w:ascii="Consolas" w:hAnsi="Consolas" w:eastAsia="Consolas"/>
          <w:b w:val="0"/>
          <w:sz w:val="20"/>
        </w:rPr>
        <w:t>3. 《中华人民共和国民事诉讼法》第122条：</w:t>
      </w:r>
    </w:p>
    <w:p>
      <w:pPr>
        <w:ind w:left="567"/>
      </w:pPr>
      <w:r>
        <w:rPr>
          <w:rFonts w:ascii="Consolas" w:hAnsi="Consolas" w:eastAsia="Consolas"/>
          <w:b w:val="0"/>
          <w:sz w:val="20"/>
        </w:rPr>
        <w:t xml:space="preserve">   起诉必须符合下列条件：</w:t>
      </w:r>
    </w:p>
    <w:p>
      <w:pPr>
        <w:ind w:left="567"/>
      </w:pPr>
      <w:r>
        <w:rPr>
          <w:rFonts w:ascii="Consolas" w:hAnsi="Consolas" w:eastAsia="Consolas"/>
          <w:b w:val="0"/>
          <w:sz w:val="20"/>
        </w:rPr>
        <w:t xml:space="preserve">   （一）原告是与本案有直接利害关系的公民、法人和其他组织；</w:t>
      </w:r>
    </w:p>
    <w:p>
      <w:pPr>
        <w:ind w:left="567"/>
      </w:pPr>
      <w:r>
        <w:rPr>
          <w:rFonts w:ascii="Consolas" w:hAnsi="Consolas" w:eastAsia="Consolas"/>
          <w:b w:val="0"/>
          <w:sz w:val="20"/>
        </w:rPr>
        <w:t xml:space="preserve">   （二）有明确的被告；</w:t>
      </w:r>
    </w:p>
    <w:p>
      <w:pPr>
        <w:ind w:left="567"/>
      </w:pPr>
      <w:r>
        <w:rPr>
          <w:rFonts w:ascii="Consolas" w:hAnsi="Consolas" w:eastAsia="Consolas"/>
          <w:b w:val="0"/>
          <w:sz w:val="20"/>
        </w:rPr>
        <w:t xml:space="preserve">   （三）有具体的诉讼请求和事实、理由；</w:t>
      </w:r>
    </w:p>
    <w:p>
      <w:pPr>
        <w:ind w:left="567"/>
      </w:pPr>
      <w:r>
        <w:rPr>
          <w:rFonts w:ascii="Consolas" w:hAnsi="Consolas" w:eastAsia="Consolas"/>
          <w:b w:val="0"/>
          <w:sz w:val="20"/>
        </w:rPr>
        <w:t xml:space="preserve">   （四）属于人民法院受理民事诉讼的范围和受诉人民法院管辖。</w:t>
      </w:r>
    </w:p>
    <w:p>
      <w:pPr>
        <w:ind w:left="567"/>
      </w:pPr>
      <w:r>
        <w:rPr>
          <w:rFonts w:ascii="Consolas" w:hAnsi="Consolas" w:eastAsia="Consolas"/>
          <w:b w:val="0"/>
          <w:sz w:val="20"/>
        </w:rPr>
      </w:r>
    </w:p>
    <w:p>
      <w:pPr>
        <w:ind w:left="567"/>
      </w:pPr>
      <w:r>
        <w:rPr>
          <w:rFonts w:ascii="Consolas" w:hAnsi="Consolas" w:eastAsia="Consolas"/>
          <w:b w:val="0"/>
          <w:sz w:val="20"/>
        </w:rPr>
        <w:t>二、司法解释/规范性文件</w:t>
      </w:r>
    </w:p>
    <w:p>
      <w:pPr>
        <w:ind w:left="567"/>
      </w:pPr>
      <w:r>
        <w:rPr>
          <w:rFonts w:ascii="Consolas" w:hAnsi="Consolas" w:eastAsia="Consolas"/>
          <w:b w:val="0"/>
          <w:sz w:val="20"/>
        </w:rPr>
      </w:r>
    </w:p>
    <w:p>
      <w:pPr>
        <w:ind w:left="567"/>
      </w:pPr>
      <w:r>
        <w:rPr>
          <w:rFonts w:ascii="Consolas" w:hAnsi="Consolas" w:eastAsia="Consolas"/>
          <w:b w:val="0"/>
          <w:sz w:val="20"/>
        </w:rPr>
        <w:t>1. 《最高人民法院关于在审理经济纠纷案件中涉及经济犯罪嫌疑若干问题的规定》（2020修正）第1条：</w:t>
      </w:r>
    </w:p>
    <w:p>
      <w:pPr>
        <w:ind w:left="567"/>
      </w:pPr>
      <w:r>
        <w:rPr>
          <w:rFonts w:ascii="Consolas" w:hAnsi="Consolas" w:eastAsia="Consolas"/>
          <w:b w:val="0"/>
          <w:sz w:val="20"/>
        </w:rPr>
        <w:t xml:space="preserve">   同一自然人、法人或非法人组织因不同的法律事实，分别涉及经济纠纷和经济犯罪嫌疑的，经济纠纷案件和经济犯罪嫌疑案件应当分开审理。</w:t>
      </w:r>
    </w:p>
    <w:p>
      <w:pPr>
        <w:ind w:left="567"/>
      </w:pPr>
      <w:r>
        <w:rPr>
          <w:rFonts w:ascii="Consolas" w:hAnsi="Consolas" w:eastAsia="Consolas"/>
          <w:b w:val="0"/>
          <w:sz w:val="20"/>
        </w:rPr>
      </w:r>
    </w:p>
    <w:p>
      <w:pPr>
        <w:ind w:left="567"/>
      </w:pPr>
      <w:r>
        <w:rPr>
          <w:rFonts w:ascii="Consolas" w:hAnsi="Consolas" w:eastAsia="Consolas"/>
          <w:b w:val="0"/>
          <w:sz w:val="20"/>
        </w:rPr>
        <w:t>2. 《最高人民法院关于在审理经济纠纷案件中涉及经济犯罪嫌疑若干问题的规定》（2020修正）第10条：</w:t>
      </w:r>
    </w:p>
    <w:p>
      <w:pPr>
        <w:ind w:left="567"/>
      </w:pPr>
      <w:r>
        <w:rPr>
          <w:rFonts w:ascii="Consolas" w:hAnsi="Consolas" w:eastAsia="Consolas"/>
          <w:b w:val="0"/>
          <w:sz w:val="20"/>
        </w:rPr>
        <w:t xml:space="preserve">   人民法院在审理经济纠纷案件中，发现与本案有牵连，但与本案不是同一法律关系的经济犯罪嫌疑线索、材料，应将犯罪嫌疑线索、材料移送有关公安机关或检察机关查处，经济纠纷案件继续审理。</w:t>
      </w:r>
    </w:p>
    <w:p>
      <w:pPr>
        <w:ind w:left="567"/>
      </w:pPr>
      <w:r>
        <w:rPr>
          <w:rFonts w:ascii="Consolas" w:hAnsi="Consolas" w:eastAsia="Consolas"/>
          <w:b w:val="0"/>
          <w:sz w:val="20"/>
        </w:rPr>
      </w:r>
    </w:p>
    <w:p>
      <w:pPr>
        <w:ind w:left="567"/>
      </w:pPr>
      <w:r>
        <w:rPr>
          <w:rFonts w:ascii="Consolas" w:hAnsi="Consolas" w:eastAsia="Consolas"/>
          <w:b w:val="0"/>
          <w:sz w:val="20"/>
        </w:rPr>
        <w:t>3. 《最高人民法院关于在审理经济纠纷案件中涉及经济犯罪嫌疑若干问题的规定》（2020修正）第11条：</w:t>
      </w:r>
    </w:p>
    <w:p>
      <w:pPr>
        <w:ind w:left="567"/>
      </w:pPr>
      <w:r>
        <w:rPr>
          <w:rFonts w:ascii="Consolas" w:hAnsi="Consolas" w:eastAsia="Consolas"/>
          <w:b w:val="0"/>
          <w:sz w:val="20"/>
        </w:rPr>
        <w:t xml:space="preserve">   人民法院作为经济纠纷受理的案件，经审理认为不属经济纠纷案件而有经济犯罪嫌疑的，应当裁定驳回起诉，将有关材料移送公安机关或检察机关。</w:t>
      </w:r>
    </w:p>
    <w:p>
      <w:pPr>
        <w:ind w:left="567"/>
      </w:pPr>
      <w:r>
        <w:rPr>
          <w:rFonts w:ascii="Consolas" w:hAnsi="Consolas" w:eastAsia="Consolas"/>
          <w:b w:val="0"/>
          <w:sz w:val="20"/>
        </w:rPr>
      </w:r>
    </w:p>
    <w:p>
      <w:pPr>
        <w:ind w:left="567"/>
      </w:pPr>
      <w:r>
        <w:rPr>
          <w:rFonts w:ascii="Consolas" w:hAnsi="Consolas" w:eastAsia="Consolas"/>
          <w:b w:val="0"/>
          <w:sz w:val="20"/>
        </w:rPr>
        <w:t>4. 《全国法院民商事审判工作会议纪要》（法〔2019〕254号）第128条：</w:t>
      </w:r>
    </w:p>
    <w:p>
      <w:pPr>
        <w:ind w:left="567"/>
      </w:pPr>
      <w:r>
        <w:rPr>
          <w:rFonts w:ascii="Consolas" w:hAnsi="Consolas" w:eastAsia="Consolas"/>
          <w:b w:val="0"/>
          <w:sz w:val="20"/>
        </w:rPr>
        <w:t xml:space="preserve">   同一当事人因不同事实分别发生民商事纠纷和涉嫌刑事犯罪，民商事案件与刑事案件应当分别审理，主要有下列情形：</w:t>
      </w:r>
    </w:p>
    <w:p>
      <w:pPr>
        <w:ind w:left="567"/>
      </w:pPr>
      <w:r>
        <w:rPr>
          <w:rFonts w:ascii="Consolas" w:hAnsi="Consolas" w:eastAsia="Consolas"/>
          <w:b w:val="0"/>
          <w:sz w:val="20"/>
        </w:rPr>
        <w:t xml:space="preserve">   （2）行为人以法人、非法人组织或者他人名义订立合同的行为涉嫌刑事犯罪或者刑事裁判认定其构成犯罪，合同相对人请求该法人、非法人组织或者他人承担民事责任的；</w:t>
      </w:r>
    </w:p>
    <w:p>
      <w:pPr>
        <w:ind w:left="567"/>
      </w:pPr>
      <w:r>
        <w:rPr>
          <w:rFonts w:ascii="Consolas" w:hAnsi="Consolas" w:eastAsia="Consolas"/>
          <w:b w:val="0"/>
          <w:sz w:val="20"/>
        </w:rPr>
      </w:r>
    </w:p>
    <w:p>
      <w:pPr>
        <w:ind w:left="567"/>
      </w:pPr>
      <w:r>
        <w:rPr>
          <w:rFonts w:ascii="Consolas" w:hAnsi="Consolas" w:eastAsia="Consolas"/>
          <w:b w:val="0"/>
          <w:sz w:val="20"/>
        </w:rPr>
        <w:t>三、权威案例要旨</w:t>
      </w:r>
    </w:p>
    <w:p>
      <w:pPr>
        <w:ind w:left="567"/>
      </w:pPr>
      <w:r>
        <w:rPr>
          <w:rFonts w:ascii="Consolas" w:hAnsi="Consolas" w:eastAsia="Consolas"/>
          <w:b w:val="0"/>
          <w:sz w:val="20"/>
        </w:rPr>
      </w:r>
    </w:p>
    <w:p>
      <w:pPr>
        <w:ind w:left="567"/>
      </w:pPr>
      <w:r>
        <w:rPr>
          <w:rFonts w:ascii="Consolas" w:hAnsi="Consolas" w:eastAsia="Consolas"/>
          <w:b w:val="0"/>
          <w:sz w:val="20"/>
        </w:rPr>
        <w:t>1. （2021）黑01民初10号之三号民事裁定（最高人民法院入库案例）：</w:t>
      </w:r>
    </w:p>
    <w:p>
      <w:pPr>
        <w:ind w:left="567"/>
      </w:pPr>
      <w:r>
        <w:rPr>
          <w:rFonts w:ascii="Consolas" w:hAnsi="Consolas" w:eastAsia="Consolas"/>
          <w:b w:val="0"/>
          <w:sz w:val="20"/>
        </w:rPr>
        <w:t xml:space="preserve">   驳回起诉裁定生效后发生新的事实，当事人再次起诉的，人民法院应当受理。一审法院不得以相同理由再次驳回起诉。</w:t>
      </w:r>
    </w:p>
    <w:p>
      <w:pPr>
        <w:ind w:left="567"/>
      </w:pPr>
      <w:r>
        <w:rPr>
          <w:rFonts w:ascii="Consolas" w:hAnsi="Consolas" w:eastAsia="Consolas"/>
          <w:b w:val="0"/>
          <w:sz w:val="20"/>
        </w:rPr>
      </w:r>
    </w:p>
    <w:p>
      <w:pPr>
        <w:ind w:left="567"/>
      </w:pPr>
      <w:r>
        <w:rPr>
          <w:rFonts w:ascii="Consolas" w:hAnsi="Consolas" w:eastAsia="Consolas"/>
          <w:b w:val="0"/>
          <w:sz w:val="20"/>
        </w:rPr>
        <w:t>2. 二审指令审理的案件，一审能否再次驳回起诉（最高人民法院裁判观点）：</w:t>
      </w:r>
    </w:p>
    <w:p>
      <w:pPr>
        <w:ind w:left="567"/>
      </w:pPr>
      <w:r>
        <w:rPr>
          <w:rFonts w:ascii="Consolas" w:hAnsi="Consolas" w:eastAsia="Consolas"/>
          <w:b w:val="0"/>
          <w:sz w:val="20"/>
        </w:rPr>
        <w:t xml:space="preserve">   二审法院裁定撤销原一审驳回起诉的裁定、并指令一审法院审理后，原一审法院不得再次以相同理由驳回起诉，必须对案件进行实体审理。</w:t>
      </w:r>
    </w:p>
    <w:p>
      <w:pPr>
        <w:pStyle w:val="Heading4"/>
        <w:jc w:val="left"/>
      </w:pPr>
      <w:r>
        <w:rPr>
          <w:rFonts w:ascii="黑体" w:hAnsi="黑体" w:eastAsia="黑体"/>
          <w:b/>
          <w:sz w:val="24"/>
        </w:rPr>
        <w:t>6. 庭审提纲框架（可直接用于庭审准备）</w:t>
      </w:r>
    </w:p>
    <w:p>
      <w:pPr>
        <w:ind w:left="567"/>
      </w:pPr>
      <w:r>
        <w:rPr>
          <w:rFonts w:ascii="Consolas" w:hAnsi="Consolas" w:eastAsia="Consolas"/>
          <w:b w:val="0"/>
          <w:sz w:val="20"/>
        </w:rPr>
        <w:t>【庭审提纲框架】</w:t>
      </w:r>
    </w:p>
    <w:p>
      <w:pPr>
        <w:ind w:left="567"/>
      </w:pPr>
      <w:r>
        <w:rPr>
          <w:rFonts w:ascii="Consolas" w:hAnsi="Consolas" w:eastAsia="Consolas"/>
          <w:b w:val="0"/>
          <w:sz w:val="20"/>
        </w:rPr>
      </w:r>
    </w:p>
    <w:p>
      <w:pPr>
        <w:ind w:left="567"/>
      </w:pPr>
      <w:r>
        <w:rPr>
          <w:rFonts w:ascii="Consolas" w:hAnsi="Consolas" w:eastAsia="Consolas"/>
          <w:b w:val="0"/>
          <w:sz w:val="20"/>
        </w:rPr>
        <w:t>一、法庭调查阶段</w:t>
      </w:r>
    </w:p>
    <w:p>
      <w:pPr>
        <w:ind w:left="567"/>
      </w:pPr>
      <w:r>
        <w:rPr>
          <w:rFonts w:ascii="Consolas" w:hAnsi="Consolas" w:eastAsia="Consolas"/>
          <w:b w:val="0"/>
          <w:sz w:val="20"/>
        </w:rPr>
      </w:r>
    </w:p>
    <w:p>
      <w:pPr>
        <w:ind w:left="567"/>
      </w:pPr>
      <w:r>
        <w:rPr>
          <w:rFonts w:ascii="Consolas" w:hAnsi="Consolas" w:eastAsia="Consolas"/>
          <w:b w:val="0"/>
          <w:sz w:val="20"/>
        </w:rPr>
        <w:t>1. 我方陈述要点：</w:t>
      </w:r>
    </w:p>
    <w:p>
      <w:pPr>
        <w:ind w:left="567"/>
      </w:pPr>
      <w:r>
        <w:rPr>
          <w:rFonts w:ascii="Consolas" w:hAnsi="Consolas" w:eastAsia="Consolas"/>
          <w:b w:val="0"/>
          <w:sz w:val="20"/>
        </w:rPr>
        <w:t xml:space="preserve">   - 上诉请求：撤销一审裁定，指令继续审理</w:t>
      </w:r>
    </w:p>
    <w:p>
      <w:pPr>
        <w:ind w:left="567"/>
      </w:pPr>
      <w:r>
        <w:rPr>
          <w:rFonts w:ascii="Consolas" w:hAnsi="Consolas" w:eastAsia="Consolas"/>
          <w:b w:val="0"/>
          <w:sz w:val="20"/>
        </w:rPr>
        <w:t xml:space="preserve">   - 上诉理由：一审认定事实错误（未经质证）、适用法律错误（错误适用第11条）</w:t>
      </w:r>
    </w:p>
    <w:p>
      <w:pPr>
        <w:ind w:left="567"/>
      </w:pPr>
      <w:r>
        <w:rPr>
          <w:rFonts w:ascii="Consolas" w:hAnsi="Consolas" w:eastAsia="Consolas"/>
          <w:b w:val="0"/>
          <w:sz w:val="20"/>
        </w:rPr>
      </w:r>
    </w:p>
    <w:p>
      <w:pPr>
        <w:ind w:left="567"/>
      </w:pPr>
      <w:r>
        <w:rPr>
          <w:rFonts w:ascii="Consolas" w:hAnsi="Consolas" w:eastAsia="Consolas"/>
          <w:b w:val="0"/>
          <w:sz w:val="20"/>
        </w:rPr>
        <w:t>2. 举证顺序：</w:t>
      </w:r>
    </w:p>
    <w:p>
      <w:pPr>
        <w:ind w:left="567"/>
      </w:pPr>
      <w:r>
        <w:rPr>
          <w:rFonts w:ascii="Consolas" w:hAnsi="Consolas" w:eastAsia="Consolas"/>
          <w:b w:val="0"/>
          <w:sz w:val="20"/>
        </w:rPr>
        <w:t xml:space="preserve">   - 证据1：《项目合作协议书》+《捐赠协议书》（证明合同关系存在）</w:t>
      </w:r>
    </w:p>
    <w:p>
      <w:pPr>
        <w:ind w:left="567"/>
      </w:pPr>
      <w:r>
        <w:rPr>
          <w:rFonts w:ascii="Consolas" w:hAnsi="Consolas" w:eastAsia="Consolas"/>
          <w:b w:val="0"/>
          <w:sz w:val="20"/>
        </w:rPr>
        <w:t xml:space="preserve">   - 证据2：2025年2月25日《庭审笔录》（证明一审裁定依据的事实未经质证）</w:t>
      </w:r>
    </w:p>
    <w:p>
      <w:pPr>
        <w:ind w:left="567"/>
      </w:pPr>
      <w:r>
        <w:rPr>
          <w:rFonts w:ascii="Consolas" w:hAnsi="Consolas" w:eastAsia="Consolas"/>
          <w:b w:val="0"/>
          <w:sz w:val="20"/>
        </w:rPr>
        <w:t xml:space="preserve">   - 证据3：公安机关查询记录（待补充，证明百益服务中心等未被刑事立案）</w:t>
      </w:r>
    </w:p>
    <w:p>
      <w:pPr>
        <w:ind w:left="567"/>
      </w:pPr>
      <w:r>
        <w:rPr>
          <w:rFonts w:ascii="Consolas" w:hAnsi="Consolas" w:eastAsia="Consolas"/>
          <w:b w:val="0"/>
          <w:sz w:val="20"/>
        </w:rPr>
      </w:r>
    </w:p>
    <w:p>
      <w:pPr>
        <w:ind w:left="567"/>
      </w:pPr>
      <w:r>
        <w:rPr>
          <w:rFonts w:ascii="Consolas" w:hAnsi="Consolas" w:eastAsia="Consolas"/>
          <w:b w:val="0"/>
          <w:sz w:val="20"/>
        </w:rPr>
        <w:t>3. 向对方发问要点：</w:t>
      </w:r>
    </w:p>
    <w:p>
      <w:pPr>
        <w:ind w:left="567"/>
      </w:pPr>
      <w:r>
        <w:rPr>
          <w:rFonts w:ascii="Consolas" w:hAnsi="Consolas" w:eastAsia="Consolas"/>
          <w:b w:val="0"/>
          <w:sz w:val="20"/>
        </w:rPr>
        <w:t xml:space="preserve">   - 问：一审裁定依据的"百益服务中心与案外人孙某签订《公益理财服务协议》涉嫌经济犯罪"事实，庭审中是否举证？</w:t>
      </w:r>
    </w:p>
    <w:p>
      <w:pPr>
        <w:ind w:left="567"/>
      </w:pPr>
      <w:r>
        <w:rPr>
          <w:rFonts w:ascii="Consolas" w:hAnsi="Consolas" w:eastAsia="Consolas"/>
          <w:b w:val="0"/>
          <w:sz w:val="20"/>
        </w:rPr>
        <w:t xml:space="preserve">   - 问：百益服务中心是否被任何公安机关刑事立案侦查？</w:t>
      </w:r>
    </w:p>
    <w:p>
      <w:pPr>
        <w:ind w:left="567"/>
      </w:pPr>
      <w:r>
        <w:rPr>
          <w:rFonts w:ascii="Consolas" w:hAnsi="Consolas" w:eastAsia="Consolas"/>
          <w:b w:val="0"/>
          <w:sz w:val="20"/>
        </w:rPr>
      </w:r>
    </w:p>
    <w:p>
      <w:pPr>
        <w:ind w:left="567"/>
      </w:pPr>
      <w:r>
        <w:rPr>
          <w:rFonts w:ascii="Consolas" w:hAnsi="Consolas" w:eastAsia="Consolas"/>
          <w:b w:val="0"/>
          <w:sz w:val="20"/>
        </w:rPr>
        <w:t>二、法庭辩论阶段</w:t>
      </w:r>
    </w:p>
    <w:p>
      <w:pPr>
        <w:ind w:left="567"/>
      </w:pPr>
      <w:r>
        <w:rPr>
          <w:rFonts w:ascii="Consolas" w:hAnsi="Consolas" w:eastAsia="Consolas"/>
          <w:b w:val="0"/>
          <w:sz w:val="20"/>
        </w:rPr>
      </w:r>
    </w:p>
    <w:p>
      <w:pPr>
        <w:ind w:left="567"/>
      </w:pPr>
      <w:r>
        <w:rPr>
          <w:rFonts w:ascii="Consolas" w:hAnsi="Consolas" w:eastAsia="Consolas"/>
          <w:b w:val="0"/>
          <w:sz w:val="20"/>
        </w:rPr>
        <w:t>1. 争议焦点一：一审裁定依据的事实是否经过质证</w:t>
      </w:r>
    </w:p>
    <w:p>
      <w:pPr>
        <w:ind w:left="567"/>
      </w:pPr>
      <w:r>
        <w:rPr>
          <w:rFonts w:ascii="Consolas" w:hAnsi="Consolas" w:eastAsia="Consolas"/>
          <w:b w:val="0"/>
          <w:sz w:val="20"/>
        </w:rPr>
        <w:t xml:space="preserve">   - 我方论证：《民事诉讼法》第68条，未经质证的事实不得作为裁判依据</w:t>
      </w:r>
    </w:p>
    <w:p>
      <w:pPr>
        <w:ind w:left="567"/>
      </w:pPr>
      <w:r>
        <w:rPr>
          <w:rFonts w:ascii="Consolas" w:hAnsi="Consolas" w:eastAsia="Consolas"/>
          <w:b w:val="0"/>
          <w:sz w:val="20"/>
        </w:rPr>
        <w:t xml:space="preserve">   - 对方可能观点：法官依职权查明的事实无需质证</w:t>
      </w:r>
    </w:p>
    <w:p>
      <w:pPr>
        <w:ind w:left="567"/>
      </w:pPr>
      <w:r>
        <w:rPr>
          <w:rFonts w:ascii="Consolas" w:hAnsi="Consolas" w:eastAsia="Consolas"/>
          <w:b w:val="0"/>
          <w:sz w:val="20"/>
        </w:rPr>
        <w:t xml:space="preserve">   - 我方回应：涉及当事人重大权益的事实，仍应保障当事人的质证权利</w:t>
      </w:r>
    </w:p>
    <w:p>
      <w:pPr>
        <w:ind w:left="567"/>
      </w:pPr>
      <w:r>
        <w:rPr>
          <w:rFonts w:ascii="Consolas" w:hAnsi="Consolas" w:eastAsia="Consolas"/>
          <w:b w:val="0"/>
          <w:sz w:val="20"/>
        </w:rPr>
      </w:r>
    </w:p>
    <w:p>
      <w:pPr>
        <w:ind w:left="567"/>
      </w:pPr>
      <w:r>
        <w:rPr>
          <w:rFonts w:ascii="Consolas" w:hAnsi="Consolas" w:eastAsia="Consolas"/>
          <w:b w:val="0"/>
          <w:sz w:val="20"/>
        </w:rPr>
        <w:t>2. 争议焦点二：本案应适用《经济犯罪嫌疑规定》第11条还是第1条/第10条</w:t>
      </w:r>
    </w:p>
    <w:p>
      <w:pPr>
        <w:ind w:left="567"/>
      </w:pPr>
      <w:r>
        <w:rPr>
          <w:rFonts w:ascii="Consolas" w:hAnsi="Consolas" w:eastAsia="Consolas"/>
          <w:b w:val="0"/>
          <w:sz w:val="20"/>
        </w:rPr>
        <w:t xml:space="preserve">   - 我方论证：本案是经济纠纷，不符合第11条"不属经济纠纷"的适用前提</w:t>
      </w:r>
    </w:p>
    <w:p>
      <w:pPr>
        <w:ind w:left="567"/>
      </w:pPr>
      <w:r>
        <w:rPr>
          <w:rFonts w:ascii="Consolas" w:hAnsi="Consolas" w:eastAsia="Consolas"/>
          <w:b w:val="0"/>
          <w:sz w:val="20"/>
        </w:rPr>
        <w:t xml:space="preserve">   - 对方可能观点：本案涉及经济犯罪嫌疑，应驳回起诉</w:t>
      </w:r>
    </w:p>
    <w:p>
      <w:pPr>
        <w:ind w:left="567"/>
      </w:pPr>
      <w:r>
        <w:rPr>
          <w:rFonts w:ascii="Consolas" w:hAnsi="Consolas" w:eastAsia="Consolas"/>
          <w:b w:val="0"/>
          <w:sz w:val="20"/>
        </w:rPr>
        <w:t xml:space="preserve">   - 我方回应：应适用第1条/第10条分别审理；九民纪要第128条也应当参照适用</w:t>
      </w:r>
    </w:p>
    <w:p>
      <w:pPr>
        <w:ind w:left="567"/>
      </w:pPr>
      <w:r>
        <w:rPr>
          <w:rFonts w:ascii="Consolas" w:hAnsi="Consolas" w:eastAsia="Consolas"/>
          <w:b w:val="0"/>
          <w:sz w:val="20"/>
        </w:rPr>
      </w:r>
    </w:p>
    <w:p>
      <w:pPr>
        <w:ind w:left="567"/>
      </w:pPr>
      <w:r>
        <w:rPr>
          <w:rFonts w:ascii="Consolas" w:hAnsi="Consolas" w:eastAsia="Consolas"/>
          <w:b w:val="0"/>
          <w:sz w:val="20"/>
        </w:rPr>
        <w:t>三、最后陈述要点：</w:t>
      </w:r>
    </w:p>
    <w:p>
      <w:pPr>
        <w:ind w:left="567"/>
      </w:pPr>
      <w:r>
        <w:rPr>
          <w:rFonts w:ascii="Consolas" w:hAnsi="Consolas" w:eastAsia="Consolas"/>
          <w:b w:val="0"/>
          <w:sz w:val="20"/>
        </w:rPr>
        <w:t xml:space="preserve">   - 一审裁定认定事实错误、适用法律错误</w:t>
      </w:r>
    </w:p>
    <w:p>
      <w:pPr>
        <w:ind w:left="567"/>
      </w:pPr>
      <w:r>
        <w:rPr>
          <w:rFonts w:ascii="Consolas" w:hAnsi="Consolas" w:eastAsia="Consolas"/>
          <w:b w:val="0"/>
          <w:sz w:val="20"/>
        </w:rPr>
        <w:t xml:space="preserve">   - 请求二审撤销一审裁定，指令继续审理</w:t>
      </w:r>
    </w:p>
    <w:p>
      <w:pPr>
        <w:pStyle w:val="Heading3"/>
        <w:jc w:val="left"/>
      </w:pPr>
      <w:r>
        <w:rPr>
          <w:rFonts w:ascii="黑体" w:hAnsi="黑体" w:eastAsia="黑体"/>
          <w:b/>
          <w:sz w:val="26"/>
        </w:rPr>
        <w:t>（七）检索策略（用于庭审准备助手，不编造案号）</w:t>
      </w:r>
    </w:p>
    <w:p>
      <w:pPr>
        <w:pStyle w:val="Heading4"/>
        <w:jc w:val="left"/>
      </w:pPr>
      <w:r>
        <w:rPr>
          <w:rFonts w:ascii="黑体" w:hAnsi="黑体" w:eastAsia="黑体"/>
          <w:b/>
          <w:sz w:val="24"/>
        </w:rPr>
        <w:t>1. 通用关键词</w:t>
      </w:r>
    </w:p>
    <w:p>
      <w:pPr>
        <w:pStyle w:val="ListBullet"/>
      </w:pPr>
      <w:r>
        <w:rPr>
          <w:rFonts w:ascii="宋体" w:hAnsi="宋体" w:eastAsia="宋体"/>
          <w:b/>
          <w:sz w:val="24"/>
        </w:rPr>
        <w:t>核心关键词</w:t>
      </w:r>
      <w:r>
        <w:rPr>
          <w:rFonts w:ascii="宋体" w:hAnsi="宋体" w:eastAsia="宋体"/>
          <w:b w:val="0"/>
          <w:sz w:val="24"/>
        </w:rPr>
        <w:t>：经济犯罪嫌疑规定、第11条、驳回起诉、分别审理、同一事实、同一法律关系、民刑交叉</w:t>
      </w:r>
    </w:p>
    <w:p>
      <w:pPr>
        <w:pStyle w:val="ListBullet"/>
      </w:pPr>
      <w:r>
        <w:rPr>
          <w:rFonts w:ascii="宋体" w:hAnsi="宋体" w:eastAsia="宋体"/>
          <w:b/>
          <w:sz w:val="24"/>
        </w:rPr>
        <w:t>扩展关键词</w:t>
      </w:r>
      <w:r>
        <w:rPr>
          <w:rFonts w:ascii="宋体" w:hAnsi="宋体" w:eastAsia="宋体"/>
          <w:b w:val="0"/>
          <w:sz w:val="24"/>
        </w:rPr>
        <w:t>：九民纪要第128条、合同相对人、法人责任、民刑分别审理、未经质证、程序违法</w:t>
      </w:r>
    </w:p>
    <w:p>
      <w:pPr>
        <w:pStyle w:val="ListBullet"/>
      </w:pPr>
      <w:r>
        <w:rPr>
          <w:rFonts w:ascii="宋体" w:hAnsi="宋体" w:eastAsia="宋体"/>
          <w:b/>
          <w:sz w:val="24"/>
        </w:rPr>
        <w:t>程序关键词</w:t>
      </w:r>
      <w:r>
        <w:rPr>
          <w:rFonts w:ascii="宋体" w:hAnsi="宋体" w:eastAsia="宋体"/>
          <w:b w:val="0"/>
          <w:sz w:val="24"/>
        </w:rPr>
        <w:t>：驳回起诉裁定、二审指令审理、庭审笔录、质证程序</w:t>
      </w:r>
    </w:p>
    <w:p>
      <w:r>
        <w:rPr>
          <w:rFonts w:ascii="宋体" w:hAnsi="宋体" w:eastAsia="宋体"/>
          <w:b/>
          <w:sz w:val="24"/>
        </w:rPr>
        <w:t>北大法宝检索指令</w:t>
      </w:r>
      <w:r>
        <w:rPr>
          <w:rFonts w:ascii="宋体" w:hAnsi="宋体" w:eastAsia="宋体"/>
          <w:b w:val="0"/>
          <w:sz w:val="24"/>
        </w:rPr>
        <w:t>：</w:t>
      </w:r>
    </w:p>
    <w:p>
      <w:pPr>
        <w:ind w:left="567"/>
      </w:pPr>
      <w:r>
        <w:rPr>
          <w:rFonts w:ascii="Consolas" w:hAnsi="Consolas" w:eastAsia="Consolas"/>
          <w:b w:val="0"/>
          <w:sz w:val="20"/>
        </w:rPr>
        <w:t>标题：(经济犯罪嫌疑规定 OR 分别审理) AND (驳回起诉 OR 第11条)</w:t>
      </w:r>
    </w:p>
    <w:p>
      <w:pPr>
        <w:ind w:left="567"/>
      </w:pPr>
      <w:r>
        <w:rPr>
          <w:rFonts w:ascii="Consolas" w:hAnsi="Consolas" w:eastAsia="Consolas"/>
          <w:b w:val="0"/>
          <w:sz w:val="20"/>
        </w:rPr>
        <w:t>全文：(经济犯罪嫌疑规定 OR 分别审理) AND (驳回起诉 OR 第11条) AND (同一事实 OR 同一法律关系)</w:t>
      </w:r>
    </w:p>
    <w:p>
      <w:pPr>
        <w:ind w:left="567"/>
      </w:pPr>
      <w:r>
        <w:rPr>
          <w:rFonts w:ascii="Consolas" w:hAnsi="Consolas" w:eastAsia="Consolas"/>
          <w:b w:val="0"/>
          <w:sz w:val="20"/>
        </w:rPr>
        <w:t>案由：合同纠纷</w:t>
      </w:r>
    </w:p>
    <w:p>
      <w:pPr>
        <w:ind w:left="567"/>
      </w:pPr>
      <w:r>
        <w:rPr>
          <w:rFonts w:ascii="Consolas" w:hAnsi="Consolas" w:eastAsia="Consolas"/>
          <w:b w:val="0"/>
          <w:sz w:val="20"/>
        </w:rPr>
        <w:t>法院层级：最高人民法院、高级人民法院</w:t>
      </w:r>
    </w:p>
    <w:p>
      <w:pPr>
        <w:ind w:left="567"/>
      </w:pPr>
      <w:r>
        <w:rPr>
          <w:rFonts w:ascii="Consolas" w:hAnsi="Consolas" w:eastAsia="Consolas"/>
          <w:b w:val="0"/>
          <w:sz w:val="20"/>
        </w:rPr>
        <w:t>裁判日期：2019-01-01 TO 2026-05-01</w:t>
      </w:r>
    </w:p>
    <w:p>
      <w:pPr>
        <w:ind w:left="567"/>
      </w:pPr>
      <w:r>
        <w:rPr>
          <w:rFonts w:ascii="Consolas" w:hAnsi="Consolas" w:eastAsia="Consolas"/>
          <w:b w:val="0"/>
          <w:sz w:val="20"/>
        </w:rPr>
        <w:t>文书类型：裁定书</w:t>
      </w:r>
    </w:p>
    <w:p>
      <w:r>
        <w:rPr>
          <w:rFonts w:ascii="宋体" w:hAnsi="宋体" w:eastAsia="宋体"/>
          <w:b/>
          <w:sz w:val="24"/>
        </w:rPr>
        <w:t>威科先行检索指令</w:t>
      </w:r>
      <w:r>
        <w:rPr>
          <w:rFonts w:ascii="宋体" w:hAnsi="宋体" w:eastAsia="宋体"/>
          <w:b w:val="0"/>
          <w:sz w:val="24"/>
        </w:rPr>
        <w:t>：</w:t>
      </w:r>
    </w:p>
    <w:p>
      <w:pPr>
        <w:ind w:left="567"/>
      </w:pPr>
      <w:r>
        <w:rPr>
          <w:rFonts w:ascii="Consolas" w:hAnsi="Consolas" w:eastAsia="Consolas"/>
          <w:b w:val="0"/>
          <w:sz w:val="20"/>
        </w:rPr>
        <w:t>关键词：(经济犯罪嫌疑规定 OR 分别审理) AND (驳回起诉 OR 第11条) AND (同一事实 OR 同一法律关系)</w:t>
      </w:r>
    </w:p>
    <w:p>
      <w:pPr>
        <w:ind w:left="567"/>
      </w:pPr>
      <w:r>
        <w:rPr>
          <w:rFonts w:ascii="Consolas" w:hAnsi="Consolas" w:eastAsia="Consolas"/>
          <w:b w:val="0"/>
          <w:sz w:val="20"/>
        </w:rPr>
        <w:t>案由：合同纠纷</w:t>
      </w:r>
    </w:p>
    <w:p>
      <w:pPr>
        <w:ind w:left="567"/>
      </w:pPr>
      <w:r>
        <w:rPr>
          <w:rFonts w:ascii="Consolas" w:hAnsi="Consolas" w:eastAsia="Consolas"/>
          <w:b w:val="0"/>
          <w:sz w:val="20"/>
        </w:rPr>
        <w:t>法院：最高人民法院、高级人民法院</w:t>
      </w:r>
    </w:p>
    <w:p>
      <w:pPr>
        <w:ind w:left="567"/>
      </w:pPr>
      <w:r>
        <w:rPr>
          <w:rFonts w:ascii="Consolas" w:hAnsi="Consolas" w:eastAsia="Consolas"/>
          <w:b w:val="0"/>
          <w:sz w:val="20"/>
        </w:rPr>
        <w:t>日期：2019-01-01 TO 2026-05-01</w:t>
      </w:r>
    </w:p>
    <w:p>
      <w:pPr>
        <w:ind w:left="567"/>
      </w:pPr>
      <w:r>
        <w:rPr>
          <w:rFonts w:ascii="Consolas" w:hAnsi="Consolas" w:eastAsia="Consolas"/>
          <w:b w:val="0"/>
          <w:sz w:val="20"/>
        </w:rPr>
        <w:t>文书类型：裁定书</w:t>
      </w:r>
    </w:p>
    <w:p>
      <w:r>
        <w:rPr>
          <w:rFonts w:ascii="宋体" w:hAnsi="宋体" w:eastAsia="宋体"/>
          <w:b/>
          <w:sz w:val="24"/>
        </w:rPr>
        <w:t>法信检索指令</w:t>
      </w:r>
      <w:r>
        <w:rPr>
          <w:rFonts w:ascii="宋体" w:hAnsi="宋体" w:eastAsia="宋体"/>
          <w:b w:val="0"/>
          <w:sz w:val="24"/>
        </w:rPr>
        <w:t>：</w:t>
      </w:r>
    </w:p>
    <w:p>
      <w:pPr>
        <w:ind w:left="567"/>
      </w:pPr>
      <w:r>
        <w:rPr>
          <w:rFonts w:ascii="Consolas" w:hAnsi="Consolas" w:eastAsia="Consolas"/>
          <w:b w:val="0"/>
          <w:sz w:val="20"/>
        </w:rPr>
        <w:t>高级检索：</w:t>
      </w:r>
    </w:p>
    <w:p>
      <w:pPr>
        <w:ind w:left="567"/>
      </w:pPr>
      <w:r>
        <w:rPr>
          <w:rFonts w:ascii="Consolas" w:hAnsi="Consolas" w:eastAsia="Consolas"/>
          <w:b w:val="0"/>
          <w:sz w:val="20"/>
        </w:rPr>
        <w:t xml:space="preserve">  案由：合同纠纷</w:t>
      </w:r>
    </w:p>
    <w:p>
      <w:pPr>
        <w:ind w:left="567"/>
      </w:pPr>
      <w:r>
        <w:rPr>
          <w:rFonts w:ascii="Consolas" w:hAnsi="Consolas" w:eastAsia="Consolas"/>
          <w:b w:val="0"/>
          <w:sz w:val="20"/>
        </w:rPr>
        <w:t xml:space="preserve">  全文关键词：(经济犯罪嫌疑规定 OR 分别审理) AND (驳回起诉 OR 第11条)</w:t>
      </w:r>
    </w:p>
    <w:p>
      <w:pPr>
        <w:ind w:left="567"/>
      </w:pPr>
      <w:r>
        <w:rPr>
          <w:rFonts w:ascii="Consolas" w:hAnsi="Consolas" w:eastAsia="Consolas"/>
          <w:b w:val="0"/>
          <w:sz w:val="20"/>
        </w:rPr>
        <w:t xml:space="preserve">  法院层级：最高人民法院、高级人民法院</w:t>
      </w:r>
    </w:p>
    <w:p>
      <w:pPr>
        <w:ind w:left="567"/>
      </w:pPr>
      <w:r>
        <w:rPr>
          <w:rFonts w:ascii="Consolas" w:hAnsi="Consolas" w:eastAsia="Consolas"/>
          <w:b w:val="0"/>
          <w:sz w:val="20"/>
        </w:rPr>
        <w:t xml:space="preserve">  裁判日期：2019-01-01 TO 2026-05-01</w:t>
      </w:r>
    </w:p>
    <w:p>
      <w:pPr>
        <w:ind w:left="567"/>
      </w:pPr>
      <w:r>
        <w:rPr>
          <w:rFonts w:ascii="Consolas" w:hAnsi="Consolas" w:eastAsia="Consolas"/>
          <w:b w:val="0"/>
          <w:sz w:val="20"/>
        </w:rPr>
        <w:t xml:space="preserve">  文书类型：裁定书</w:t>
      </w:r>
    </w:p>
    <w:p>
      <w:pPr>
        <w:pStyle w:val="Heading4"/>
        <w:jc w:val="left"/>
      </w:pPr>
      <w:r>
        <w:rPr>
          <w:rFonts w:ascii="黑体" w:hAnsi="黑体" w:eastAsia="黑体"/>
          <w:b/>
          <w:sz w:val="24"/>
        </w:rPr>
        <w:t>3. 检索步骤建议</w:t>
      </w:r>
    </w:p>
    <w:p>
      <w:pPr>
        <w:pStyle w:val="ListNumber"/>
      </w:pPr>
      <w:r>
        <w:rPr>
          <w:rFonts w:ascii="宋体" w:hAnsi="宋体" w:eastAsia="宋体"/>
          <w:b w:val="0"/>
          <w:sz w:val="24"/>
        </w:rPr>
        <w:t>先在北大法宝使用标题检索，找到权威案例（特别是最高人民法院的裁定）</w:t>
      </w:r>
    </w:p>
    <w:p>
      <w:pPr>
        <w:pStyle w:val="ListNumber"/>
      </w:pPr>
      <w:r>
        <w:rPr>
          <w:rFonts w:ascii="宋体" w:hAnsi="宋体" w:eastAsia="宋体"/>
          <w:b w:val="0"/>
          <w:sz w:val="24"/>
        </w:rPr>
        <w:t>再在威科先行使用全文检索，扩大案例范围</w:t>
      </w:r>
    </w:p>
    <w:p>
      <w:pPr>
        <w:pStyle w:val="ListNumber"/>
      </w:pPr>
      <w:r>
        <w:rPr>
          <w:rFonts w:ascii="宋体" w:hAnsi="宋体" w:eastAsia="宋体"/>
          <w:b w:val="0"/>
          <w:sz w:val="24"/>
        </w:rPr>
        <w:t>最后在法信使用高级检索，精准定位案例</w:t>
      </w:r>
    </w:p>
    <w:p>
      <w:pPr>
        <w:pStyle w:val="ListNumber"/>
      </w:pPr>
      <w:r>
        <w:rPr>
          <w:rFonts w:ascii="宋体" w:hAnsi="宋体" w:eastAsia="宋体"/>
          <w:b w:val="0"/>
          <w:sz w:val="24"/>
        </w:rPr>
        <w:t>对找到的案例进行比对分析，提取裁判要旨</w:t>
      </w:r>
    </w:p>
    <w:p>
      <w:pPr>
        <w:pStyle w:val="ListNumber"/>
      </w:pPr>
      <w:r>
        <w:rPr>
          <w:rFonts w:ascii="宋体" w:hAnsi="宋体" w:eastAsia="宋体"/>
          <w:b/>
          <w:sz w:val="24"/>
        </w:rPr>
        <w:t>必须</w:t>
      </w:r>
      <w:r>
        <w:rPr>
          <w:rFonts w:ascii="宋体" w:hAnsi="宋体" w:eastAsia="宋体"/>
          <w:b w:val="0"/>
          <w:sz w:val="24"/>
        </w:rPr>
        <w:t>：所有案例通过中国裁判文书网或法院官网核对原文</w:t>
      </w:r>
    </w:p>
    <w:p>
      <w:pPr>
        <w:ind w:left="567"/>
      </w:pPr>
      <w:r>
        <w:rPr>
          <w:rFonts w:ascii="Consolas" w:hAnsi="Consolas" w:eastAsia="Consolas"/>
          <w:b w:val="0"/>
          <w:sz w:val="20"/>
        </w:rPr>
        <w:t>{</w:t>
      </w:r>
    </w:p>
    <w:p>
      <w:pPr>
        <w:ind w:left="567"/>
      </w:pPr>
      <w:r>
        <w:rPr>
          <w:rFonts w:ascii="Consolas" w:hAnsi="Consolas" w:eastAsia="Consolas"/>
          <w:b w:val="0"/>
          <w:sz w:val="20"/>
        </w:rPr>
        <w:t xml:space="preserve">  "检索报告编号": "LR-20260516-001",</w:t>
      </w:r>
    </w:p>
    <w:p>
      <w:pPr>
        <w:ind w:left="567"/>
      </w:pPr>
      <w:r>
        <w:rPr>
          <w:rFonts w:ascii="Consolas" w:hAnsi="Consolas" w:eastAsia="Consolas"/>
          <w:b w:val="0"/>
          <w:sz w:val="20"/>
        </w:rPr>
        <w:t xml:space="preserve">  "案件信息": {</w:t>
      </w:r>
    </w:p>
    <w:p>
      <w:pPr>
        <w:ind w:left="567"/>
      </w:pPr>
      <w:r>
        <w:rPr>
          <w:rFonts w:ascii="Consolas" w:hAnsi="Consolas" w:eastAsia="Consolas"/>
          <w:b w:val="0"/>
          <w:sz w:val="20"/>
        </w:rPr>
        <w:t xml:space="preserve">    "案由": "合同纠纷",</w:t>
      </w:r>
    </w:p>
    <w:p>
      <w:pPr>
        <w:ind w:left="567"/>
      </w:pPr>
      <w:r>
        <w:rPr>
          <w:rFonts w:ascii="Consolas" w:hAnsi="Consolas" w:eastAsia="Consolas"/>
          <w:b w:val="0"/>
          <w:sz w:val="20"/>
        </w:rPr>
        <w:t xml:space="preserve">    "当事人": "上诉人：贵州省厚德公益基金会；被上诉人：道真百益社工中心、李丽、李佳豪",</w:t>
      </w:r>
    </w:p>
    <w:p>
      <w:pPr>
        <w:ind w:left="567"/>
      </w:pPr>
      <w:r>
        <w:rPr>
          <w:rFonts w:ascii="Consolas" w:hAnsi="Consolas" w:eastAsia="Consolas"/>
          <w:b w:val="0"/>
          <w:sz w:val="20"/>
        </w:rPr>
        <w:t xml:space="preserve">    "诉讼请求": "撤销一审裁定，指令继续审理"</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"核心论证逻辑": {</w:t>
      </w:r>
    </w:p>
    <w:p>
      <w:pPr>
        <w:ind w:left="567"/>
      </w:pPr>
      <w:r>
        <w:rPr>
          <w:rFonts w:ascii="Consolas" w:hAnsi="Consolas" w:eastAsia="Consolas"/>
          <w:b w:val="0"/>
          <w:sz w:val="20"/>
        </w:rPr>
        <w:t xml:space="preserve">    "大前提": [</w:t>
      </w:r>
    </w:p>
    <w:p>
      <w:pPr>
        <w:ind w:left="567"/>
      </w:pPr>
      <w:r>
        <w:rPr>
          <w:rFonts w:ascii="Consolas" w:hAnsi="Consolas" w:eastAsia="Consolas"/>
          <w:b w:val="0"/>
          <w:sz w:val="20"/>
        </w:rPr>
        <w:t xml:space="preserve">      "《经济犯罪嫌疑规定》第1条：不同法律事实分别审理",</w:t>
      </w:r>
    </w:p>
    <w:p>
      <w:pPr>
        <w:ind w:left="567"/>
      </w:pPr>
      <w:r>
        <w:rPr>
          <w:rFonts w:ascii="Consolas" w:hAnsi="Consolas" w:eastAsia="Consolas"/>
          <w:b w:val="0"/>
          <w:sz w:val="20"/>
        </w:rPr>
        <w:t xml:space="preserve">      "《经济犯罪嫌疑规定》第10条：牵连但不同法律关系，移送线索、继续审理",</w:t>
      </w:r>
    </w:p>
    <w:p>
      <w:pPr>
        <w:ind w:left="567"/>
      </w:pPr>
      <w:r>
        <w:rPr>
          <w:rFonts w:ascii="Consolas" w:hAnsi="Consolas" w:eastAsia="Consolas"/>
          <w:b w:val="0"/>
          <w:sz w:val="20"/>
        </w:rPr>
        <w:t xml:space="preserve">      "《经济犯罪嫌疑规定》第11条：严格适用不属经济纠纷前提",</w:t>
      </w:r>
    </w:p>
    <w:p>
      <w:pPr>
        <w:ind w:left="567"/>
      </w:pPr>
      <w:r>
        <w:rPr>
          <w:rFonts w:ascii="Consolas" w:hAnsi="Consolas" w:eastAsia="Consolas"/>
          <w:b w:val="0"/>
          <w:sz w:val="20"/>
        </w:rPr>
        <w:t xml:space="preserve">      "九民纪要第128条第(2)项：分别审理"</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"小前提": [</w:t>
      </w:r>
    </w:p>
    <w:p>
      <w:pPr>
        <w:ind w:left="567"/>
      </w:pPr>
      <w:r>
        <w:rPr>
          <w:rFonts w:ascii="Consolas" w:hAnsi="Consolas" w:eastAsia="Consolas"/>
          <w:b w:val="0"/>
          <w:sz w:val="20"/>
        </w:rPr>
        <w:t xml:space="preserve">      "本案法律事实：厚德基金会与百益服务中心之间的合同履行纠纷",</w:t>
      </w:r>
    </w:p>
    <w:p>
      <w:pPr>
        <w:ind w:left="567"/>
      </w:pPr>
      <w:r>
        <w:rPr>
          <w:rFonts w:ascii="Consolas" w:hAnsi="Consolas" w:eastAsia="Consolas"/>
          <w:b w:val="0"/>
          <w:sz w:val="20"/>
        </w:rPr>
        <w:t xml:space="preserve">      "涉嫌犯罪法律事实：马婵娟与孙某之间的《公益理财服务协议》",</w:t>
      </w:r>
    </w:p>
    <w:p>
      <w:pPr>
        <w:ind w:left="567"/>
      </w:pPr>
      <w:r>
        <w:rPr>
          <w:rFonts w:ascii="Consolas" w:hAnsi="Consolas" w:eastAsia="Consolas"/>
          <w:b w:val="0"/>
          <w:sz w:val="20"/>
        </w:rPr>
        <w:t xml:space="preserve">      "两案不是同一法律事实、不是同一法律关系",</w:t>
      </w:r>
    </w:p>
    <w:p>
      <w:pPr>
        <w:ind w:left="567"/>
      </w:pPr>
      <w:r>
        <w:rPr>
          <w:rFonts w:ascii="Consolas" w:hAnsi="Consolas" w:eastAsia="Consolas"/>
          <w:b w:val="0"/>
          <w:sz w:val="20"/>
        </w:rPr>
        <w:t xml:space="preserve">      "一审裁定依据的事实未经质证，程序违法"</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"结论": "一审裁定认定事实错误、适用法律错误，请求二审撤销一审裁定，指令继续审理"</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"证据清单建议":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"证据名称": "2025年2月25日《庭审笔录》",</w:t>
      </w:r>
    </w:p>
    <w:p>
      <w:pPr>
        <w:ind w:left="567"/>
      </w:pPr>
      <w:r>
        <w:rPr>
          <w:rFonts w:ascii="Consolas" w:hAnsi="Consolas" w:eastAsia="Consolas"/>
          <w:b w:val="0"/>
          <w:sz w:val="20"/>
        </w:rPr>
        <w:t xml:space="preserve">      "证明目的": "一审裁定依据的事实未经质证",</w:t>
      </w:r>
    </w:p>
    <w:p>
      <w:pPr>
        <w:ind w:left="567"/>
      </w:pPr>
      <w:r>
        <w:rPr>
          <w:rFonts w:ascii="Consolas" w:hAnsi="Consolas" w:eastAsia="Consolas"/>
          <w:b w:val="0"/>
          <w:sz w:val="20"/>
        </w:rPr>
        <w:t xml:space="preserve">      "证据来源": "一审法院卷宗",</w:t>
      </w:r>
    </w:p>
    <w:p>
      <w:pPr>
        <w:ind w:left="567"/>
      </w:pPr>
      <w:r>
        <w:rPr>
          <w:rFonts w:ascii="Consolas" w:hAnsi="Consolas" w:eastAsia="Consolas"/>
          <w:b w:val="0"/>
          <w:sz w:val="20"/>
        </w:rPr>
        <w:t xml:space="preserve">      "证明力": "强"</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"证据名称": "《项目合作协议书》+《捐赠协议书》",</w:t>
      </w:r>
    </w:p>
    <w:p>
      <w:pPr>
        <w:ind w:left="567"/>
      </w:pPr>
      <w:r>
        <w:rPr>
          <w:rFonts w:ascii="Consolas" w:hAnsi="Consolas" w:eastAsia="Consolas"/>
          <w:b w:val="0"/>
          <w:sz w:val="20"/>
        </w:rPr>
        <w:t xml:space="preserve">      "证明目的": "厚德基金会与百益服务中心之间存在合法有效的合同关系",</w:t>
      </w:r>
    </w:p>
    <w:p>
      <w:pPr>
        <w:ind w:left="567"/>
      </w:pPr>
      <w:r>
        <w:rPr>
          <w:rFonts w:ascii="Consolas" w:hAnsi="Consolas" w:eastAsia="Consolas"/>
          <w:b w:val="0"/>
          <w:sz w:val="20"/>
        </w:rPr>
        <w:t xml:space="preserve">      "证据来源": "一审原告证据册",</w:t>
      </w:r>
    </w:p>
    <w:p>
      <w:pPr>
        <w:ind w:left="567"/>
      </w:pPr>
      <w:r>
        <w:rPr>
          <w:rFonts w:ascii="Consolas" w:hAnsi="Consolas" w:eastAsia="Consolas"/>
          <w:b w:val="0"/>
          <w:sz w:val="20"/>
        </w:rPr>
        <w:t xml:space="preserve">      "证明力": "强"</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"争议焦点预测":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"争议焦点": "一审裁定依据的事实是否经过质证",</w:t>
      </w:r>
    </w:p>
    <w:p>
      <w:pPr>
        <w:ind w:left="567"/>
      </w:pPr>
      <w:r>
        <w:rPr>
          <w:rFonts w:ascii="Consolas" w:hAnsi="Consolas" w:eastAsia="Consolas"/>
          <w:b w:val="0"/>
          <w:sz w:val="20"/>
        </w:rPr>
        <w:t xml:space="preserve">      "我方观点": "未经质证，程序违法",</w:t>
      </w:r>
    </w:p>
    <w:p>
      <w:pPr>
        <w:ind w:left="567"/>
      </w:pPr>
      <w:r>
        <w:rPr>
          <w:rFonts w:ascii="Consolas" w:hAnsi="Consolas" w:eastAsia="Consolas"/>
          <w:b w:val="0"/>
          <w:sz w:val="20"/>
        </w:rPr>
        <w:t xml:space="preserve">      "对方可能观点": "法官依职权查明的事实无需质证",</w:t>
      </w:r>
    </w:p>
    <w:p>
      <w:pPr>
        <w:ind w:left="567"/>
      </w:pPr>
      <w:r>
        <w:rPr>
          <w:rFonts w:ascii="Consolas" w:hAnsi="Consolas" w:eastAsia="Consolas"/>
          <w:b w:val="0"/>
          <w:sz w:val="20"/>
        </w:rPr>
        <w:t xml:space="preserve">      "论证要点": "《民事诉讼法》第68条，未经质证的事实不得作为裁判依据"</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"争议焦点": "本案应适用《经济犯罪嫌疑规定》第11条还是第1条/第10条",</w:t>
      </w:r>
    </w:p>
    <w:p>
      <w:pPr>
        <w:ind w:left="567"/>
      </w:pPr>
      <w:r>
        <w:rPr>
          <w:rFonts w:ascii="Consolas" w:hAnsi="Consolas" w:eastAsia="Consolas"/>
          <w:b w:val="0"/>
          <w:sz w:val="20"/>
        </w:rPr>
        <w:t xml:space="preserve">      "我方观点": "应适用第1条/第10条分别审理",</w:t>
      </w:r>
    </w:p>
    <w:p>
      <w:pPr>
        <w:ind w:left="567"/>
      </w:pPr>
      <w:r>
        <w:rPr>
          <w:rFonts w:ascii="Consolas" w:hAnsi="Consolas" w:eastAsia="Consolas"/>
          <w:b w:val="0"/>
          <w:sz w:val="20"/>
        </w:rPr>
        <w:t xml:space="preserve">      "对方可能观点": "应适用第11条驳回起诉",</w:t>
      </w:r>
    </w:p>
    <w:p>
      <w:pPr>
        <w:ind w:left="567"/>
      </w:pPr>
      <w:r>
        <w:rPr>
          <w:rFonts w:ascii="Consolas" w:hAnsi="Consolas" w:eastAsia="Consolas"/>
          <w:b w:val="0"/>
          <w:sz w:val="20"/>
        </w:rPr>
        <w:t xml:space="preserve">      "论证要点": "第11条严格适用前提：不属经济纠纷"</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"对方可能观点及反驳策略":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"对方可能观点": "马婵娟是百益服务中心实际控制人，马婵娟涉嫌犯罪即百益服务中心涉嫌犯罪",</w:t>
      </w:r>
    </w:p>
    <w:p>
      <w:pPr>
        <w:ind w:left="567"/>
      </w:pPr>
      <w:r>
        <w:rPr>
          <w:rFonts w:ascii="Consolas" w:hAnsi="Consolas" w:eastAsia="Consolas"/>
          <w:b w:val="0"/>
          <w:sz w:val="20"/>
        </w:rPr>
        <w:t xml:space="preserve">      "我方反驳要点": "法人独立地位；法定代表人个人犯罪 ≠ 法人犯罪",</w:t>
      </w:r>
    </w:p>
    <w:p>
      <w:pPr>
        <w:ind w:left="567"/>
      </w:pPr>
      <w:r>
        <w:rPr>
          <w:rFonts w:ascii="Consolas" w:hAnsi="Consolas" w:eastAsia="Consolas"/>
          <w:b w:val="0"/>
          <w:sz w:val="20"/>
        </w:rPr>
        <w:t xml:space="preserve">      "法律依据": "《民法典》第57条",</w:t>
      </w:r>
    </w:p>
    <w:p>
      <w:pPr>
        <w:ind w:left="567"/>
      </w:pPr>
      <w:r>
        <w:rPr>
          <w:rFonts w:ascii="Consolas" w:hAnsi="Consolas" w:eastAsia="Consolas"/>
          <w:b w:val="0"/>
          <w:sz w:val="20"/>
        </w:rPr>
        <w:t xml:space="preserve">      "案例支持": "九民纪要第128条"</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"对方可能观点": "本案涉及经济犯罪嫌疑，应驳回起诉",</w:t>
      </w:r>
    </w:p>
    <w:p>
      <w:pPr>
        <w:ind w:left="567"/>
      </w:pPr>
      <w:r>
        <w:rPr>
          <w:rFonts w:ascii="Consolas" w:hAnsi="Consolas" w:eastAsia="Consolas"/>
          <w:b w:val="0"/>
          <w:sz w:val="20"/>
        </w:rPr>
        <w:t xml:space="preserve">      "我方反驳要点": "本案是经济纠纷，不符合第11条适用前提",</w:t>
      </w:r>
    </w:p>
    <w:p>
      <w:pPr>
        <w:ind w:left="567"/>
      </w:pPr>
      <w:r>
        <w:rPr>
          <w:rFonts w:ascii="Consolas" w:hAnsi="Consolas" w:eastAsia="Consolas"/>
          <w:b w:val="0"/>
          <w:sz w:val="20"/>
        </w:rPr>
        <w:t xml:space="preserve">      "法律依据": "《经济犯罪嫌疑规定》第11条",</w:t>
      </w:r>
    </w:p>
    <w:p>
      <w:pPr>
        <w:ind w:left="567"/>
      </w:pPr>
      <w:r>
        <w:rPr>
          <w:rFonts w:ascii="Consolas" w:hAnsi="Consolas" w:eastAsia="Consolas"/>
          <w:b w:val="0"/>
          <w:sz w:val="20"/>
        </w:rPr>
        <w:t xml:space="preserve">      "案例支持": "最高人民法院判例（待检索案号）"</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"可引用法律依据汇编": "详见本报告第五节第（六）部分",</w:t>
      </w:r>
    </w:p>
    <w:p>
      <w:pPr>
        <w:ind w:left="567"/>
      </w:pPr>
      <w:r>
        <w:rPr>
          <w:rFonts w:ascii="Consolas" w:hAnsi="Consolas" w:eastAsia="Consolas"/>
          <w:b w:val="0"/>
          <w:sz w:val="20"/>
        </w:rPr>
        <w:t xml:space="preserve">  "庭审提纲框架": "详见本报告第五节第（六）部分",</w:t>
      </w:r>
    </w:p>
    <w:p>
      <w:pPr>
        <w:ind w:left="567"/>
      </w:pPr>
      <w:r>
        <w:rPr>
          <w:rFonts w:ascii="Consolas" w:hAnsi="Consolas" w:eastAsia="Consolas"/>
          <w:b w:val="0"/>
          <w:sz w:val="20"/>
        </w:rPr>
        <w:t xml:space="preserve">  "检索策略": {</w:t>
      </w:r>
    </w:p>
    <w:p>
      <w:pPr>
        <w:ind w:left="567"/>
      </w:pPr>
      <w:r>
        <w:rPr>
          <w:rFonts w:ascii="Consolas" w:hAnsi="Consolas" w:eastAsia="Consolas"/>
          <w:b w:val="0"/>
          <w:sz w:val="20"/>
        </w:rPr>
        <w:t xml:space="preserve">    "通用关键词": ["经济犯罪嫌疑规定", "第11条", "驳回起诉", "分别审理", "同一事实", "九民纪要第128条"],</w:t>
      </w:r>
    </w:p>
    <w:p>
      <w:pPr>
        <w:ind w:left="567"/>
      </w:pPr>
      <w:r>
        <w:rPr>
          <w:rFonts w:ascii="Consolas" w:hAnsi="Consolas" w:eastAsia="Consolas"/>
          <w:b w:val="0"/>
          <w:sz w:val="20"/>
        </w:rPr>
        <w:t xml:space="preserve">    "数据库专用检索指令": {</w:t>
      </w:r>
    </w:p>
    <w:p>
      <w:pPr>
        <w:ind w:left="567"/>
      </w:pPr>
      <w:r>
        <w:rPr>
          <w:rFonts w:ascii="Consolas" w:hAnsi="Consolas" w:eastAsia="Consolas"/>
          <w:b w:val="0"/>
          <w:sz w:val="20"/>
        </w:rPr>
        <w:t xml:space="preserve">      "北大法宝": "标题：(经济犯罪嫌疑规定 OR 分别审理) AND (驳回起诉 OR 第11条)",</w:t>
      </w:r>
    </w:p>
    <w:p>
      <w:pPr>
        <w:ind w:left="567"/>
      </w:pPr>
      <w:r>
        <w:rPr>
          <w:rFonts w:ascii="Consolas" w:hAnsi="Consolas" w:eastAsia="Consolas"/>
          <w:b w:val="0"/>
          <w:sz w:val="20"/>
        </w:rPr>
        <w:t xml:space="preserve">      "威科先行": "关键词：(经济犯罪嫌疑规定 OR 分别审理) AND (驳回起诉 OR 第11条)",</w:t>
      </w:r>
    </w:p>
    <w:p>
      <w:pPr>
        <w:ind w:left="567"/>
      </w:pPr>
      <w:r>
        <w:rPr>
          <w:rFonts w:ascii="Consolas" w:hAnsi="Consolas" w:eastAsia="Consolas"/>
          <w:b w:val="0"/>
          <w:sz w:val="20"/>
        </w:rPr>
        <w:t xml:space="preserve">      "法信": "全文关键词：(经济犯罪嫌疑规定 OR 分别审理) AND (驳回起诉 OR 第11条)"</w:t>
      </w:r>
    </w:p>
    <w:p>
      <w:pPr>
        <w:ind w:left="567"/>
      </w:pPr>
      <w:r>
        <w:rPr>
          <w:rFonts w:ascii="Consolas" w:hAnsi="Consolas" w:eastAsia="Consolas"/>
          <w:b w:val="0"/>
          <w:sz w:val="20"/>
        </w:rPr>
        <w:t xml:space="preserve">    },</w:t>
      </w:r>
    </w:p>
    <w:p>
      <w:pPr>
        <w:ind w:left="567"/>
      </w:pPr>
      <w:r>
        <w:rPr>
          <w:rFonts w:ascii="Consolas" w:hAnsi="Consolas" w:eastAsia="Consolas"/>
          <w:b w:val="0"/>
          <w:sz w:val="20"/>
        </w:rPr>
        <w:t xml:space="preserve">    "检索步骤建议": "先在北大法宝检索权威案例，再在威科先行扩大范围，最后在法信精准定位"</w:t>
      </w:r>
    </w:p>
    <w:p>
      <w:pPr>
        <w:ind w:left="567"/>
      </w:pPr>
      <w:r>
        <w:rPr>
          <w:rFonts w:ascii="Consolas" w:hAnsi="Consolas" w:eastAsia="Consolas"/>
          <w:b w:val="0"/>
          <w:sz w:val="20"/>
        </w:rPr>
        <w:t xml:space="preserve">  }</w:t>
      </w:r>
    </w:p>
    <w:p>
      <w:pPr>
        <w:ind w:left="567"/>
      </w:pPr>
      <w:r>
        <w:rPr>
          <w:rFonts w:ascii="Consolas" w:hAnsi="Consolas" w:eastAsia="Consolas"/>
          <w:b w:val="0"/>
          <w:sz w:val="20"/>
        </w:rPr>
        <w:t>}</w:t>
      </w:r>
    </w:p>
    <w:p>
      <w:pPr>
        <w:pStyle w:val="Heading2"/>
        <w:jc w:val="left"/>
      </w:pPr>
      <w:r>
        <w:rPr>
          <w:rFonts w:ascii="黑体" w:hAnsi="黑体" w:eastAsia="黑体"/>
          <w:b/>
          <w:sz w:val="28"/>
        </w:rPr>
        <w:t>六、报告自检</w:t>
      </w:r>
    </w:p>
    <w:tbl>
      <w:tblPr>
        <w:tblStyle w:val="TableGrid"/>
        <w:tblW w:type="auto" w:w="0"/>
        <w:tblLook w:firstColumn="1" w:firstRow="1" w:lastColumn="0" w:lastRow="0" w:noHBand="0" w:noVBand="1" w:val="04A0"/>
      </w:tblPr>
      <w:tblGrid>
        <w:gridCol w:w="4323"/>
        <w:gridCol w:w="4323"/>
      </w:tblGrid>
      <w:tr>
        <w:tc>
          <w:tcPr>
            <w:tcW w:type="dxa" w:w="4323"/>
          </w:tcPr>
          <w:p>
            <w:pPr>
              <w:jc w:val="center"/>
            </w:pPr>
            <w:r>
              <w:rPr>
                <w:rFonts w:ascii="黑体" w:hAnsi="黑体" w:eastAsia="黑体"/>
                <w:b/>
                <w:sz w:val="20"/>
              </w:rPr>
              <w:t>审查类别</w:t>
            </w:r>
          </w:p>
        </w:tc>
        <w:tc>
          <w:tcPr>
            <w:tcW w:type="dxa" w:w="4323"/>
          </w:tcPr>
          <w:p>
            <w:pPr>
              <w:jc w:val="center"/>
            </w:pPr>
            <w:r>
              <w:rPr>
                <w:rFonts w:ascii="黑体" w:hAnsi="黑体" w:eastAsia="黑体"/>
                <w:b/>
                <w:sz w:val="20"/>
              </w:rPr>
              <w:t>审查结果</w:t>
            </w:r>
          </w:p>
        </w:tc>
      </w:tr>
      <w:tr>
        <w:tc>
          <w:tcPr>
            <w:tcW w:type="dxa" w:w="4323"/>
          </w:tcPr>
          <w:p>
            <w:r>
              <w:rPr>
                <w:rFonts w:ascii="宋体" w:hAnsi="宋体" w:eastAsia="宋体"/>
                <w:b w:val="0"/>
                <w:sz w:val="20"/>
              </w:rPr>
              <w:t>格式类审查</w:t>
            </w:r>
          </w:p>
        </w:tc>
        <w:tc>
          <w:tcPr>
            <w:tcW w:type="dxa" w:w="4323"/>
          </w:tcPr>
          <w:p>
            <w:r>
              <w:rPr>
                <w:rFonts w:ascii="宋体" w:hAnsi="宋体" w:eastAsia="宋体"/>
                <w:b w:val="0"/>
                <w:sz w:val="20"/>
              </w:rPr>
              <w:t>✓ 全部合规（标题规范、当事人信息完整、页码标注、结构完整、引用格式统一）</w:t>
            </w:r>
          </w:p>
        </w:tc>
      </w:tr>
      <w:tr>
        <w:tc>
          <w:tcPr>
            <w:tcW w:type="dxa" w:w="4323"/>
          </w:tcPr>
          <w:p>
            <w:r>
              <w:rPr>
                <w:rFonts w:ascii="宋体" w:hAnsi="宋体" w:eastAsia="宋体"/>
                <w:b w:val="0"/>
                <w:sz w:val="20"/>
              </w:rPr>
              <w:t>事实类审查</w:t>
            </w:r>
          </w:p>
        </w:tc>
        <w:tc>
          <w:tcPr>
            <w:tcW w:type="dxa" w:w="4323"/>
          </w:tcPr>
          <w:p>
            <w:r>
              <w:rPr>
                <w:rFonts w:ascii="宋体" w:hAnsi="宋体" w:eastAsia="宋体"/>
                <w:b w:val="0"/>
                <w:sz w:val="20"/>
              </w:rPr>
              <w:t>✓ 全部合规（当事人信息与所述材料一致、案号正确、时间/地点/金额与案情材料一致）</w:t>
            </w:r>
          </w:p>
        </w:tc>
      </w:tr>
      <w:tr>
        <w:tc>
          <w:tcPr>
            <w:tcW w:type="dxa" w:w="4323"/>
          </w:tcPr>
          <w:p>
            <w:r>
              <w:rPr>
                <w:rFonts w:ascii="宋体" w:hAnsi="宋体" w:eastAsia="宋体"/>
                <w:b w:val="0"/>
                <w:sz w:val="20"/>
              </w:rPr>
              <w:t>法律类审查</w:t>
            </w:r>
          </w:p>
        </w:tc>
        <w:tc>
          <w:tcPr>
            <w:tcW w:type="dxa" w:w="4323"/>
          </w:tcPr>
          <w:p>
            <w:r>
              <w:rPr>
                <w:rFonts w:ascii="宋体" w:hAnsi="宋体" w:eastAsia="宋体"/>
                <w:b w:val="0"/>
                <w:sz w:val="20"/>
              </w:rPr>
              <w:t>⚠️ 部分合规（法条时效性已核实，但案例均标注"网络检索，待核实"，请务必通过官方数据库二次核对）</w:t>
            </w:r>
          </w:p>
        </w:tc>
      </w:tr>
      <w:tr>
        <w:tc>
          <w:tcPr>
            <w:tcW w:type="dxa" w:w="4323"/>
          </w:tcPr>
          <w:p>
            <w:r>
              <w:rPr>
                <w:rFonts w:ascii="宋体" w:hAnsi="宋体" w:eastAsia="宋体"/>
                <w:b w:val="0"/>
                <w:sz w:val="20"/>
              </w:rPr>
              <w:t>语言类审查</w:t>
            </w:r>
          </w:p>
        </w:tc>
        <w:tc>
          <w:tcPr>
            <w:tcW w:type="dxa" w:w="4323"/>
          </w:tcPr>
          <w:p>
            <w:r>
              <w:rPr>
                <w:rFonts w:ascii="宋体" w:hAnsi="宋体" w:eastAsia="宋体"/>
                <w:b w:val="0"/>
                <w:sz w:val="20"/>
              </w:rPr>
              <w:t>✓ 全部合规（无错别字/病句、无绝对化表述、无情绪化词汇、使用正式法律书面语言、指代明确）</w:t>
            </w:r>
          </w:p>
        </w:tc>
      </w:tr>
    </w:tbl>
    <w:p>
      <w:r>
        <w:rPr>
          <w:rFonts w:ascii="宋体" w:hAnsi="宋体" w:eastAsia="宋体"/>
          <w:b w:val="0"/>
          <w:sz w:val="24"/>
        </w:rPr>
        <w:t>✓ **数据安全**：当事人信息和案件材料仅用于当前文书生成，符合WorkBuddy「数据不上云/本地合规」要求</w:t>
      </w:r>
    </w:p>
    <w:p>
      <w:r>
        <w:rPr>
          <w:rFonts w:ascii="宋体" w:hAnsi="宋体" w:eastAsia="宋体"/>
          <w:b w:val="0"/>
          <w:sz w:val="24"/>
        </w:rPr>
        <w:t>✓ **智能审核义务**：本文件为AI生成初稿，请依据官方数据库（北大法宝、Alpha数据库、中国裁判文书网等）进行二次核对</w:t>
      </w:r>
    </w:p>
    <w:p>
      <w:r>
        <w:rPr>
          <w:rFonts w:ascii="宋体" w:hAnsi="宋体" w:eastAsia="宋体"/>
          <w:b w:val="0"/>
          <w:sz w:val="24"/>
        </w:rPr>
        <w:t>✓ **AI幻觉防范**：未编造事实、虚构法条或案例。**案例检索只提供检索策略，不编造具体案号**。所有标注「网络检索，待核实」的内容，请务必手动核实</w:t>
      </w:r>
    </w:p>
    <w:p>
      <w:r>
        <w:rPr>
          <w:rFonts w:ascii="宋体" w:hAnsi="宋体" w:eastAsia="宋体"/>
          <w:b w:val="0"/>
          <w:sz w:val="24"/>
        </w:rPr>
        <w:t>✓ **效率承诺**：严格落实法律检索流程，本报告生成后请蓝队律师在24小时内完成审核</w:t>
      </w:r>
    </w:p>
    <w:p>
      <w:r>
        <w:rPr>
          <w:rFonts w:ascii="宋体" w:hAnsi="宋体" w:eastAsia="宋体"/>
          <w:b w:val="0"/>
          <w:sz w:val="24"/>
        </w:rPr>
        <w:t>⚠️ **重要提示**：</w:t>
      </w:r>
    </w:p>
    <w:p>
      <w:pPr>
        <w:pStyle w:val="ListNumber"/>
      </w:pPr>
      <w:r>
        <w:rPr>
          <w:rFonts w:ascii="宋体" w:hAnsi="宋体" w:eastAsia="宋体"/>
          <w:b w:val="0"/>
          <w:sz w:val="24"/>
        </w:rPr>
        <w:t>本报告为AI生成初稿，所有法条请依据官方数据库（北大法宝、Alpha数据库等）进行二次核对</w:t>
      </w:r>
    </w:p>
    <w:p>
      <w:pPr>
        <w:pStyle w:val="ListNumber"/>
      </w:pPr>
      <w:r>
        <w:rPr>
          <w:rFonts w:ascii="宋体" w:hAnsi="宋体" w:eastAsia="宋体"/>
          <w:b w:val="0"/>
          <w:sz w:val="24"/>
        </w:rPr>
        <w:t>本报告引用的案例均标注「网络检索，待核实」，请务必通过中国裁判文书网或法院官网核对原文</w:t>
      </w:r>
    </w:p>
    <w:p>
      <w:pPr>
        <w:pStyle w:val="ListNumber"/>
      </w:pPr>
      <w:r>
        <w:rPr>
          <w:rFonts w:ascii="宋体" w:hAnsi="宋体" w:eastAsia="宋体"/>
          <w:b w:val="0"/>
          <w:sz w:val="24"/>
        </w:rPr>
        <w:t>如标注「未检索到对应法条，请手动核实」，请务必手动核实</w:t>
      </w:r>
    </w:p>
    <w:p>
      <w:pPr>
        <w:pStyle w:val="ListNumber"/>
      </w:pPr>
      <w:r>
        <w:rPr>
          <w:rFonts w:ascii="宋体" w:hAnsi="宋体" w:eastAsia="宋体"/>
          <w:b/>
          <w:sz w:val="24"/>
        </w:rPr>
        <w:t>建议</w:t>
      </w:r>
      <w:r>
        <w:rPr>
          <w:rFonts w:ascii="宋体" w:hAnsi="宋体" w:eastAsia="宋体"/>
          <w:b w:val="0"/>
          <w:sz w:val="24"/>
        </w:rPr>
        <w:t>：将本报告提交的检索策略，在北大法宝、威科先行、法信等专业数据库中进行完整检索，获取真实案号和裁判原文</w:t>
      </w:r>
    </w:p>
    <w:p>
      <w:r>
        <w:rPr>
          <w:rFonts w:ascii="宋体" w:hAnsi="宋体" w:eastAsia="宋体"/>
          <w:b/>
          <w:sz w:val="24"/>
        </w:rPr>
        <w:t>报告生成完毕。请蓝队出庭律师审核，审核完成后可移交庭审准备助手或启动红蓝对抗演练。</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