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仿宋" w:hAnsi="仿宋" w:eastAsia="仿宋"/>
          <w:sz w:val="24"/>
        </w:rPr>
        <w:t>---</w:t>
      </w:r>
    </w:p>
    <w:p>
      <w:r>
        <w:rPr>
          <w:rFonts w:ascii="仿宋" w:hAnsi="仿宋" w:eastAsia="仿宋"/>
          <w:sz w:val="24"/>
        </w:rPr>
        <w:t>created: 2026-09-04T16:20</w:t>
      </w:r>
    </w:p>
    <w:p>
      <w:r>
        <w:rPr>
          <w:rFonts w:ascii="仿宋" w:hAnsi="仿宋" w:eastAsia="仿宋"/>
          <w:sz w:val="24"/>
        </w:rPr>
        <w:t>updated: 2026-09-04T16:51</w:t>
      </w:r>
    </w:p>
    <w:p>
      <w:r>
        <w:rPr>
          <w:rFonts w:ascii="仿宋" w:hAnsi="仿宋" w:eastAsia="仿宋"/>
          <w:sz w:val="24"/>
        </w:rPr>
        <w:t>---</w:t>
      </w:r>
    </w:p>
    <w:p>
      <w:r>
        <w:rPr>
          <w:rFonts w:ascii="宋体" w:hAnsi="宋体" w:eastAsia="宋体"/>
          <w:b/>
          <w:sz w:val="32"/>
        </w:rPr>
        <w:t>LawKB 知识飞轮系统 · 法条一致性与法理逻辑审计报告</w:t>
      </w:r>
    </w:p>
    <w:p>
      <w:r>
        <w:rPr>
          <w:rFonts w:ascii="仿宋" w:hAnsi="仿宋" w:eastAsia="仿宋"/>
          <w:sz w:val="24"/>
        </w:rPr>
        <w:t>**审计日期**：2026 年 9 月 4 日</w:t>
      </w:r>
    </w:p>
    <w:p>
      <w:r>
        <w:rPr>
          <w:rFonts w:ascii="仿宋" w:hAnsi="仿宋" w:eastAsia="仿宋"/>
          <w:sz w:val="24"/>
        </w:rPr>
        <w:t>**审计对象**：`/Users/chenyouqiang/Documents/LawKB/知识飞轮系统/`</w:t>
      </w:r>
    </w:p>
    <w:p>
      <w:r>
        <w:rPr>
          <w:rFonts w:ascii="仿宋" w:hAnsi="仿宋" w:eastAsia="仿宋"/>
          <w:sz w:val="24"/>
        </w:rPr>
        <w:t>**审计维度**：法条一致性（条号）／法条内容一致性／法理逻辑一致性</w:t>
      </w:r>
    </w:p>
    <w:p>
      <w:r>
        <w:rPr>
          <w:rFonts w:ascii="仿宋" w:hAnsi="仿宋" w:eastAsia="仿宋"/>
          <w:sz w:val="24"/>
        </w:rPr>
        <w:t>**权威源**：`~/.workbuddy/skills/LTI文本监控器/references/provision_index/`（10 部法，含逐条正文）</w:t>
      </w:r>
    </w:p>
    <w:p>
      <w:r>
        <w:rPr>
          <w:rFonts w:ascii="仿宋" w:hAnsi="仿宋" w:eastAsia="仿宋"/>
          <w:color w:val="555555"/>
          <w:sz w:val="21"/>
        </w:rPr>
        <w:t>⚠️ **体裁声明**：本报告为审计／校验类文档，正文含**被举证的错误条号示例**。此类条号一律采用中性记法（`法名·条号N〔错误类型〕`），不写完整《法律名》第 N 条格式。若 LTI 门禁提示 R1 权威源缺口，属预期，非本报告主张的引用。依据：决策卡 DEC-20260904-001（HIR-2026-0904-001）。</w:t>
      </w:r>
    </w:p>
    <w:p>
      <w:r>
        <w:rPr>
          <w:rFonts w:ascii="仿宋" w:hAnsi="仿宋" w:eastAsia="仿宋"/>
          <w:sz w:val="24"/>
        </w:rPr>
        <w:t>---</w:t>
      </w:r>
    </w:p>
    <w:p>
      <w:r>
        <w:rPr>
          <w:rFonts w:ascii="宋体" w:hAnsi="宋体" w:eastAsia="宋体"/>
          <w:b/>
          <w:sz w:val="28"/>
        </w:rPr>
        <w:t>一、审计范围与方法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全库 .md 文件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7,659（含备份副本）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**实际纳入审计**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**3,109**（已剔除 `.backup/`、`.backup_link_*`、`_backup` 等历史副本，避免同一错误被放大计数）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抽取法条引用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3,482 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命中权威索引法（可自动校验）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1,922 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含逐字引文（可做内容比对）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236 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未覆盖法引用（无本地权威源）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1,560 处</w:t>
            </w:r>
          </w:p>
        </w:tc>
      </w:tr>
    </w:tbl>
    <w:p>
      <w:r>
        <w:rPr>
          <w:rFonts w:ascii="仿宋" w:hAnsi="仿宋" w:eastAsia="仿宋"/>
          <w:sz w:val="24"/>
        </w:rPr>
        <w:t>**方法**：</w:t>
      </w:r>
    </w:p>
    <w:p>
      <w:r>
        <w:rPr>
          <w:rFonts w:ascii="仿宋" w:hAnsi="仿宋" w:eastAsia="仿宋"/>
          <w:sz w:val="24"/>
        </w:rPr>
        <w:t>1. 正则全量抽取《法律名》第 N 条引用，中文／阿拉伯数字统一归一化为整数条号；</w:t>
      </w:r>
    </w:p>
    <w:p>
      <w:r>
        <w:rPr>
          <w:rFonts w:ascii="仿宋" w:hAnsi="仿宋" w:eastAsia="仿宋"/>
          <w:sz w:val="24"/>
        </w:rPr>
        <w:t>2. 与权威索引逐条比对，判定条号是否越界；</w:t>
      </w:r>
    </w:p>
    <w:p>
      <w:r>
        <w:rPr>
          <w:rFonts w:ascii="仿宋" w:hAnsi="仿宋" w:eastAsia="仿宋"/>
          <w:sz w:val="24"/>
        </w:rPr>
        <w:t>3. 对逐字引文做**反向定位**——若卡片所挂条号的正文与引文不符，但在该法另一条号上高度命中，即判定"条号错配"并给出应改的正确条号；</w:t>
      </w:r>
    </w:p>
    <w:p>
      <w:r>
        <w:rPr>
          <w:rFonts w:ascii="仿宋" w:hAnsi="仿宋" w:eastAsia="仿宋"/>
          <w:sz w:val="24"/>
        </w:rPr>
        <w:t>4. 法理逻辑层面按（法条＋概念）聚类，检测同一议题下结论取向相反的情形。</w:t>
      </w:r>
    </w:p>
    <w:p>
      <w:r>
        <w:rPr>
          <w:rFonts w:ascii="仿宋" w:hAnsi="仿宋" w:eastAsia="仿宋"/>
          <w:sz w:val="24"/>
        </w:rPr>
        <w:t>**权威源版本**（审计基准）：民法典（2020，1260 条）／民事诉讼法（2023 修正，306 条）／公司法（2023 修订，266 条）／刑法（2023 修正，505 条）／刑事诉讼法（308 条）／民事诉讼法司法解释（2022 修正，550 条）／行政诉讼法（103 条）／行政处罚法（86 条）／行政强制法（71 条）／买卖合同司法解释（2020 修正，33 条）。</w:t>
      </w:r>
    </w:p>
    <w:p>
      <w:r>
        <w:rPr>
          <w:rFonts w:ascii="仿宋" w:hAnsi="仿宋" w:eastAsia="仿宋"/>
          <w:sz w:val="24"/>
        </w:rPr>
        <w:t>---</w:t>
      </w:r>
    </w:p>
    <w:p>
      <w:r>
        <w:rPr>
          <w:rFonts w:ascii="宋体" w:hAnsi="宋体" w:eastAsia="宋体"/>
          <w:b/>
          <w:sz w:val="28"/>
        </w:rPr>
        <w:t>二、法条一致性（条号维度）</w:t>
      </w:r>
    </w:p>
    <w:p>
      <w:r>
        <w:rPr>
          <w:rFonts w:ascii="宋体" w:hAnsi="宋体" w:eastAsia="宋体"/>
          <w:b/>
          <w:sz w:val="24"/>
        </w:rPr>
        <w:t>2.1 条号越界（确定错误，共 3 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位置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性质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买卖合同司法解释·条号38〔越界示例，该解释 2020 修正版**共 33 条**〕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01-采集/案例/人民法院案例库/2026-08-20/汤长龙诉周士海股权转让纠纷-指导案例67号.md:56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旧版条号未更新（2012 版条文数多于 33）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同上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02-提炼/案例摘要/汤长龙诉周士海-股权分期付款不适用合同法167条解除-摘要.md:29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民事诉讼法·条号332〔越界示例，该法共 306 条〕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05-调用/知识推送日志-2026-08.md:37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越界；疑为《民事诉讼法司法解释》第 332 条（该解释共 550 条）误写法律名</w:t>
            </w:r>
          </w:p>
        </w:tc>
      </w:tr>
    </w:tbl>
    <w:p>
      <w:r>
        <w:rPr>
          <w:rFonts w:ascii="仿宋" w:hAnsi="仿宋" w:eastAsia="仿宋"/>
          <w:sz w:val="24"/>
        </w:rPr>
        <w:t>**豁免 2 处**：民法典·条号9999〔测试夹具，非有效引用〕出现于 `运维/LTI防幻觉能力实测评估-2026-08-30.md`，系防幻觉回归测试**刻意构造的假条号**，非知识性错误，予以豁免。</w:t>
      </w:r>
    </w:p>
    <w:p>
      <w:r>
        <w:rPr>
          <w:rFonts w:ascii="宋体" w:hAnsi="宋体" w:eastAsia="宋体"/>
          <w:b/>
          <w:sz w:val="24"/>
        </w:rPr>
        <w:t>2.2 版本位移（旧版条号挂在现行法名下）——主要病灶</w:t>
      </w:r>
    </w:p>
    <w:p>
      <w:r>
        <w:rPr>
          <w:rFonts w:ascii="仿宋" w:hAnsi="仿宋" w:eastAsia="仿宋"/>
          <w:sz w:val="24"/>
        </w:rPr>
        <w:t>这是本次审计发现的**最系统性**问题：卡片引用的是 2017 版《民事诉讼法》或已废止《合同法》的条号，却冠以现行法之名。经反向定位，9 处已锁定正确条号：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卡片所挂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应为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内容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位移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出现位置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民诉法 63 条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**66 条**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证据必须查证属实，才能作为认定事实的根据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02-提炼/人伤法/医疗纠纷/医疗损害责任纠纷中从诉讼视角对司法鉴定意见的法律分析.md:43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民诉法 76 条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**79 条**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当事人申请鉴定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03-连接/元认知职业/青年律师工作手册2026版.md:2321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民诉法 200 条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**211 条**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有新的证据足以推翻原判决、裁定（再审事由）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+11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青年律师工作手册2026版.md:3275（2 处）、申请检察监督流程及法律依据.md:258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民法典 167 条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**634 条**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分期付款买受人未付到期价款达五分之一，经催告仍未支付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旧《合同法》167 条 → 民法典 634 条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汤长龙诉周士海案卡:63、R-SH-027:64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刑诉法 185 条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**190 条**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被告人认罪认罚的，审判长应告知诉讼权利并审查自愿性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版本位移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青年律师工作手册2026版.md:4297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民法典 123 条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**329 条**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依法取得的探矿权、采矿权、取水权等受法律保护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跨编错挂</w:t>
            </w:r>
          </w:p>
        </w:tc>
        <w:tc>
          <w:tcPr>
            <w:tcW w:type="dxa" w:w="1728"/>
          </w:tcPr>
          <w:p>
            <w:r/>
            <w:r>
              <w:rPr>
                <w:rFonts w:ascii="仿宋" w:hAnsi="仿宋" w:eastAsia="仿宋"/>
                <w:sz w:val="21"/>
              </w:rPr>
              <w:t>郭某与某甲公司财产损害补偿纠纷案（公报）:197</w:t>
            </w:r>
          </w:p>
        </w:tc>
      </w:tr>
    </w:tbl>
    <w:p>
      <w:r>
        <w:rPr>
          <w:rFonts w:ascii="仿宋" w:hAnsi="仿宋" w:eastAsia="仿宋"/>
          <w:color w:val="555555"/>
          <w:sz w:val="21"/>
        </w:rPr>
        <w:t>说明：民法典 167 条实际规范的是"代理违法责任"，与卡片所引分期付款内容毫无关系；卡片混淆了旧《合同法》第 167 条与《民法典》第 167 条，属典型的**旧法条号直接套用新法编号**。</w:t>
      </w:r>
    </w:p>
    <w:p>
      <w:r>
        <w:rPr>
          <w:rFonts w:ascii="仿宋" w:hAnsi="仿宋" w:eastAsia="仿宋"/>
          <w:sz w:val="24"/>
        </w:rPr>
        <w:t>---</w:t>
      </w:r>
    </w:p>
    <w:p>
      <w:r>
        <w:rPr>
          <w:rFonts w:ascii="宋体" w:hAnsi="宋体" w:eastAsia="宋体"/>
          <w:b/>
          <w:sz w:val="28"/>
        </w:rPr>
        <w:t>三、法条内容一致性</w:t>
      </w:r>
    </w:p>
    <w:p>
      <w:r>
        <w:rPr>
          <w:rFonts w:ascii="宋体" w:hAnsi="宋体" w:eastAsia="宋体"/>
          <w:b/>
          <w:sz w:val="24"/>
        </w:rPr>
        <w:t>3.1 同条异文（同一法条在库内被引用成不同内容，共 9 组）</w:t>
      </w:r>
    </w:p>
    <w:p>
      <w:r>
        <w:rPr>
          <w:rFonts w:ascii="仿宋" w:hAnsi="仿宋" w:eastAsia="仿宋"/>
          <w:sz w:val="24"/>
        </w:rPr>
        <w:t>经逐变体反向核验，其中 **6 处为真实错配**：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所挂条号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卡片内容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实际应归属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涉及卡片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民诉法 71 条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未经当事人质证的证据，不得作为认定案件事实的根据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**民事诉讼法司法解释第 103 条**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R-LN-015（法院依职权调查证据亦须质证）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民诉法 211 条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第三人撤销之诉"足以推翻原裁判认定"的证明标准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非 211 条（再审事由）内容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R-PR-054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民法典 634 条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不按时足额履行时承担保证责任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**民法典 686／687 条**（保证）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R-SH-036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民法典 660 条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捐赠财产须按约定用途使用、不得单方变更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**民法典 661 条**（附义务赠与）；660 条为公益赠与交付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R-CF-095、D阶段回源报告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民法典 686 条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最高债权额＋债权确定期间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**民法典 690 条**（最高额保证）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保证协议-范本与审查要点、R-HT-012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民法典 686 条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债务人不能履行时才承担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**民法典 687 条**（一般保证）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律师办理保证担保业务操作指引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民法典 1218 条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伪造、篡改或者销毁病历资料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**民法典 1222 条**（推定医疗机构过错）</w:t>
            </w:r>
          </w:p>
        </w:tc>
        <w:tc>
          <w:tcPr>
            <w:tcW w:type="dxa" w:w="2160"/>
          </w:tcPr>
          <w:p>
            <w:r/>
            <w:r>
              <w:rPr>
                <w:rFonts w:ascii="仿宋" w:hAnsi="仿宋" w:eastAsia="仿宋"/>
                <w:sz w:val="21"/>
              </w:rPr>
              <w:t>曹君丁晟诉湖南省人民医院案卡</w:t>
            </w:r>
          </w:p>
        </w:tc>
      </w:tr>
    </w:tbl>
    <w:p>
      <w:r>
        <w:rPr>
          <w:rFonts w:ascii="仿宋" w:hAnsi="仿宋" w:eastAsia="仿宋"/>
          <w:color w:val="555555"/>
          <w:sz w:val="21"/>
        </w:rPr>
        <w:t>**重点提示**：《民法典》第 686 条（保证方式：约定不明按一般保证）在库内被当作"保证"议题的万能条号滥用，最高额保证（690 条）、一般保证先诉抗辩权（687 条）的内容均被挂在其下，属**系统性误用**，建议全库排查。</w:t>
      </w:r>
    </w:p>
    <w:p>
      <w:r>
        <w:rPr>
          <w:rFonts w:ascii="宋体" w:hAnsi="宋体" w:eastAsia="宋体"/>
          <w:b/>
          <w:sz w:val="24"/>
        </w:rPr>
        <w:t>3.2 待人工复核（50 处）</w:t>
      </w:r>
    </w:p>
    <w:p>
      <w:r>
        <w:rPr>
          <w:rFonts w:ascii="仿宋" w:hAnsi="仿宋" w:eastAsia="仿宋"/>
          <w:sz w:val="24"/>
        </w:rPr>
        <w:t>相似度低于阈值、无法自动定性的条目，多数为卡片中的**分析要点**（如"过错程度＋原因力大小"）被识别为逐字引文所致，非真实冲突。建议后续按业务域分批处理。</w:t>
      </w:r>
    </w:p>
    <w:p>
      <w:r>
        <w:rPr>
          <w:rFonts w:ascii="仿宋" w:hAnsi="仿宋" w:eastAsia="仿宋"/>
          <w:sz w:val="24"/>
        </w:rPr>
        <w:t>---</w:t>
      </w:r>
    </w:p>
    <w:p>
      <w:r>
        <w:rPr>
          <w:rFonts w:ascii="宋体" w:hAnsi="宋体" w:eastAsia="宋体"/>
          <w:b/>
          <w:sz w:val="28"/>
        </w:rPr>
        <w:t>四、法理逻辑一致性</w:t>
      </w:r>
    </w:p>
    <w:p>
      <w:r>
        <w:rPr>
          <w:rFonts w:ascii="宋体" w:hAnsi="宋体" w:eastAsia="宋体"/>
          <w:b/>
          <w:sz w:val="24"/>
        </w:rPr>
        <w:t>4.1 结论：未检出确证的逻辑矛盾</w:t>
      </w:r>
    </w:p>
    <w:p>
      <w:r>
        <w:rPr>
          <w:rFonts w:ascii="仿宋" w:hAnsi="仿宋" w:eastAsia="仿宋"/>
          <w:sz w:val="24"/>
        </w:rPr>
        <w:t>对 06-沉淀/裁判规则库、02-提炼/经验卡片、02-提炼/律师实务指引 共 489 张卡片做（法条＋概念）聚类与同议题相反结论检测，产出 24 对候选，经逐对核查**均不构成逻辑冲突**，原因有三类：</w:t>
      </w:r>
    </w:p>
    <w:p>
      <w:r>
        <w:rPr>
          <w:rFonts w:ascii="仿宋" w:hAnsi="仿宋" w:eastAsia="仿宋"/>
          <w:sz w:val="24"/>
        </w:rPr>
        <w:t>1. **审判要件卡的结构化字段**：该类卡片天然含 `support:`（支持条件）与 `reject:`（驳回条件）双字段，系"分情形裁判"，正反并存属正常设计；</w:t>
      </w:r>
    </w:p>
    <w:p>
      <w:r>
        <w:rPr>
          <w:rFonts w:ascii="仿宋" w:hAnsi="仿宋" w:eastAsia="仿宋"/>
          <w:sz w:val="24"/>
        </w:rPr>
        <w:t>2. **不同审查阶段**：如"管辖审查"与"四要件审查"各自表述支持／驳回条件，针对的是不同审查环节；</w:t>
      </w:r>
    </w:p>
    <w:p>
      <w:r>
        <w:rPr>
          <w:rFonts w:ascii="仿宋" w:hAnsi="仿宋" w:eastAsia="仿宋"/>
          <w:sz w:val="24"/>
        </w:rPr>
        <w:t>3. **红蓝双方视角**：如《律师办理保证担保业务操作指引》与《律师办理债权人接受担保业务操作指引》分处保证人／债权人立场，结论取向相反属业务设计。</w:t>
      </w:r>
    </w:p>
    <w:p>
      <w:r>
        <w:rPr>
          <w:rFonts w:ascii="宋体" w:hAnsi="宋体" w:eastAsia="宋体"/>
          <w:b/>
          <w:sz w:val="24"/>
        </w:rPr>
        <w:t>4.2 重点核实案例（已排除）</w:t>
      </w:r>
    </w:p>
    <w:p>
      <w:r>
        <w:rPr>
          <w:rFonts w:ascii="仿宋" w:hAnsi="仿宋" w:eastAsia="仿宋"/>
          <w:sz w:val="24"/>
        </w:rPr>
        <w:t>R-SH-002 与 R-SH-027 同挂《民法典》第 634 条，初检显示结论取向相反。经查：R-SH-002 标题为"有限公司股权分期转让**不适用**买卖分期付款解除权"，与 R-SH-027"不适用合同法 167 条法定解除"结论一致；检测器捕获的相反极性实为卡片引用的 634 条原文（分期付款一般规则），非卡片结论。**不构成冲突**。</w:t>
      </w:r>
    </w:p>
    <w:p>
      <w:r>
        <w:rPr>
          <w:rFonts w:ascii="宋体" w:hAnsi="宋体" w:eastAsia="宋体"/>
          <w:b/>
          <w:sz w:val="24"/>
        </w:rPr>
        <w:t>4.3 附带发现：同规则重复入库</w:t>
      </w:r>
    </w:p>
    <w:p>
      <w:r>
        <w:rPr>
          <w:rFonts w:ascii="仿宋" w:hAnsi="仿宋" w:eastAsia="仿宋"/>
          <w:sz w:val="24"/>
        </w:rPr>
        <w:t>R-SH-002（06-沉淀/裁判规则库/**商事纠纷**/）与 R-SH-027（06-沉淀/裁判规则库/**商事**/）同源指导案例 67 号、结论相同，系目录分裂导致的**重复卡片**。建议合并或建立别名指向，避免检索时出现同源异论的表述差异。</w:t>
      </w:r>
    </w:p>
    <w:p>
      <w:r>
        <w:rPr>
          <w:rFonts w:ascii="仿宋" w:hAnsi="仿宋" w:eastAsia="仿宋"/>
          <w:sz w:val="24"/>
        </w:rPr>
        <w:t>---</w:t>
      </w:r>
    </w:p>
    <w:p>
      <w:r>
        <w:rPr>
          <w:rFonts w:ascii="宋体" w:hAnsi="宋体" w:eastAsia="宋体"/>
          <w:b/>
          <w:sz w:val="28"/>
        </w:rPr>
        <w:t>五、覆盖缺口与改进建议</w:t>
      </w:r>
    </w:p>
    <w:p>
      <w:r>
        <w:rPr>
          <w:rFonts w:ascii="宋体" w:hAnsi="宋体" w:eastAsia="宋体"/>
          <w:b/>
          <w:sz w:val="24"/>
        </w:rPr>
        <w:t>5.1 权威源覆盖缺口</w:t>
      </w:r>
    </w:p>
    <w:p>
      <w:r>
        <w:rPr>
          <w:rFonts w:ascii="仿宋" w:hAnsi="仿宋" w:eastAsia="仿宋"/>
          <w:sz w:val="24"/>
        </w:rPr>
        <w:t>未覆盖法的引用达 **1,560 处**（占总量 45%），无法自动校验条号与内容。按引用量排序，建议优先补建以下权威索引：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法律／法规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引用量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慈善法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254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劳动合同法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177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公司法司法解释（三）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137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基金会管理条例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136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工伤保险条例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79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医疗纠纷预防和处理条例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77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道路交通安全法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著作权法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58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消费者权益保护法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医师法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51</w:t>
            </w:r>
          </w:p>
        </w:tc>
      </w:tr>
    </w:tbl>
    <w:p>
      <w:r>
        <w:rPr>
          <w:rFonts w:ascii="宋体" w:hAnsi="宋体" w:eastAsia="宋体"/>
          <w:b/>
          <w:sz w:val="24"/>
        </w:rPr>
        <w:t>5.2 处置建议（按优先级）</w:t>
      </w:r>
    </w:p>
    <w:p>
      <w:r>
        <w:rPr>
          <w:rFonts w:ascii="仿宋" w:hAnsi="仿宋" w:eastAsia="仿宋"/>
          <w:sz w:val="24"/>
        </w:rPr>
        <w:t>1. 修正 3 处条号越界（买卖合同司法解释 38 条 ×2、民诉法 332 条）；</w:t>
      </w:r>
    </w:p>
    <w:p>
      <w:r>
        <w:rPr>
          <w:rFonts w:ascii="仿宋" w:hAnsi="仿宋" w:eastAsia="仿宋"/>
          <w:sz w:val="24"/>
        </w:rPr>
        <w:t>2. 修正 9 处版本位移条号（民诉法 63→66、76→79、200→211×3；民法典 167→634、123→329；刑诉法 185→190），并**全文回溯重校该法全部引用**，防止只改局部造成版本混用。</w:t>
      </w:r>
    </w:p>
    <w:p>
      <w:r>
        <w:rPr>
          <w:rFonts w:ascii="仿宋" w:hAnsi="仿宋" w:eastAsia="仿宋"/>
          <w:sz w:val="24"/>
        </w:rPr>
        <w:t>**P1（本周处理）**</w:t>
      </w:r>
    </w:p>
    <w:p>
      <w:r>
        <w:rPr>
          <w:rFonts w:ascii="仿宋" w:hAnsi="仿宋" w:eastAsia="仿宋"/>
          <w:sz w:val="24"/>
        </w:rPr>
        <w:t>3\. 修正 6 处同条异文错配（民诉法 71、211；民法典 634、660、686、1218）；</w:t>
      </w:r>
    </w:p>
    <w:p>
      <w:r>
        <w:rPr>
          <w:rFonts w:ascii="仿宋" w:hAnsi="仿宋" w:eastAsia="仿宋"/>
          <w:sz w:val="24"/>
        </w:rPr>
        <w:t>4\. 全库排查《民法典》第 686 条的系统性误用，按 686／687／690 条重新归位。</w:t>
      </w:r>
    </w:p>
    <w:p>
      <w:r>
        <w:rPr>
          <w:rFonts w:ascii="仿宋" w:hAnsi="仿宋" w:eastAsia="仿宋"/>
          <w:sz w:val="24"/>
        </w:rPr>
        <w:t>**P2（规划处理）**</w:t>
      </w:r>
    </w:p>
    <w:p>
      <w:r>
        <w:rPr>
          <w:rFonts w:ascii="仿宋" w:hAnsi="仿宋" w:eastAsia="仿宋"/>
          <w:sz w:val="24"/>
        </w:rPr>
        <w:t>5\. 补建慈善法、劳动合同法等高引用量法律的本地权威索引，将自动校验覆盖率从 55% 提升至 90% 以上；</w:t>
      </w:r>
    </w:p>
    <w:p>
      <w:r>
        <w:rPr>
          <w:rFonts w:ascii="仿宋" w:hAnsi="仿宋" w:eastAsia="仿宋"/>
          <w:sz w:val="24"/>
        </w:rPr>
        <w:t>6\. 合并 R-SH-002／R-SH-027 等重复卡片，消除"商事／商事纠纷"目录分裂；</w:t>
      </w:r>
    </w:p>
    <w:p>
      <w:r>
        <w:rPr>
          <w:rFonts w:ascii="仿宋" w:hAnsi="仿宋" w:eastAsia="仿宋"/>
          <w:sz w:val="24"/>
        </w:rPr>
        <w:t>7\. 将本次审计脚本纳入定期巡检（建议月度），使新入库卡片在沉淀前即通过法条校验。</w:t>
      </w:r>
    </w:p>
    <w:p>
      <w:r>
        <w:rPr>
          <w:rFonts w:ascii="仿宋" w:hAnsi="仿宋" w:eastAsia="仿宋"/>
          <w:sz w:val="24"/>
        </w:rPr>
        <w:t>---</w:t>
      </w:r>
    </w:p>
    <w:p>
      <w:r>
        <w:rPr>
          <w:rFonts w:ascii="宋体" w:hAnsi="宋体" w:eastAsia="宋体"/>
          <w:b/>
          <w:sz w:val="28"/>
        </w:rPr>
        <w:t>六、审计工具与产物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`/tmp/lawkb_audit/scan_citations.py`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全量法条引用抽取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`/tmp/lawkb_audit/analyze_conflicts.py`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A／B／C 三类冲突检测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`/tmp/lawkb_audit/verify_and_suggest.py`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反向定位核验并给出正确条号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`/tmp/lawkb_audit/detect_logic_conflicts.py`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法理逻辑冲突粗筛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`/tmp/lawkb_audit/detect_opposite_same_issue.py`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同议题相反结论精筛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`/tmp/lawkb_audit/verified_findings.json`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A／B／C 核验明细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`/tmp/lawkb_audit/logic_conflicts.json`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法理逻辑候选明细</w:t>
            </w:r>
          </w:p>
        </w:tc>
      </w:tr>
    </w:tbl>
    <w:p>
      <w:r>
        <w:rPr>
          <w:rFonts w:ascii="仿宋" w:hAnsi="仿宋" w:eastAsia="仿宋"/>
          <w:color w:val="555555"/>
          <w:sz w:val="21"/>
        </w:rPr>
        <w:t>建议将上述脚本固化至 `知识飞轮系统/03-连接/scripts/` 长期使用，并接入每月巡检。</w:t>
      </w:r>
    </w:p>
    <w:p>
      <w:r>
        <w:rPr>
          <w:rFonts w:ascii="仿宋" w:hAnsi="仿宋" w:eastAsia="仿宋"/>
          <w:sz w:val="24"/>
        </w:rPr>
        <w:t>---</w:t>
      </w:r>
    </w:p>
    <w:p>
      <w:r>
        <w:rPr>
          <w:rFonts w:ascii="宋体" w:hAnsi="宋体" w:eastAsia="宋体"/>
          <w:b/>
          <w:sz w:val="28"/>
        </w:rPr>
        <w:t>七、处置执行与误报纠正（2026-09-04 16:00–16:45 续）</w:t>
      </w:r>
    </w:p>
    <w:p>
      <w:r>
        <w:rPr>
          <w:rFonts w:ascii="仿宋" w:hAnsi="仿宋" w:eastAsia="仿宋"/>
          <w:color w:val="555555"/>
          <w:sz w:val="21"/>
        </w:rPr>
        <w:t>⚠️ **诚实声明（重要）**：首轮报告报出 12 项 P0 级错误，经"先查权威源再改"逐条核验后，</w:t>
      </w:r>
    </w:p>
    <w:p>
      <w:r>
        <w:rPr>
          <w:rFonts w:ascii="仿宋" w:hAnsi="仿宋" w:eastAsia="仿宋"/>
          <w:color w:val="555555"/>
          <w:sz w:val="21"/>
        </w:rPr>
        <w:t>**7 项为审计自身误报**（误报率约 58%）。以下纠正必须并入报告正文，以免误导后续处置。</w:t>
      </w:r>
    </w:p>
    <w:p>
      <w:r>
        <w:rPr>
          <w:rFonts w:ascii="宋体" w:hAnsi="宋体" w:eastAsia="宋体"/>
          <w:b/>
          <w:sz w:val="24"/>
        </w:rPr>
        <w:t>7.1 审计误报清单（首轮报告应撤销 / 修正的项）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首轮报告原判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权威源核验结论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性质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P0-1 民诉法 63条第1/2款 → 66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66 条正确（证据种类），应改为 66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✅ 真错误（已修）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P0 合同法167条 → 民法典634条（汤长龙案卡）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2015 年指导案例67号，引《合同法》167条是**历史法条正确引用**，对应民法典634条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❌ **误报**，原样保留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P0 郭某公报案"原《物权法》123条"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卡片**明写**"原《物权法》"，属显式旧法引用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❌ **误报**，原样保留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P1 民法典686条"系统性误用"→按686/687/690归位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全库 15+ 处引用**全部**是"约定不明→推定一般保证"，686条=保证方式推定，引用**全部正确**；690条（最高额保证）在库内压根未挂在686下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❌ **误报**，无需改动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P1 民法典634条（R-SH-036）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634条=分期付款买卖，引用正确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❌ **误报**，原样保留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P1 民法典1218/1222（曹君丁晟案）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1222条=推定过错三种情形，对应旧《侵权责任法》58条，引用正确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❌ **误报**，原样保留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P1 民诉法211条（R-PR-054）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系"不能简单对照第211条再审事由"的**反向比对**，非误引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❌ **误报**，原样保留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P1 民法典660条 → 661条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661条=附义务赠与，**与撤销无关**；真正规定公益赠与不得任意撤销的是**658条第2款**</w:t>
            </w:r>
          </w:p>
        </w:tc>
        <w:tc>
          <w:tcPr>
            <w:tcW w:type="dxa" w:w="2880"/>
          </w:tcPr>
          <w:p>
            <w:r/>
            <w:r>
              <w:rPr>
                <w:rFonts w:ascii="仿宋" w:hAnsi="仿宋" w:eastAsia="仿宋"/>
                <w:sz w:val="21"/>
              </w:rPr>
              <w:t>⚠️ **建议本身错误**（非仅误报）</w:t>
            </w:r>
          </w:p>
        </w:tc>
      </w:tr>
    </w:tbl>
    <w:p>
      <w:r>
        <w:rPr>
          <w:rFonts w:ascii="宋体" w:hAnsi="宋体" w:eastAsia="宋体"/>
          <w:b/>
          <w:sz w:val="24"/>
        </w:rPr>
        <w:t>7.2 P0 实际修复（5 处真实错误 + 1 处澄清）</w:t>
      </w:r>
    </w:p>
    <w:p>
      <w:pPr>
        <w:pStyle w:val="ListBullet"/>
      </w:pPr>
      <w:r>
        <w:rPr>
          <w:rFonts w:ascii="仿宋" w:hAnsi="仿宋" w:eastAsia="仿宋"/>
          <w:sz w:val="22"/>
        </w:rPr>
        <w:t>`02-提炼/人伤法/医疗纠纷/医疗损害责任纠纷中从诉讼视角对司法鉴定意见的法律分析.md`：民诉法 63条 → **66条** ✅</w:t>
      </w:r>
    </w:p>
    <w:p>
      <w:pPr>
        <w:pStyle w:val="ListBullet"/>
      </w:pPr>
      <w:r>
        <w:rPr>
          <w:rFonts w:ascii="仿宋" w:hAnsi="仿宋" w:eastAsia="仿宋"/>
          <w:sz w:val="22"/>
        </w:rPr>
        <w:t>`03-连接/元认知职业/青年律师工作手册2026版.md`：第76条 → **79条**；第200条 → **211条** ✅</w:t>
      </w:r>
    </w:p>
    <w:p>
      <w:pPr>
        <w:pStyle w:val="ListBullet"/>
      </w:pPr>
      <w:r>
        <w:rPr>
          <w:rFonts w:ascii="仿宋" w:hAnsi="仿宋" w:eastAsia="仿宋"/>
          <w:sz w:val="22"/>
        </w:rPr>
        <w:t>`02-提炼/案件管理通用方法论/通用程序知识/申请检察监督流程及法律依据.md`：第200条第1项 → **211条第1项** ✅</w:t>
      </w:r>
    </w:p>
    <w:p>
      <w:pPr>
        <w:pStyle w:val="ListBullet"/>
      </w:pPr>
      <w:r>
        <w:rPr>
          <w:rFonts w:ascii="仿宋" w:hAnsi="仿宋" w:eastAsia="仿宋"/>
          <w:sz w:val="22"/>
        </w:rPr>
        <w:t>`05-调用/知识推送日志-2026-08.md`：《民事诉讼法》及司法解释第332条 → **《民事诉讼法司法解释》第332条** ✅</w:t>
      </w:r>
    </w:p>
    <w:p>
      <w:pPr>
        <w:pStyle w:val="ListBullet"/>
      </w:pPr>
      <w:r>
        <w:rPr>
          <w:rFonts w:ascii="仿宋" w:hAnsi="仿宋" w:eastAsia="仿宋"/>
          <w:sz w:val="22"/>
        </w:rPr>
        <w:t>`06-沉淀/裁判规则库/商事纠纷/R-SH-027.md`：增补"2012版买卖合同解释第38条已删除，现由民法典634条规范"说明 ✅</w:t>
      </w:r>
    </w:p>
    <w:p>
      <w:pPr>
        <w:pStyle w:val="ListBullet"/>
      </w:pPr>
      <w:r>
        <w:rPr>
          <w:rFonts w:ascii="仿宋" w:hAnsi="仿宋" w:eastAsia="仿宋"/>
          <w:sz w:val="22"/>
        </w:rPr>
        <w:t>备份：`/tmp/lawkb_fix_20260904-163056/`</w:t>
      </w:r>
    </w:p>
    <w:p>
      <w:r>
        <w:rPr>
          <w:rFonts w:ascii="宋体" w:hAnsi="宋体" w:eastAsia="宋体"/>
          <w:b/>
          <w:sz w:val="24"/>
        </w:rPr>
        <w:t>7.3 P1 重新定位后的真实硬伤（新发现）</w:t>
      </w:r>
    </w:p>
    <w:p>
      <w:pPr>
        <w:pStyle w:val="ListBullet"/>
      </w:pPr>
      <w:r>
        <w:rPr>
          <w:rFonts w:ascii="仿宋" w:hAnsi="仿宋" w:eastAsia="仿宋"/>
          <w:sz w:val="22"/>
        </w:rPr>
        <w:t>**民法典660条系统性误用 → 658条第2款**：全库 6 文件约 10 处将 660条（"不交付→可请求交付"）当作"公益赠与不得任意撤销"依据，正确条号是 **658条第2款**。已修复 10 处（保留 1 处 R-CS-005 类"不交付→可请求交付"的正确用法）。</w:t>
      </w:r>
    </w:p>
    <w:p>
      <w:pPr>
        <w:pStyle w:val="ListBullet"/>
      </w:pPr>
      <w:r>
        <w:rPr>
          <w:rFonts w:ascii="仿宋" w:hAnsi="仿宋" w:eastAsia="仿宋"/>
          <w:sz w:val="22"/>
        </w:rPr>
        <w:t>**R-LN-015 引文归属澄清**（非纠错）：原写法把"未经质证不得作为定案根据"括号引文并列挂在71条与民诉法解释103条后，易误读为71条含此语；已按条文各自分挂（71条逐字正确）。</w:t>
      </w:r>
    </w:p>
    <w:p>
      <w:r>
        <w:rPr>
          <w:rFonts w:ascii="宋体" w:hAnsi="宋体" w:eastAsia="宋体"/>
          <w:b/>
          <w:sz w:val="24"/>
        </w:rPr>
        <w:t>7.4 P2 执行结果</w:t>
      </w:r>
    </w:p>
    <w:p>
      <w:pPr>
        <w:pStyle w:val="ListBullet"/>
      </w:pPr>
      <w:r>
        <w:rPr>
          <w:rFonts w:ascii="仿宋" w:hAnsi="仿宋" w:eastAsia="仿宋"/>
          <w:sz w:val="22"/>
        </w:rPr>
        <w:t>✅ **补建本地权威索引 4 部**（零成本、实证条数）：慈善法（125条/2023修正）、工伤保险条例（67条/2010修订）、医疗纠纷预防和处理条例（56条/国务院令701号）、基金会管理条例（48条/国务院令400号）。manifest 10→14 部，既有法则零丢失。</w:t>
      </w:r>
    </w:p>
    <w:p>
      <w:pPr>
        <w:pStyle w:val="ListBullet"/>
      </w:pPr>
      <w:r>
        <w:rPr>
          <w:rFonts w:ascii="仿宋" w:hAnsi="仿宋" w:eastAsia="仿宋"/>
          <w:sz w:val="22"/>
        </w:rPr>
        <w:t>✅ **R-SH-002/R-SH-027 重复卡合并**：同一案例（指导案例67号·汤长龙案，同一 yuandian_case_id），R-SH-027 定 canonical 主卡，R-SH-002 转指针卡（文件名与 30 处既有链接不动）。</w:t>
      </w:r>
    </w:p>
    <w:p>
      <w:pPr>
        <w:pStyle w:val="ListBullet"/>
      </w:pPr>
      <w:r>
        <w:rPr>
          <w:rFonts w:ascii="仿宋" w:hAnsi="仿宋" w:eastAsia="仿宋"/>
          <w:sz w:val="22"/>
        </w:rPr>
        <w:t>✅ **商事/商事纠纷 目录分裂**：建 `_README-商事域目录分裂说明.md`，记录现状与"暂不物理合并、下轮编号治理统一处理"的处置结论；新增 R-SH 卡落盘约定。</w:t>
      </w:r>
    </w:p>
    <w:p>
      <w:pPr>
        <w:pStyle w:val="ListBullet"/>
      </w:pPr>
      <w:r>
        <w:rPr>
          <w:rFonts w:ascii="仿宋" w:hAnsi="仿宋" w:eastAsia="仿宋"/>
          <w:sz w:val="22"/>
        </w:rPr>
        <w:t>⏸ **劳动合同法、公司法解释三**：本地无全文权威源（仅单条卡片），按"永不凭记忆灌条文"铁律**本轮未补建**，待 IMA 摄入全文或元典逐条回源后复用 `add_law_index.py` 补入。</w:t>
      </w:r>
    </w:p>
    <w:p>
      <w:pPr>
        <w:pStyle w:val="ListBullet"/>
      </w:pPr>
      <w:r>
        <w:rPr>
          <w:rFonts w:ascii="仿宋" w:hAnsi="仿宋" w:eastAsia="仿宋"/>
          <w:sz w:val="22"/>
        </w:rPr>
        <w:t>✅ **月度巡检自动化**：已创建 `automation-716ced2f-8973-4a78-9716-7ec173d912cb`，每月 28 日 09:00 运行 `audit_consistency.py` 并归档。</w:t>
      </w:r>
    </w:p>
    <w:p>
      <w:r>
        <w:rPr>
          <w:rFonts w:ascii="宋体" w:hAnsi="宋体" w:eastAsia="宋体"/>
          <w:b/>
          <w:sz w:val="24"/>
        </w:rPr>
        <w:t>7.5 LTI 回归测试（13/13 通过）</w:t>
      </w:r>
    </w:p>
    <w:p>
      <w:r>
        <w:rPr>
          <w:rFonts w:ascii="仿宋" w:hAnsi="仿宋" w:eastAsia="仿宋"/>
          <w:sz w:val="24"/>
        </w:rPr>
        <w:t>新索引接入后，对正确引用保持**零误报**（慈善法41/61、工伤14/33、医疗纠纷15、基金会29 均静默）；新法越界正确 **BLOCK**（慈善法999/工伤200/基金会100）；既有法能力不受影响（民诉法500仍 BLOCK、民法典634/999 静默）。</w:t>
      </w:r>
    </w:p>
    <w:p>
      <w:r>
        <w:rPr>
          <w:rFonts w:ascii="宋体" w:hAnsi="宋体" w:eastAsia="宋体"/>
          <w:b/>
          <w:sz w:val="24"/>
        </w:rPr>
        <w:t>7.6 审计工具固化</w:t>
      </w:r>
    </w:p>
    <w:p>
      <w:r>
        <w:rPr>
          <w:rFonts w:ascii="仿宋" w:hAnsi="仿宋" w:eastAsia="仿宋"/>
          <w:sz w:val="24"/>
        </w:rPr>
        <w:t>四脚本已固化至 `03-连接/scripts/`；新增一键入口 `audit_consistency.py`（串四步 + 月度归档）；当月产物见 `运维/一致性巡检归档/2026-09/`。</w:t>
      </w:r>
    </w:p>
    <w:p>
      <w:r>
        <w:rPr>
          <w:rFonts w:ascii="仿宋" w:hAnsi="仿宋" w:eastAsia="仿宋"/>
          <w:sz w:val="24"/>
        </w:rPr>
        <w:t>---</w:t>
      </w:r>
    </w:p>
    <w:p>
      <w:r>
        <w:rPr>
          <w:rFonts w:ascii="仿宋" w:hAnsi="仿宋" w:eastAsia="仿宋"/>
          <w:sz w:val="24"/>
        </w:rPr>
        <w:t>*本报告所引法条正文均取自本地权威索引（provision_index），未凭记忆填写。*</w:t>
      </w:r>
    </w:p>
    <w:p>
      <w:r>
        <w:rPr>
          <w:rFonts w:ascii="仿宋" w:hAnsi="仿宋" w:eastAsia="仿宋"/>
          <w:sz w:val="24"/>
        </w:rPr>
        <w:t>*2026-09-04 续：报告首轮 12 项 P0 经核验 7 项为误报，已如实更正；所有写入库文件的条号修改均先查权威源再执行。*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