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法律意见书</w:t>
      </w:r>
    </w:p>
    <w:p>
      <w:pPr>
        <w:jc w:val="center"/>
      </w:pPr>
      <w:r>
        <w:rPr>
          <w:sz w:val="32"/>
        </w:rPr>
        <w:t>助力成长暖心包公益项目合作协议审查意见</w:t>
      </w:r>
    </w:p>
    <w:p/>
    <w:p>
      <w:r>
        <w:rPr>
          <w:b/>
        </w:rPr>
        <w:t>文件编号：</w:t>
      </w:r>
      <w:r>
        <w:t>LO-2026-0520-001</w:t>
      </w:r>
    </w:p>
    <w:p>
      <w:r>
        <w:rPr>
          <w:b/>
        </w:rPr>
        <w:t>审查日期：</w:t>
      </w:r>
      <w:r>
        <w:t>2026年5月20日</w:t>
      </w:r>
    </w:p>
    <w:p>
      <w:r>
        <w:rPr>
          <w:b/>
        </w:rPr>
        <w:t>委托方：</w:t>
      </w:r>
      <w:r>
        <w:t>甲方（贵州省厚德公益基金会）</w:t>
      </w:r>
    </w:p>
    <w:p>
      <w:r>
        <w:rPr>
          <w:b/>
        </w:rPr>
        <w:t>谈判地位：</w:t>
      </w:r>
      <w:r>
        <w:t>平等方（对等协商）</w:t>
      </w:r>
    </w:p>
    <w:p>
      <w:r>
        <w:rPr>
          <w:b/>
        </w:rPr>
        <w:t>审查目的：</w:t>
      </w:r>
      <w:r>
        <w:t>识别风险条款，提出修改建议</w:t>
      </w:r>
    </w:p>
    <w:p>
      <w:r>
        <w:rPr>
          <w:b/>
        </w:rPr>
        <w:t>审查律师：</w:t>
      </w:r>
      <w:r>
        <w:t>🔵 蓝队合同审查律师（AI辅助，供执业律师复核）</w:t>
      </w:r>
    </w:p>
    <w:p/>
    <w:p>
      <w:r>
        <w:rPr>
          <w:i/>
          <w:color w:val="808080"/>
        </w:rPr>
        <w:t>⚠️ 免责声明：本法律意见书由AI辅助生成，仅供内部参考，不构成正式法律意见。法律依据以现行有效版本为准，最终决策由执业律师作出。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09A"/>
        </w:rPr>
        <w:t>第一部分：合同基本情况</w:t>
      </w:r>
    </w:p>
    <w:p>
      <w:pPr>
        <w:pStyle w:val="Heading2"/>
      </w:pPr>
      <w:r>
        <w:rPr>
          <w:color w:val="00356B"/>
        </w:rPr>
        <w:t>1.1 合同性质与类型</w:t>
      </w:r>
    </w:p>
    <w:p>
      <w:r>
        <w:t>本协议为三方公益项目合作协议（公益/慈善类），涉及慈善法律关系。适用：《慈善法》《基金会管理条例》《慈善组织公开募捐管理办法》。</w:t>
      </w:r>
    </w:p>
    <w:p>
      <w:pPr>
        <w:pStyle w:val="Heading2"/>
      </w:pPr>
      <w:r>
        <w:rPr>
          <w:color w:val="00356B"/>
        </w:rPr>
        <w:t>1.2 合同当事方基本信息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组织机构代码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住所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法定代表人</w:t>
            </w:r>
          </w:p>
        </w:tc>
      </w:tr>
      <w:tr>
        <w:tc>
          <w:tcPr>
            <w:tcW w:type="dxa" w:w="1728"/>
          </w:tcPr>
          <w:p>
            <w:r>
              <w:t>甲方（项目管理方）</w:t>
            </w:r>
          </w:p>
        </w:tc>
        <w:tc>
          <w:tcPr>
            <w:tcW w:type="dxa" w:w="1728"/>
          </w:tcPr>
          <w:p>
            <w:r>
              <w:t>贵州省厚德公益基金会</w:t>
            </w:r>
          </w:p>
        </w:tc>
        <w:tc>
          <w:tcPr>
            <w:tcW w:type="dxa" w:w="1728"/>
          </w:tcPr>
          <w:p>
            <w:r>
              <w:t>535200003373343804</w:t>
            </w:r>
          </w:p>
        </w:tc>
        <w:tc>
          <w:tcPr>
            <w:tcW w:type="dxa" w:w="1728"/>
          </w:tcPr>
          <w:p>
            <w:r>
              <w:t>贵州省贵阳市观山湖区北大资源梦想城9-A01栋37层</w:t>
            </w:r>
          </w:p>
        </w:tc>
        <w:tc>
          <w:tcPr>
            <w:tcW w:type="dxa" w:w="1728"/>
          </w:tcPr>
          <w:p>
            <w:r>
              <w:t>刘桂湘</w:t>
            </w:r>
          </w:p>
        </w:tc>
      </w:tr>
      <w:tr>
        <w:tc>
          <w:tcPr>
            <w:tcW w:type="dxa" w:w="1728"/>
          </w:tcPr>
          <w:p>
            <w:r>
              <w:t>乙方（项目执行方）</w:t>
            </w:r>
          </w:p>
        </w:tc>
        <w:tc>
          <w:tcPr>
            <w:tcW w:type="dxa" w:w="1728"/>
          </w:tcPr>
          <w:p>
            <w:r>
              <w:t>习水县苍灵社会工作服务中心</w:t>
            </w:r>
          </w:p>
        </w:tc>
        <w:tc>
          <w:tcPr>
            <w:tcW w:type="dxa" w:w="1728"/>
          </w:tcPr>
          <w:p>
            <w:r>
              <w:t>52520330MJR935605Y</w:t>
            </w:r>
          </w:p>
        </w:tc>
        <w:tc>
          <w:tcPr>
            <w:tcW w:type="dxa" w:w="1728"/>
          </w:tcPr>
          <w:p>
            <w:r>
              <w:t>贵州省遵义市习水县东皇街道金龙社区1栋2单元1楼</w:t>
            </w:r>
          </w:p>
        </w:tc>
        <w:tc>
          <w:tcPr>
            <w:tcW w:type="dxa" w:w="1728"/>
          </w:tcPr>
          <w:p>
            <w:r>
              <w:t>冉旭林</w:t>
            </w:r>
          </w:p>
        </w:tc>
      </w:tr>
      <w:tr>
        <w:tc>
          <w:tcPr>
            <w:tcW w:type="dxa" w:w="1728"/>
          </w:tcPr>
          <w:p>
            <w:r>
              <w:t>丙方（项目筹资方）</w:t>
            </w:r>
          </w:p>
        </w:tc>
        <w:tc>
          <w:tcPr>
            <w:tcW w:type="dxa" w:w="1728"/>
          </w:tcPr>
          <w:p>
            <w:r>
              <w:t>广州市番禺区明月关助服务中心（待核实）</w:t>
            </w:r>
          </w:p>
        </w:tc>
        <w:tc>
          <w:tcPr>
            <w:tcW w:type="dxa" w:w="1728"/>
          </w:tcPr>
          <w:p>
            <w:r>
              <w:t>52440113698693514W</w:t>
            </w:r>
          </w:p>
        </w:tc>
        <w:tc>
          <w:tcPr>
            <w:tcW w:type="dxa" w:w="1728"/>
          </w:tcPr>
          <w:p>
            <w:r>
              <w:t>广东省广州市番禺区桥南街南郊路63号204</w:t>
            </w:r>
          </w:p>
        </w:tc>
        <w:tc>
          <w:tcPr>
            <w:tcW w:type="dxa" w:w="1728"/>
          </w:tcPr>
          <w:p>
            <w:r>
              <w:t>冯健祥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09A"/>
        </w:rPr>
        <w:t>第二部分：10维度精细审查概要</w:t>
      </w:r>
    </w:p>
    <w:p>
      <w:pPr>
        <w:pStyle w:val="Heading2"/>
      </w:pPr>
      <w:r>
        <w:rPr>
          <w:color w:val="00356B"/>
        </w:rPr>
        <w:t>维度一：主体信息审查</w:t>
      </w:r>
    </w:p>
    <w:p>
      <w:r>
        <w:rPr>
          <w:b/>
        </w:rPr>
        <w:t>审查结论：</w:t>
      </w:r>
      <w:r>
        <w:rPr>
          <w:b/>
          <w:color w:val="FF6600"/>
        </w:rPr>
        <w:t>中高风险</w:t>
      </w:r>
    </w:p>
    <w:p>
      <w:r>
        <w:rPr>
          <w:b/>
        </w:rPr>
        <w:t>主要问题：</w:t>
      </w:r>
      <w:r>
        <w:t>丙方名称疑似缺字；甲方邮箱格式错误（缺@符号）；丙方邮箱空白</w:t>
      </w:r>
    </w:p>
    <w:p>
      <w:r>
        <w:rPr>
          <w:b/>
        </w:rPr>
        <w:t>修改建议：</w:t>
      </w:r>
      <w:r>
        <w:t>M02 核实丙方全称；M01 更正甲方邮箱；M03 补充丙方邮箱</w:t>
      </w:r>
    </w:p>
    <w:p>
      <w:pPr>
        <w:pStyle w:val="Heading2"/>
      </w:pPr>
      <w:r>
        <w:rPr>
          <w:color w:val="00356B"/>
        </w:rPr>
        <w:t>维度二：金额数据审查</w:t>
      </w:r>
    </w:p>
    <w:p>
      <w:r>
        <w:rPr>
          <w:b/>
        </w:rPr>
        <w:t>审查结论：</w:t>
      </w:r>
      <w:r>
        <w:rPr>
          <w:b/>
          <w:color w:val="FF0000"/>
        </w:rPr>
        <w:t>高风险</w:t>
      </w:r>
    </w:p>
    <w:p>
      <w:r>
        <w:rPr>
          <w:b/>
        </w:rPr>
        <w:t>主要问题：</w:t>
      </w:r>
      <w:r>
        <w:t>甲方管理费比例（%）空白未填；乙方执行费比例（%）空白未填</w:t>
      </w:r>
    </w:p>
    <w:p>
      <w:r>
        <w:rPr>
          <w:b/>
        </w:rPr>
        <w:t>修改建议：</w:t>
      </w:r>
      <w:r>
        <w:t>M04 填写管理费比例（建议不超过10%）；M05 填写执行费比例</w:t>
      </w:r>
    </w:p>
    <w:p>
      <w:pPr>
        <w:pStyle w:val="Heading2"/>
      </w:pPr>
      <w:r>
        <w:rPr>
          <w:color w:val="00356B"/>
        </w:rPr>
        <w:t>维度三：标点符号审查</w:t>
      </w:r>
    </w:p>
    <w:p>
      <w:r>
        <w:rPr>
          <w:b/>
        </w:rPr>
        <w:t>审查结论：</w:t>
      </w:r>
      <w:r>
        <w:rPr>
          <w:b/>
          <w:color w:val="FFAA00"/>
        </w:rPr>
        <w:t>中风险</w:t>
      </w:r>
    </w:p>
    <w:p>
      <w:r>
        <w:rPr>
          <w:b/>
        </w:rPr>
        <w:t>主要问题：</w:t>
      </w:r>
      <w:r>
        <w:t>第七条末尾重复句号；第九条漏字"以的"应为"以下情形之一的"</w:t>
      </w:r>
    </w:p>
    <w:p>
      <w:r>
        <w:rPr>
          <w:b/>
        </w:rPr>
        <w:t>修改建议：</w:t>
      </w:r>
      <w:r>
        <w:t>M06 删重复句号；M08 更正漏字</w:t>
      </w:r>
    </w:p>
    <w:p>
      <w:pPr>
        <w:pStyle w:val="Heading2"/>
      </w:pPr>
      <w:r>
        <w:rPr>
          <w:color w:val="00356B"/>
        </w:rPr>
        <w:t>维度四：版式排版审查</w:t>
      </w:r>
    </w:p>
    <w:p>
      <w:r>
        <w:rPr>
          <w:b/>
        </w:rPr>
        <w:t>审查结论：</w:t>
      </w:r>
      <w:r>
        <w:rPr>
          <w:b/>
          <w:color w:val="FFAA00"/>
        </w:rPr>
        <w:t>中风险</w:t>
      </w:r>
    </w:p>
    <w:p>
      <w:r>
        <w:rPr>
          <w:b/>
        </w:rPr>
        <w:t>主要问题：</w:t>
      </w:r>
      <w:r>
        <w:t>条款编号体例不统一；商户号扫码捐赠处内容缺失</w:t>
      </w:r>
    </w:p>
    <w:p>
      <w:r>
        <w:rPr>
          <w:b/>
        </w:rPr>
        <w:t>修改建议：</w:t>
      </w:r>
      <w:r>
        <w:t>M15 补充商户号文字说明；统一全文编号体例</w:t>
      </w:r>
    </w:p>
    <w:p>
      <w:pPr>
        <w:pStyle w:val="Heading2"/>
      </w:pPr>
      <w:r>
        <w:rPr>
          <w:color w:val="00356B"/>
        </w:rPr>
        <w:t>维度五：页码标注审查</w:t>
      </w:r>
    </w:p>
    <w:p>
      <w:r>
        <w:rPr>
          <w:b/>
        </w:rPr>
        <w:t>审查结论：</w:t>
      </w:r>
      <w:r>
        <w:rPr>
          <w:b/>
          <w:color w:val="00AA00"/>
        </w:rPr>
        <w:t>低风险</w:t>
      </w:r>
    </w:p>
    <w:p>
      <w:r>
        <w:rPr>
          <w:b/>
        </w:rPr>
        <w:t>主要问题：</w:t>
      </w:r>
      <w:r>
        <w:t>无明显问题</w:t>
      </w:r>
    </w:p>
    <w:p>
      <w:r>
        <w:rPr>
          <w:b/>
        </w:rPr>
        <w:t>修改建议：</w:t>
      </w:r>
      <w:r>
        <w:t>签署前核查印刷版页码连续性</w:t>
      </w:r>
    </w:p>
    <w:p>
      <w:pPr>
        <w:pStyle w:val="Heading2"/>
      </w:pPr>
      <w:r>
        <w:rPr>
          <w:color w:val="00356B"/>
        </w:rPr>
        <w:t>维度六：法律依据审查</w:t>
      </w:r>
    </w:p>
    <w:p>
      <w:r>
        <w:rPr>
          <w:b/>
        </w:rPr>
        <w:t>审查结论：</w:t>
      </w:r>
      <w:r>
        <w:rPr>
          <w:b/>
          <w:color w:val="FF6600"/>
        </w:rPr>
        <w:t>中高风险</w:t>
      </w:r>
    </w:p>
    <w:p>
      <w:r>
        <w:rPr>
          <w:b/>
        </w:rPr>
        <w:t>主要问题：</w:t>
      </w:r>
      <w:r>
        <w:t>违约金计算基数不明；慈善法第五十七条编号需核实（2023年修订）</w:t>
      </w:r>
    </w:p>
    <w:p>
      <w:r>
        <w:rPr>
          <w:b/>
        </w:rPr>
        <w:t>修改建议：</w:t>
      </w:r>
      <w:r>
        <w:t>M07 明确违约金基数；M11 核实法条编号</w:t>
      </w:r>
    </w:p>
    <w:p>
      <w:pPr>
        <w:pStyle w:val="Heading2"/>
      </w:pPr>
      <w:r>
        <w:rPr>
          <w:color w:val="00356B"/>
        </w:rPr>
        <w:t>维度七：行文表述审查</w:t>
      </w:r>
    </w:p>
    <w:p>
      <w:r>
        <w:rPr>
          <w:b/>
        </w:rPr>
        <w:t>审查结论：</w:t>
      </w:r>
      <w:r>
        <w:rPr>
          <w:b/>
          <w:color w:val="FF6600"/>
        </w:rPr>
        <w:t>中高风险</w:t>
      </w:r>
    </w:p>
    <w:p>
      <w:r>
        <w:rPr>
          <w:b/>
        </w:rPr>
        <w:t>主要问题：</w:t>
      </w:r>
      <w:r>
        <w:t>第九条严重违约第4项缺编号；第五条筹资费用逻辑混乱；第二条重复通过</w:t>
      </w:r>
    </w:p>
    <w:p>
      <w:r>
        <w:rPr>
          <w:b/>
        </w:rPr>
        <w:t>修改建议：</w:t>
      </w:r>
      <w:r>
        <w:t>M09 补充编号；M10 理顺费用逻辑；M16 修改重复表述</w:t>
      </w:r>
    </w:p>
    <w:p>
      <w:pPr>
        <w:pStyle w:val="Heading2"/>
      </w:pPr>
      <w:r>
        <w:rPr>
          <w:color w:val="00356B"/>
        </w:rPr>
        <w:t>维度八：管辖法院审查</w:t>
      </w:r>
    </w:p>
    <w:p>
      <w:r>
        <w:rPr>
          <w:b/>
        </w:rPr>
        <w:t>审查结论：</w:t>
      </w:r>
      <w:r>
        <w:rPr>
          <w:b/>
          <w:color w:val="008800"/>
        </w:rPr>
        <w:t>符合规定</w:t>
      </w:r>
    </w:p>
    <w:p>
      <w:r>
        <w:rPr>
          <w:b/>
        </w:rPr>
        <w:t>主要问题：</w:t>
      </w:r>
      <w:r>
        <w:t>选择甲方所在地观山湖区人民法院，合法有效</w:t>
      </w:r>
    </w:p>
    <w:p>
      <w:r>
        <w:rPr>
          <w:b/>
        </w:rPr>
        <w:t>修改建议：</w:t>
      </w:r>
      <w:r>
        <w:t>可考虑增加便民条款，不影响签署</w:t>
      </w:r>
    </w:p>
    <w:p>
      <w:pPr>
        <w:pStyle w:val="Heading2"/>
      </w:pPr>
      <w:r>
        <w:rPr>
          <w:color w:val="00356B"/>
        </w:rPr>
        <w:t>维度九：联系方式审查</w:t>
      </w:r>
    </w:p>
    <w:p>
      <w:r>
        <w:rPr>
          <w:b/>
        </w:rPr>
        <w:t>审查结论：</w:t>
      </w:r>
      <w:r>
        <w:rPr>
          <w:b/>
          <w:color w:val="FF6600"/>
        </w:rPr>
        <w:t>中高风险</w:t>
      </w:r>
    </w:p>
    <w:p>
      <w:r>
        <w:rPr>
          <w:b/>
        </w:rPr>
        <w:t>主要问题：</w:t>
      </w:r>
      <w:r>
        <w:t>甲方邮箱错误；丙方邮箱空白，导致送达条款形同虚设</w:t>
      </w:r>
    </w:p>
    <w:p>
      <w:r>
        <w:rPr>
          <w:b/>
        </w:rPr>
        <w:t>修改建议：</w:t>
      </w:r>
      <w:r>
        <w:t>M01、M03 修正邮箱</w:t>
      </w:r>
    </w:p>
    <w:p>
      <w:pPr>
        <w:pStyle w:val="Heading2"/>
      </w:pPr>
      <w:r>
        <w:rPr>
          <w:color w:val="00356B"/>
        </w:rPr>
        <w:t>维度十：实质内容审查</w:t>
      </w:r>
    </w:p>
    <w:p>
      <w:r>
        <w:rPr>
          <w:b/>
        </w:rPr>
        <w:t>审查结论：</w:t>
      </w:r>
      <w:r>
        <w:rPr>
          <w:b/>
          <w:color w:val="FF0000"/>
        </w:rPr>
        <w:t>高风险</w:t>
      </w:r>
    </w:p>
    <w:p>
      <w:r>
        <w:rPr>
          <w:b/>
        </w:rPr>
        <w:t>主要问题：</w:t>
      </w:r>
      <w:r>
        <w:t>乙方安全责任无上限；三方权利义务失衡；丙方募款无目标约束；提前终止费用分担缺失</w:t>
      </w:r>
    </w:p>
    <w:p>
      <w:r>
        <w:rPr>
          <w:b/>
        </w:rPr>
        <w:t>修改建议：</w:t>
      </w:r>
      <w:r>
        <w:t>M12-M14 补充关键约束条款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09A"/>
        </w:rPr>
        <w:t>第三部分：风险整改优先级路线图</w:t>
      </w:r>
    </w:p>
    <w:p>
      <w:pPr>
        <w:pStyle w:val="Heading2"/>
      </w:pPr>
      <w:r>
        <w:rPr>
          <w:color w:val="00356B"/>
        </w:rPr>
        <w:t>第一优先级（签署前必改）</w:t>
      </w:r>
    </w:p>
    <w:p>
      <w:pPr>
        <w:pStyle w:val="ListBullet"/>
      </w:pPr>
      <w:r>
        <w:t>❌ M04 甲方管理费比例必须填写（高风险）</w:t>
      </w:r>
    </w:p>
    <w:p>
      <w:pPr>
        <w:pStyle w:val="ListBullet"/>
      </w:pPr>
      <w:r>
        <w:t>❌ M05 乙方执行费比例必须填写（高风险）</w:t>
      </w:r>
    </w:p>
    <w:p>
      <w:pPr>
        <w:pStyle w:val="ListBullet"/>
      </w:pPr>
      <w:r>
        <w:t>❌ M02 丙方机构名称核实（中高风险）</w:t>
      </w:r>
    </w:p>
    <w:p>
      <w:pPr>
        <w:pStyle w:val="ListBullet"/>
      </w:pPr>
      <w:r>
        <w:t>❌ M01 甲方电子邮箱更正（中高风险）</w:t>
      </w:r>
    </w:p>
    <w:p>
      <w:pPr>
        <w:pStyle w:val="ListBullet"/>
      </w:pPr>
      <w:r>
        <w:t>❌ M08 第九条漏字更正（高风险）</w:t>
      </w:r>
    </w:p>
    <w:p>
      <w:pPr>
        <w:pStyle w:val="ListBullet"/>
      </w:pPr>
      <w:r>
        <w:t>❌ M13 补充丙方募款目标金额及时间节点（高风险）</w:t>
      </w:r>
    </w:p>
    <w:p>
      <w:pPr>
        <w:pStyle w:val="ListBullet"/>
      </w:pPr>
      <w:r>
        <w:t>❌ M12 乙方安全责任范围及上限条款优化（高风险）</w:t>
      </w:r>
    </w:p>
    <w:p>
      <w:pPr>
        <w:pStyle w:val="Heading2"/>
      </w:pPr>
      <w:r>
        <w:rPr>
          <w:color w:val="00356B"/>
        </w:rPr>
        <w:t>第二优先级（建议修改）</w:t>
      </w:r>
    </w:p>
    <w:p>
      <w:pPr>
        <w:pStyle w:val="ListBullet"/>
      </w:pPr>
      <w:r>
        <w:t>🟠 M07 违约金计算基数明确化</w:t>
      </w:r>
    </w:p>
    <w:p>
      <w:pPr>
        <w:pStyle w:val="ListBullet"/>
      </w:pPr>
      <w:r>
        <w:t>🟠 M09 第九条第4项补充编号</w:t>
      </w:r>
    </w:p>
    <w:p>
      <w:pPr>
        <w:pStyle w:val="ListBullet"/>
      </w:pPr>
      <w:r>
        <w:t>🟠 M10 丙方筹资费用申请与报销程序理顺</w:t>
      </w:r>
    </w:p>
    <w:p>
      <w:pPr>
        <w:pStyle w:val="ListBullet"/>
      </w:pPr>
      <w:r>
        <w:t>🟠 M14 项目提前终止费用分担机制</w:t>
      </w:r>
    </w:p>
    <w:p>
      <w:pPr>
        <w:pStyle w:val="ListBullet"/>
      </w:pPr>
      <w:r>
        <w:t>🟠 M03 补充丙方电子邮箱</w:t>
      </w:r>
    </w:p>
    <w:p>
      <w:pPr>
        <w:pStyle w:val="ListBullet"/>
      </w:pPr>
      <w:r>
        <w:t>🟠 M06 删除第七条重复句号</w:t>
      </w:r>
    </w:p>
    <w:p>
      <w:pPr>
        <w:pStyle w:val="ListBullet"/>
      </w:pPr>
      <w:r>
        <w:t>🟠 M11 核实慈善法第五十七条编号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09A"/>
        </w:rPr>
        <w:t>第四部分：审查结论</w:t>
      </w:r>
    </w:p>
    <w:p>
      <w:r>
        <w:rPr>
          <w:b/>
          <w:color w:val="FF0000"/>
        </w:rPr>
        <w:t>当前状态：不建议立即签署</w:t>
      </w:r>
    </w:p>
    <w:p>
      <w:r>
        <w:t>原因：存在2项高风险空白条款（管理费%、执行费%）及多处文字错误，建议完成修改后再签署。</w:t>
      </w:r>
    </w:p>
    <w:p>
      <w:pPr>
        <w:pStyle w:val="Heading2"/>
      </w:pPr>
      <w:r>
        <w:rPr>
          <w:color w:val="00356B"/>
        </w:rPr>
        <w:t>后续建议</w:t>
      </w:r>
    </w:p>
    <w:p>
      <w:pPr>
        <w:pStyle w:val="ListNumber"/>
      </w:pPr>
      <w:r>
        <w:t>立即修改第一优先级清单各项</w:t>
      </w:r>
    </w:p>
    <w:p>
      <w:pPr>
        <w:pStyle w:val="ListNumber"/>
      </w:pPr>
      <w:r>
        <w:t>核实丙方登记全称、甲方正确邮箱、慈善法2023修订版条文编号</w:t>
      </w:r>
    </w:p>
    <w:p>
      <w:pPr>
        <w:pStyle w:val="ListNumber"/>
      </w:pPr>
      <w:r>
        <w:t>与乙丙方补充谈判确定费用比例和募款目标</w:t>
      </w:r>
    </w:p>
    <w:p>
      <w:pPr>
        <w:pStyle w:val="ListNumber"/>
      </w:pPr>
      <w:r>
        <w:t>修改完成后由执业律师复核后签署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【文本监察官参与说明】</w:t>
      </w:r>
    </w:p>
    <w:p>
      <w:r>
        <w:t>1. 本文件由AI辅助生成，仅供内部参考，不构成正式法律意见。</w:t>
      </w:r>
    </w:p>
    <w:p>
      <w:r>
        <w:t>2. AI参与范围：☑ 法条检索与效力校验 ☑ 合同结构梳理与风险提示 ☑ 文书草拟与语言润色</w:t>
      </w:r>
    </w:p>
    <w:p>
      <w:r>
        <w:t>3. 未覆盖事项：案件事实认定、证据材料审核、最终法律意见决策</w:t>
      </w:r>
    </w:p>
    <w:p>
      <w:r>
        <w:t>4. 责任声明：最终决策由执业律师作出。</w:t>
      </w:r>
    </w:p>
    <w:p>
      <w:r>
        <w:t>5. 生成时间：2026年5月20日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