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b/>
          <w:sz w:val="32"/>
        </w:rPr>
        <w:t>民事上诉代理词</w:t>
      </w:r>
    </w:p>
    <w:p>
      <w:r>
        <w:rPr>
          <w:rFonts w:ascii="宋体" w:hAnsi="宋体" w:eastAsia="宋体"/>
          <w:b/>
          <w:sz w:val="24"/>
        </w:rPr>
        <w:t>案号</w:t>
      </w:r>
      <w:r>
        <w:rPr>
          <w:rFonts w:ascii="宋体" w:hAnsi="宋体" w:eastAsia="宋体"/>
          <w:b w:val="0"/>
          <w:sz w:val="24"/>
        </w:rPr>
        <w:t>：（2026）黔03民终___号</w:t>
      </w:r>
    </w:p>
    <w:p>
      <w:r>
        <w:rPr>
          <w:rFonts w:ascii="宋体" w:hAnsi="宋体" w:eastAsia="宋体"/>
          <w:b/>
          <w:sz w:val="24"/>
        </w:rPr>
        <w:t>上诉人</w:t>
      </w:r>
      <w:r>
        <w:rPr>
          <w:rFonts w:ascii="宋体" w:hAnsi="宋体" w:eastAsia="宋体"/>
          <w:b w:val="0"/>
          <w:sz w:val="24"/>
        </w:rPr>
        <w:t>（一审原告）：贵州省厚德公益基金会</w:t>
      </w:r>
    </w:p>
    <w:p>
      <w:r>
        <w:rPr>
          <w:rFonts w:ascii="宋体" w:hAnsi="宋体" w:eastAsia="宋体"/>
          <w:b/>
          <w:sz w:val="24"/>
        </w:rPr>
        <w:t>被上诉人</w:t>
      </w:r>
      <w:r>
        <w:rPr>
          <w:rFonts w:ascii="宋体" w:hAnsi="宋体" w:eastAsia="宋体"/>
          <w:b w:val="0"/>
          <w:sz w:val="24"/>
        </w:rPr>
        <w:t>（一审被告）：道真仡佬族苗族自治县百益社会工作服务中心、李丽、李佳豪</w:t>
      </w:r>
    </w:p>
    <w:p>
      <w:r>
        <w:rPr>
          <w:rFonts w:ascii="宋体" w:hAnsi="宋体" w:eastAsia="宋体"/>
          <w:b/>
          <w:sz w:val="24"/>
        </w:rPr>
        <w:t>代理律师</w:t>
      </w:r>
      <w:r>
        <w:rPr>
          <w:rFonts w:ascii="宋体" w:hAnsi="宋体" w:eastAsia="宋体"/>
          <w:b w:val="0"/>
          <w:sz w:val="24"/>
        </w:rPr>
        <w:t>：______</w:t>
      </w:r>
    </w:p>
    <w:p>
      <w:r>
        <w:rPr>
          <w:rFonts w:ascii="宋体" w:hAnsi="宋体" w:eastAsia="宋体"/>
          <w:b/>
          <w:sz w:val="24"/>
        </w:rPr>
        <w:t>提交日期</w:t>
      </w:r>
      <w:r>
        <w:rPr>
          <w:rFonts w:ascii="宋体" w:hAnsi="宋体" w:eastAsia="宋体"/>
          <w:b w:val="0"/>
          <w:sz w:val="24"/>
        </w:rPr>
        <w:t>：______</w:t>
      </w:r>
    </w:p>
    <w:p>
      <w:pPr>
        <w:pStyle w:val="Heading2"/>
        <w:jc w:val="left"/>
      </w:pPr>
      <w:r>
        <w:rPr>
          <w:rFonts w:ascii="黑体" w:hAnsi="黑体" w:eastAsia="黑体"/>
          <w:b/>
          <w:sz w:val="28"/>
        </w:rPr>
        <w:t>代理意见</w:t>
      </w:r>
    </w:p>
    <w:p>
      <w:r>
        <w:rPr>
          <w:rFonts w:ascii="宋体" w:hAnsi="宋体" w:eastAsia="宋体"/>
          <w:b/>
          <w:sz w:val="24"/>
        </w:rPr>
        <w:t>审判长、审判员</w:t>
      </w:r>
      <w:r>
        <w:rPr>
          <w:rFonts w:ascii="宋体" w:hAnsi="宋体" w:eastAsia="宋体"/>
          <w:b w:val="0"/>
          <w:sz w:val="24"/>
        </w:rPr>
        <w:t>：</w:t>
      </w:r>
    </w:p>
    <w:p>
      <w:r>
        <w:rPr>
          <w:rFonts w:ascii="宋体" w:hAnsi="宋体" w:eastAsia="宋体"/>
          <w:b w:val="0"/>
          <w:sz w:val="24"/>
        </w:rPr>
        <w:t>上诉人贵州省厚德公益基金会因与被上诉人道真仡佬族苗族自治县百益社会工作服务中心、李丽、李佳豪合同纠纷一案，不服道真县人民法院(2025)黔0325民初230号之一民事裁定，现依法提起上诉。代理人认为，一审裁定存在**认定事实错误**和**适用法律错误**两大问题，具体意见如下：</w:t>
      </w:r>
    </w:p>
    <w:p>
      <w:pPr>
        <w:pStyle w:val="Heading3"/>
        <w:jc w:val="left"/>
      </w:pPr>
      <w:r>
        <w:rPr>
          <w:rFonts w:ascii="黑体" w:hAnsi="黑体" w:eastAsia="黑体"/>
          <w:b/>
          <w:sz w:val="26"/>
        </w:rPr>
        <w:t>一、一审裁定认定事实存在重大错误</w:t>
      </w:r>
    </w:p>
    <w:p>
      <w:pPr>
        <w:pStyle w:val="Heading4"/>
        <w:jc w:val="left"/>
      </w:pPr>
      <w:r>
        <w:rPr>
          <w:rFonts w:ascii="黑体" w:hAnsi="黑体" w:eastAsia="黑体"/>
          <w:b/>
          <w:sz w:val="24"/>
        </w:rPr>
        <w:t>（一）一审裁定依据的"涉嫌经济犯罪"事实未经举证质证</w:t>
      </w:r>
    </w:p>
    <w:p>
      <w:r>
        <w:rPr>
          <w:rFonts w:ascii="宋体" w:hAnsi="宋体" w:eastAsia="宋体"/>
          <w:b w:val="0"/>
          <w:sz w:val="24"/>
        </w:rPr>
        <w:t>一审裁定第7页第6-8行认定："百益服务中心与案外人孙某签订的《公益理财服务协议》，孙某因该协议涉嫌经济犯罪，公安机关已介入调查"。</w:t>
      </w:r>
    </w:p>
    <w:p>
      <w:r>
        <w:rPr>
          <w:rFonts w:ascii="宋体" w:hAnsi="宋体" w:eastAsia="宋体"/>
          <w:b/>
          <w:sz w:val="24"/>
        </w:rPr>
        <w:t>然而，该事实的认定，既没有证据能够证实，也未经庭审质证程序。</w:t>
      </w:r>
    </w:p>
    <w:p>
      <w:r>
        <w:rPr>
          <w:rFonts w:ascii="宋体" w:hAnsi="宋体" w:eastAsia="宋体"/>
          <w:b w:val="0"/>
          <w:sz w:val="24"/>
        </w:rPr>
        <w:t>根据2025年2月25日的《庭审笔录》，庭审过程中三被上诉人和上诉人均未向法庭提交《公益理财服务协议》。庭审调查中，法官也未以任何方式向上诉人出示该份协议，也未就"涉嫌经济犯罪"问题组织双方质证。</w:t>
      </w:r>
    </w:p>
    <w:p>
      <w:r>
        <w:rPr>
          <w:rFonts w:ascii="宋体" w:hAnsi="宋体" w:eastAsia="宋体"/>
          <w:b w:val="0"/>
          <w:sz w:val="24"/>
        </w:rPr>
        <w:t>该事实突然出现在一审裁定书中，成为驳回起诉的依据，严重违反以下法律规定：</w:t>
      </w:r>
    </w:p>
    <w:p>
      <w:pPr>
        <w:ind w:left="567" w:firstLine="0"/>
      </w:pPr>
      <w:r>
        <w:rPr>
          <w:rFonts w:ascii="楷体" w:hAnsi="楷体" w:eastAsia="楷体"/>
          <w:b w:val="0"/>
          <w:sz w:val="22"/>
        </w:rPr>
        <w:t>**《中华人民共和国民事诉讼法》第六十八条**：</w:t>
      </w:r>
    </w:p>
    <w:p>
      <w:pPr>
        <w:ind w:left="567" w:firstLine="0"/>
      </w:pPr>
      <w:r>
        <w:rPr>
          <w:rFonts w:ascii="楷体" w:hAnsi="楷体" w:eastAsia="楷体"/>
          <w:b w:val="0"/>
          <w:sz w:val="22"/>
        </w:rPr>
        <w:t>"证据应当在法庭上出示，并由当事人互相质证。"</w:t>
      </w:r>
    </w:p>
    <w:p>
      <w:pPr>
        <w:ind w:left="567" w:firstLine="0"/>
      </w:pPr>
      <w:r>
        <w:rPr>
          <w:rFonts w:ascii="楷体" w:hAnsi="楷体" w:eastAsia="楷体"/>
          <w:b w:val="0"/>
          <w:sz w:val="22"/>
        </w:rPr>
        <w:t>**《最高人民法院关于民事诉讼证据的若干规定》第四十七条**：</w:t>
      </w:r>
    </w:p>
    <w:p>
      <w:pPr>
        <w:ind w:left="567" w:firstLine="0"/>
      </w:pPr>
      <w:r>
        <w:rPr>
          <w:rFonts w:ascii="楷体" w:hAnsi="楷体" w:eastAsia="楷体"/>
          <w:b w:val="0"/>
          <w:sz w:val="22"/>
        </w:rPr>
        <w:t>"证据应当在法庭上出示，由当事人质证。"</w:t>
      </w:r>
    </w:p>
    <w:p>
      <w:r>
        <w:rPr>
          <w:rFonts w:ascii="宋体" w:hAnsi="宋体" w:eastAsia="宋体"/>
          <w:b w:val="0"/>
          <w:sz w:val="24"/>
        </w:rPr>
        <w:t>即便法院依职权查明相关事实，如该事实对当事人权益有重大影响，仍应保障当事人的质证权利。一审裁定将该等未经质证的事实作为驳回起诉的依据，**程序严重违法**，裁定应予撤销。</w:t>
      </w:r>
    </w:p>
    <w:p>
      <w:pPr>
        <w:pStyle w:val="Heading4"/>
        <w:jc w:val="left"/>
      </w:pPr>
      <w:r>
        <w:rPr>
          <w:rFonts w:ascii="黑体" w:hAnsi="黑体" w:eastAsia="黑体"/>
          <w:b/>
          <w:sz w:val="24"/>
        </w:rPr>
        <w:t>（二）一审裁定依据的"马婵娟被立案侦查"事实同样未经质证</w:t>
      </w:r>
    </w:p>
    <w:p>
      <w:r>
        <w:rPr>
          <w:rFonts w:ascii="宋体" w:hAnsi="宋体" w:eastAsia="宋体"/>
          <w:b w:val="0"/>
          <w:sz w:val="24"/>
        </w:rPr>
        <w:t>一审裁定还认定"马婵娟被立案侦查"，但该事实同样未经举证质证，不能作为裁判依据。</w:t>
      </w:r>
    </w:p>
    <w:p>
      <w:pPr>
        <w:pStyle w:val="Heading4"/>
        <w:jc w:val="left"/>
      </w:pPr>
      <w:r>
        <w:rPr>
          <w:rFonts w:ascii="黑体" w:hAnsi="黑体" w:eastAsia="黑体"/>
          <w:b/>
          <w:sz w:val="24"/>
        </w:rPr>
        <w:t>（三）没有证据证明百益服务中心、李丽、李佳豪涉嫌经济犯罪</w:t>
      </w:r>
    </w:p>
    <w:p>
      <w:r>
        <w:rPr>
          <w:rFonts w:ascii="宋体" w:hAnsi="宋体" w:eastAsia="宋体"/>
          <w:b w:val="0"/>
          <w:sz w:val="24"/>
        </w:rPr>
        <w:t>从一审裁定表述可见，仅"孙某"涉嫌经济犯罪，并未提及百益服务中心涉嫌犯罪。即便马婵娟是百益服务中心的实际控制人，其个人被公安机关立案侦查，也不能直接得出百益服务中心涉嫌经济犯罪的结论。</w:t>
      </w:r>
    </w:p>
    <w:p>
      <w:r>
        <w:rPr>
          <w:rFonts w:ascii="宋体" w:hAnsi="宋体" w:eastAsia="宋体"/>
          <w:b/>
          <w:sz w:val="24"/>
        </w:rPr>
        <w:t>事实上，截至目前，百益服务中心、李丽、李佳豪均从未被任何公安机关刑事立案侦查，也未受到查封、冻结等任何刑事措施。</w:t>
      </w:r>
    </w:p>
    <w:p>
      <w:pPr>
        <w:pStyle w:val="Heading4"/>
        <w:jc w:val="left"/>
      </w:pPr>
      <w:r>
        <w:rPr>
          <w:rFonts w:ascii="黑体" w:hAnsi="黑体" w:eastAsia="黑体"/>
          <w:b/>
          <w:sz w:val="24"/>
        </w:rPr>
        <w:t>（四）"资金来源和去向不明"的认定与事实不符</w:t>
      </w:r>
    </w:p>
    <w:p>
      <w:r>
        <w:rPr>
          <w:rFonts w:ascii="宋体" w:hAnsi="宋体" w:eastAsia="宋体"/>
          <w:b w:val="0"/>
          <w:sz w:val="24"/>
        </w:rPr>
        <w:t>一审裁定认定"本案中的资金来源和去向不明，均有涉嫌经济犯罪可能"，与事实完全不符。</w:t>
      </w:r>
    </w:p>
    <w:p>
      <w:r>
        <w:rPr>
          <w:rFonts w:ascii="宋体" w:hAnsi="宋体" w:eastAsia="宋体"/>
          <w:b w:val="0"/>
          <w:sz w:val="24"/>
        </w:rPr>
        <w:t>上诉人已向一审法院提交证据证明：案涉善款完全是上诉人根据合法有效协议，通过公开募捐获得，并专项用于"社工黔行·爱助益餐"慈善项目。百益服务中心也实际开展了该项目，为社区老人提供免费食堂餐饮服务。</w:t>
      </w:r>
    </w:p>
    <w:p>
      <w:r>
        <w:rPr>
          <w:rFonts w:ascii="宋体" w:hAnsi="宋体" w:eastAsia="宋体"/>
          <w:b/>
          <w:sz w:val="24"/>
        </w:rPr>
        <w:t>资金流向清晰、合法，不存在"来源和去向不明"的情况。</w:t>
      </w:r>
    </w:p>
    <w:p>
      <w:pPr>
        <w:pStyle w:val="Heading3"/>
        <w:jc w:val="left"/>
      </w:pPr>
      <w:r>
        <w:rPr>
          <w:rFonts w:ascii="黑体" w:hAnsi="黑体" w:eastAsia="黑体"/>
          <w:b/>
          <w:sz w:val="26"/>
        </w:rPr>
        <w:t>二、一审裁定适用法律错误</w:t>
      </w:r>
    </w:p>
    <w:p>
      <w:pPr>
        <w:pStyle w:val="Heading4"/>
        <w:jc w:val="left"/>
      </w:pPr>
      <w:r>
        <w:rPr>
          <w:rFonts w:ascii="黑体" w:hAnsi="黑体" w:eastAsia="黑体"/>
          <w:b/>
          <w:sz w:val="24"/>
        </w:rPr>
        <w:t>（一）《经济犯罪嫌疑规定》第11条的适用前提</w:t>
      </w:r>
    </w:p>
    <w:p>
      <w:r>
        <w:rPr>
          <w:rFonts w:ascii="宋体" w:hAnsi="宋体" w:eastAsia="宋体"/>
          <w:b w:val="0"/>
          <w:sz w:val="24"/>
        </w:rPr>
        <w:t>《最高人民法院关于在审理经济纠纷案件中涉及经济犯罪嫌疑若干问题的规定》（2020修正）**第十一条**规定：</w:t>
      </w:r>
    </w:p>
    <w:p>
      <w:pPr>
        <w:ind w:left="567" w:firstLine="0"/>
      </w:pPr>
      <w:r>
        <w:rPr>
          <w:rFonts w:ascii="楷体" w:hAnsi="楷体" w:eastAsia="楷体"/>
          <w:b w:val="0"/>
          <w:sz w:val="22"/>
        </w:rPr>
        <w:t>"人民法院作为经济纠纷受理的案件，经审理认为**不属经济纠纷案件而有经济犯罪嫌疑的**，应当裁定驳回起诉，将有关材料移送公安机关或检察机关。"</w:t>
      </w:r>
    </w:p>
    <w:p>
      <w:r>
        <w:rPr>
          <w:rFonts w:ascii="宋体" w:hAnsi="宋体" w:eastAsia="宋体"/>
          <w:b/>
          <w:sz w:val="24"/>
        </w:rPr>
        <w:t>第11条的适用前提是："不属经济纠纷案件而有经济犯罪嫌疑"，即整个案件本质上就是刑事案件，而非经济纠纷案件。</w:t>
      </w:r>
    </w:p>
    <w:p>
      <w:r>
        <w:rPr>
          <w:rFonts w:ascii="宋体" w:hAnsi="宋体" w:eastAsia="宋体"/>
          <w:b w:val="0"/>
          <w:sz w:val="24"/>
        </w:rPr>
        <w:t>但本案的情况是：上诉人与百益服务中心之间签订的是合法有效的项目合作协议和捐赠协议，上诉人支付善款专项用于慈善项目，双方之间是**典型的民事合同关系**。即便案外人马婵娟涉嫌犯罪，也与本案属于**不同的法律事实**和**不同的法律关系**，本案**本质上仍是经济纠纷案件**，不符合第11条的适用前提。</w:t>
      </w:r>
    </w:p>
    <w:p>
      <w:pPr>
        <w:pStyle w:val="Heading4"/>
        <w:jc w:val="left"/>
      </w:pPr>
      <w:r>
        <w:rPr>
          <w:rFonts w:ascii="黑体" w:hAnsi="黑体" w:eastAsia="黑体"/>
          <w:b/>
          <w:sz w:val="24"/>
        </w:rPr>
        <w:t>（二）本案应适用《经济犯罪嫌疑规定》第1条或第10条</w:t>
      </w:r>
    </w:p>
    <w:p>
      <w:r>
        <w:rPr>
          <w:rFonts w:ascii="宋体" w:hAnsi="宋体" w:eastAsia="宋体"/>
          <w:b w:val="0"/>
          <w:sz w:val="24"/>
        </w:rPr>
        <w:t>《经济犯罪嫌疑规定》第1条规定：</w:t>
      </w:r>
    </w:p>
    <w:p>
      <w:pPr>
        <w:ind w:left="567" w:firstLine="0"/>
      </w:pPr>
      <w:r>
        <w:rPr>
          <w:rFonts w:ascii="楷体" w:hAnsi="楷体" w:eastAsia="楷体"/>
          <w:b w:val="0"/>
          <w:sz w:val="22"/>
        </w:rPr>
        <w:t>"同一自然人、法人或非法人组织因**不同的法律事实**，分别涉及经济纠纷和经济犯罪嫌疑的，经济纠纷案件和经济犯罪嫌疑案件**应当分开审理**。"</w:t>
      </w:r>
    </w:p>
    <w:p>
      <w:r>
        <w:rPr>
          <w:rFonts w:ascii="宋体" w:hAnsi="宋体" w:eastAsia="宋体"/>
          <w:b w:val="0"/>
          <w:sz w:val="24"/>
        </w:rPr>
        <w:t>第10条规定：</w:t>
      </w:r>
    </w:p>
    <w:p>
      <w:pPr>
        <w:ind w:left="567" w:firstLine="0"/>
      </w:pPr>
      <w:r>
        <w:rPr>
          <w:rFonts w:ascii="楷体" w:hAnsi="楷体" w:eastAsia="楷体"/>
          <w:b w:val="0"/>
          <w:sz w:val="22"/>
        </w:rPr>
        <w:t>"人民法院在审理经济纠纷案件中，发现与本案有牵连，但与本案**不是同一法律关系**的经济犯罪嫌疑线索、材料，应将犯罪嫌疑线索、材料移送有关公安机关或检察机关查处，**经济纠纷案件继续审理**。"</w:t>
      </w:r>
    </w:p>
    <w:p>
      <w:r>
        <w:rPr>
          <w:rFonts w:ascii="宋体" w:hAnsi="宋体" w:eastAsia="宋体"/>
          <w:b/>
          <w:sz w:val="24"/>
        </w:rPr>
        <w:t>本案与马婵娟涉嫌犯罪案件的法律关系对比</w:t>
      </w:r>
      <w:r>
        <w:rPr>
          <w:rFonts w:ascii="宋体" w:hAnsi="宋体" w:eastAsia="宋体"/>
          <w:b w:val="0"/>
          <w:sz w:val="24"/>
        </w:rPr>
        <w:t>：</w:t>
      </w:r>
    </w:p>
    <w:tbl>
      <w:tblPr>
        <w:tblStyle w:val="TableGrid"/>
        <w:tblW w:type="auto" w:w="0"/>
        <w:tblLook w:firstColumn="1" w:firstRow="1" w:lastColumn="0" w:lastRow="0" w:noHBand="0" w:noVBand="1" w:val="04A0"/>
      </w:tblPr>
      <w:tblGrid>
        <w:gridCol w:w="2882"/>
        <w:gridCol w:w="2882"/>
        <w:gridCol w:w="2882"/>
      </w:tblGrid>
      <w:tr>
        <w:tc>
          <w:tcPr>
            <w:tcW w:type="dxa" w:w="2882"/>
          </w:tcPr>
          <w:p>
            <w:pPr>
              <w:jc w:val="center"/>
            </w:pPr>
            <w:r>
              <w:rPr>
                <w:rFonts w:ascii="黑体" w:hAnsi="黑体" w:eastAsia="黑体"/>
                <w:b/>
                <w:sz w:val="20"/>
              </w:rPr>
              <w:t>比较要素</w:t>
            </w:r>
          </w:p>
        </w:tc>
        <w:tc>
          <w:tcPr>
            <w:tcW w:type="dxa" w:w="2882"/>
          </w:tcPr>
          <w:p>
            <w:pPr>
              <w:jc w:val="center"/>
            </w:pPr>
            <w:r>
              <w:rPr>
                <w:rFonts w:ascii="黑体" w:hAnsi="黑体" w:eastAsia="黑体"/>
                <w:b/>
                <w:sz w:val="20"/>
              </w:rPr>
              <w:t>本案</w:t>
            </w:r>
          </w:p>
        </w:tc>
        <w:tc>
          <w:tcPr>
            <w:tcW w:type="dxa" w:w="2882"/>
          </w:tcPr>
          <w:p>
            <w:pPr>
              <w:jc w:val="center"/>
            </w:pPr>
            <w:r>
              <w:rPr>
                <w:rFonts w:ascii="黑体" w:hAnsi="黑体" w:eastAsia="黑体"/>
                <w:b/>
                <w:sz w:val="20"/>
              </w:rPr>
              <w:t>马婵娟涉嫌犯罪案</w:t>
            </w:r>
          </w:p>
        </w:tc>
      </w:tr>
      <w:tr>
        <w:tc>
          <w:tcPr>
            <w:tcW w:type="dxa" w:w="2882"/>
          </w:tcPr>
          <w:p>
            <w:r>
              <w:rPr>
                <w:rFonts w:ascii="宋体" w:hAnsi="宋体" w:eastAsia="宋体"/>
                <w:b w:val="0"/>
                <w:sz w:val="20"/>
              </w:rPr>
              <w:t>法律关系主体</w:t>
            </w:r>
          </w:p>
        </w:tc>
        <w:tc>
          <w:tcPr>
            <w:tcW w:type="dxa" w:w="2882"/>
          </w:tcPr>
          <w:p>
            <w:r>
              <w:rPr>
                <w:rFonts w:ascii="宋体" w:hAnsi="宋体" w:eastAsia="宋体"/>
                <w:b w:val="0"/>
                <w:sz w:val="20"/>
              </w:rPr>
              <w:t>厚德基金会 + 百益服务中心</w:t>
            </w:r>
          </w:p>
        </w:tc>
        <w:tc>
          <w:tcPr>
            <w:tcW w:type="dxa" w:w="2882"/>
          </w:tcPr>
          <w:p>
            <w:r>
              <w:rPr>
                <w:rFonts w:ascii="宋体" w:hAnsi="宋体" w:eastAsia="宋体"/>
                <w:b w:val="0"/>
                <w:sz w:val="20"/>
              </w:rPr>
              <w:t>马婵娟 + 孙某（案外人）</w:t>
            </w:r>
          </w:p>
        </w:tc>
      </w:tr>
      <w:tr>
        <w:tc>
          <w:tcPr>
            <w:tcW w:type="dxa" w:w="2882"/>
          </w:tcPr>
          <w:p>
            <w:r>
              <w:rPr>
                <w:rFonts w:ascii="宋体" w:hAnsi="宋体" w:eastAsia="宋体"/>
                <w:b w:val="0"/>
                <w:sz w:val="20"/>
              </w:rPr>
              <w:t>法律关系客体</w:t>
            </w:r>
          </w:p>
        </w:tc>
        <w:tc>
          <w:tcPr>
            <w:tcW w:type="dxa" w:w="2882"/>
          </w:tcPr>
          <w:p>
            <w:r>
              <w:rPr>
                <w:rFonts w:ascii="宋体" w:hAnsi="宋体" w:eastAsia="宋体"/>
                <w:b w:val="0"/>
                <w:sz w:val="20"/>
              </w:rPr>
              <w:t>慈善项目合作/捐赠</w:t>
            </w:r>
          </w:p>
        </w:tc>
        <w:tc>
          <w:tcPr>
            <w:tcW w:type="dxa" w:w="2882"/>
          </w:tcPr>
          <w:p>
            <w:r>
              <w:rPr>
                <w:rFonts w:ascii="宋体" w:hAnsi="宋体" w:eastAsia="宋体"/>
                <w:b w:val="0"/>
                <w:sz w:val="20"/>
              </w:rPr>
              <w:t>委托投资理财</w:t>
            </w:r>
          </w:p>
        </w:tc>
      </w:tr>
      <w:tr>
        <w:tc>
          <w:tcPr>
            <w:tcW w:type="dxa" w:w="2882"/>
          </w:tcPr>
          <w:p>
            <w:r>
              <w:rPr>
                <w:rFonts w:ascii="宋体" w:hAnsi="宋体" w:eastAsia="宋体"/>
                <w:b w:val="0"/>
                <w:sz w:val="20"/>
              </w:rPr>
              <w:t>法律事实</w:t>
            </w:r>
          </w:p>
        </w:tc>
        <w:tc>
          <w:tcPr>
            <w:tcW w:type="dxa" w:w="2882"/>
          </w:tcPr>
          <w:p>
            <w:r>
              <w:rPr>
                <w:rFonts w:ascii="宋体" w:hAnsi="宋体" w:eastAsia="宋体"/>
                <w:b w:val="0"/>
                <w:sz w:val="20"/>
              </w:rPr>
              <w:t>如何获得和使用慈善捐款</w:t>
            </w:r>
          </w:p>
        </w:tc>
        <w:tc>
          <w:tcPr>
            <w:tcW w:type="dxa" w:w="2882"/>
          </w:tcPr>
          <w:p>
            <w:r>
              <w:rPr>
                <w:rFonts w:ascii="宋体" w:hAnsi="宋体" w:eastAsia="宋体"/>
                <w:b w:val="0"/>
                <w:sz w:val="20"/>
              </w:rPr>
              <w:t>是否真实合法的投资理财</w:t>
            </w:r>
          </w:p>
        </w:tc>
      </w:tr>
    </w:tbl>
    <w:p>
      <w:r>
        <w:rPr>
          <w:rFonts w:ascii="宋体" w:hAnsi="宋体" w:eastAsia="宋体"/>
          <w:b w:val="0"/>
          <w:sz w:val="24"/>
        </w:rPr>
        <w:t>《全国法院民商事审判工作会议纪要》（法〔2019〕254号）第128条明确规定：</w:t>
      </w:r>
    </w:p>
    <w:p>
      <w:pPr>
        <w:ind w:left="567" w:firstLine="0"/>
      </w:pPr>
      <w:r>
        <w:rPr>
          <w:rFonts w:ascii="楷体" w:hAnsi="楷体" w:eastAsia="楷体"/>
          <w:b w:val="0"/>
          <w:sz w:val="22"/>
        </w:rPr>
        <w:t>"同一当事人因不同事实分别发生民商事纠纷和涉嫌刑事犯罪，民商事案件与刑事案件**应当分别审理**，主要有下列情形：……（2）**行为人以法人、非法人组织或者他人名义订立合同的行为涉嫌刑事犯罪或者刑事裁判认定其构成犯罪，合同相对人请求该法人、非法人组织或者他人承担民事责任的；**"</w:t>
      </w:r>
    </w:p>
    <w:p>
      <w:r>
        <w:rPr>
          <w:rFonts w:ascii="宋体" w:hAnsi="宋体" w:eastAsia="宋体"/>
          <w:b/>
          <w:sz w:val="24"/>
        </w:rPr>
        <w:t>本案完全符合该情形</w:t>
      </w:r>
      <w:r>
        <w:rPr>
          <w:rFonts w:ascii="宋体" w:hAnsi="宋体" w:eastAsia="宋体"/>
          <w:b w:val="0"/>
          <w:sz w:val="24"/>
        </w:rPr>
        <w:t>：</w:t>
      </w:r>
    </w:p>
    <w:p>
      <w:pPr>
        <w:pStyle w:val="ListBullet"/>
      </w:pPr>
      <w:r>
        <w:rPr>
          <w:rFonts w:ascii="宋体" w:hAnsi="宋体" w:eastAsia="宋体"/>
          <w:b w:val="0"/>
          <w:sz w:val="24"/>
        </w:rPr>
        <w:t>行为人：马婵娟（可能为百益服务中心实际控制人）</w:t>
      </w:r>
    </w:p>
    <w:p>
      <w:pPr>
        <w:pStyle w:val="ListBullet"/>
      </w:pPr>
      <w:r>
        <w:rPr>
          <w:rFonts w:ascii="宋体" w:hAnsi="宋体" w:eastAsia="宋体"/>
          <w:b w:val="0"/>
          <w:sz w:val="24"/>
        </w:rPr>
        <w:t>以法人名义：以百益服务中心名义与上诉人签订合同</w:t>
      </w:r>
    </w:p>
    <w:p>
      <w:pPr>
        <w:pStyle w:val="ListBullet"/>
      </w:pPr>
      <w:r>
        <w:rPr>
          <w:rFonts w:ascii="宋体" w:hAnsi="宋体" w:eastAsia="宋体"/>
          <w:b w:val="0"/>
          <w:sz w:val="24"/>
        </w:rPr>
        <w:t>涉嫌犯罪：马婵娟可能涉嫌刑事犯罪</w:t>
      </w:r>
    </w:p>
    <w:p>
      <w:pPr>
        <w:pStyle w:val="ListBullet"/>
      </w:pPr>
      <w:r>
        <w:rPr>
          <w:rFonts w:ascii="宋体" w:hAnsi="宋体" w:eastAsia="宋体"/>
          <w:b w:val="0"/>
          <w:sz w:val="24"/>
        </w:rPr>
        <w:t>合同相对人：上诉人（厚德基金会）</w:t>
      </w:r>
    </w:p>
    <w:p>
      <w:pPr>
        <w:pStyle w:val="ListBullet"/>
      </w:pPr>
      <w:r>
        <w:rPr>
          <w:rFonts w:ascii="宋体" w:hAnsi="宋体" w:eastAsia="宋体"/>
          <w:b w:val="0"/>
          <w:sz w:val="24"/>
        </w:rPr>
        <w:t>请求对象：百益服务中心（法人）承担民事责任</w:t>
      </w:r>
    </w:p>
    <w:p>
      <w:pPr>
        <w:pStyle w:val="Heading3"/>
        <w:jc w:val="left"/>
      </w:pPr>
      <w:r>
        <w:rPr>
          <w:rFonts w:ascii="黑体" w:hAnsi="黑体" w:eastAsia="黑体"/>
          <w:b/>
          <w:sz w:val="26"/>
        </w:rPr>
        <w:t>三、法定代表人或实际控制人个人犯罪不等于法人犯罪</w:t>
      </w:r>
    </w:p>
    <w:p>
      <w:r>
        <w:rPr>
          <w:rFonts w:ascii="宋体" w:hAnsi="宋体" w:eastAsia="宋体"/>
          <w:b w:val="0"/>
          <w:sz w:val="24"/>
        </w:rPr>
        <w:t>对方可能主张"马婵娟是百益服务中心实际控制人，马婵娟被立案侦查即代表百益服务中心涉嫌犯罪"。</w:t>
      </w:r>
    </w:p>
    <w:p>
      <w:r>
        <w:rPr>
          <w:rFonts w:ascii="宋体" w:hAnsi="宋体" w:eastAsia="宋体"/>
          <w:b w:val="0"/>
          <w:sz w:val="24"/>
        </w:rPr>
        <w:t>对此，上诉人认为：</w:t>
      </w:r>
    </w:p>
    <w:p>
      <w:pPr>
        <w:ind w:left="567" w:firstLine="0"/>
      </w:pPr>
      <w:r>
        <w:rPr>
          <w:rFonts w:ascii="楷体" w:hAnsi="楷体" w:eastAsia="楷体"/>
          <w:b w:val="0"/>
          <w:sz w:val="22"/>
        </w:rPr>
        <w:t>**《中华人民共和国民法典》第五十七条**：</w:t>
      </w:r>
    </w:p>
    <w:p>
      <w:pPr>
        <w:ind w:left="567" w:firstLine="0"/>
      </w:pPr>
      <w:r>
        <w:rPr>
          <w:rFonts w:ascii="楷体" w:hAnsi="楷体" w:eastAsia="楷体"/>
          <w:b w:val="0"/>
          <w:sz w:val="22"/>
        </w:rPr>
        <w:t>"法人是具有民事权利能力和民事行为能力，依法独立享有民事权利和承担民事义务的组织。"</w:t>
      </w:r>
    </w:p>
    <w:p>
      <w:r>
        <w:rPr>
          <w:rFonts w:ascii="宋体" w:hAnsi="宋体" w:eastAsia="宋体"/>
          <w:b/>
          <w:sz w:val="24"/>
        </w:rPr>
        <w:t>法定代表人或实际控制人个人涉嫌犯罪，不等于法人主体涉嫌犯罪。</w:t>
      </w:r>
      <w:r>
        <w:rPr>
          <w:rFonts w:ascii="宋体" w:hAnsi="宋体" w:eastAsia="宋体"/>
          <w:b w:val="0"/>
          <w:sz w:val="24"/>
        </w:rPr>
        <w:t xml:space="preserve"> 百益服务中心是独立法人，目前无任何机关对其刑事立案。一审裁定将此混同，属认定事实错误。</w:t>
      </w:r>
    </w:p>
    <w:p>
      <w:pPr>
        <w:pStyle w:val="Heading3"/>
        <w:jc w:val="left"/>
      </w:pPr>
      <w:r>
        <w:rPr>
          <w:rFonts w:ascii="黑体" w:hAnsi="黑体" w:eastAsia="黑体"/>
          <w:b/>
          <w:sz w:val="26"/>
        </w:rPr>
        <w:t>四、结论与请求</w:t>
      </w:r>
    </w:p>
    <w:p>
      <w:r>
        <w:rPr>
          <w:rFonts w:ascii="宋体" w:hAnsi="宋体" w:eastAsia="宋体"/>
          <w:b w:val="0"/>
          <w:sz w:val="24"/>
        </w:rPr>
        <w:t>综上所述，一审裁定存在以下错误：</w:t>
      </w:r>
    </w:p>
    <w:p>
      <w:pPr>
        <w:pStyle w:val="ListNumber"/>
      </w:pPr>
      <w:r>
        <w:rPr>
          <w:rFonts w:ascii="宋体" w:hAnsi="宋体" w:eastAsia="宋体"/>
          <w:b/>
          <w:sz w:val="24"/>
        </w:rPr>
        <w:t>认定事实错误</w:t>
      </w:r>
      <w:r>
        <w:rPr>
          <w:rFonts w:ascii="宋体" w:hAnsi="宋体" w:eastAsia="宋体"/>
          <w:b w:val="0"/>
          <w:sz w:val="24"/>
        </w:rPr>
        <w:t>：采纳未经举证质证的"涉嫌经济犯罪"事实，严重违反法定程序</w:t>
      </w:r>
    </w:p>
    <w:p>
      <w:pPr>
        <w:pStyle w:val="ListNumber"/>
      </w:pPr>
      <w:r>
        <w:rPr>
          <w:rFonts w:ascii="宋体" w:hAnsi="宋体" w:eastAsia="宋体"/>
          <w:b/>
          <w:sz w:val="24"/>
        </w:rPr>
        <w:t>认定事实错误</w:t>
      </w:r>
      <w:r>
        <w:rPr>
          <w:rFonts w:ascii="宋体" w:hAnsi="宋体" w:eastAsia="宋体"/>
          <w:b w:val="0"/>
          <w:sz w:val="24"/>
        </w:rPr>
        <w:t>：错误认定"资金来源和去向不明"，与事实不符</w:t>
      </w:r>
    </w:p>
    <w:p>
      <w:pPr>
        <w:pStyle w:val="ListNumber"/>
      </w:pPr>
      <w:r>
        <w:rPr>
          <w:rFonts w:ascii="宋体" w:hAnsi="宋体" w:eastAsia="宋体"/>
          <w:b/>
          <w:sz w:val="24"/>
        </w:rPr>
        <w:t>适用法律错误</w:t>
      </w:r>
      <w:r>
        <w:rPr>
          <w:rFonts w:ascii="宋体" w:hAnsi="宋体" w:eastAsia="宋体"/>
          <w:b w:val="0"/>
          <w:sz w:val="24"/>
        </w:rPr>
        <w:t>：错误适用《经济犯罪嫌疑规定》第11条，本案应适用第1条或第10条分别审理</w:t>
      </w:r>
    </w:p>
    <w:p>
      <w:pPr>
        <w:pStyle w:val="ListNumber"/>
      </w:pPr>
      <w:r>
        <w:rPr>
          <w:rFonts w:ascii="宋体" w:hAnsi="宋体" w:eastAsia="宋体"/>
          <w:b/>
          <w:sz w:val="24"/>
        </w:rPr>
        <w:t>适用法律错误</w:t>
      </w:r>
      <w:r>
        <w:rPr>
          <w:rFonts w:ascii="宋体" w:hAnsi="宋体" w:eastAsia="宋体"/>
          <w:b w:val="0"/>
          <w:sz w:val="24"/>
        </w:rPr>
        <w:t>：未参照适用九民纪要第128条第(2)项</w:t>
      </w:r>
    </w:p>
    <w:p>
      <w:pPr>
        <w:pStyle w:val="ListNumber"/>
      </w:pPr>
      <w:r>
        <w:rPr>
          <w:rFonts w:ascii="宋体" w:hAnsi="宋体" w:eastAsia="宋体"/>
          <w:b w:val="0"/>
          <w:sz w:val="24"/>
        </w:rPr>
        <w:t>依法撤销道真县人民法院(2025)黔0325民初230号之一民事裁定书</w:t>
      </w:r>
    </w:p>
    <w:p>
      <w:pPr>
        <w:pStyle w:val="ListNumber"/>
      </w:pPr>
      <w:r>
        <w:rPr>
          <w:rFonts w:ascii="宋体" w:hAnsi="宋体" w:eastAsia="宋体"/>
          <w:b w:val="0"/>
          <w:sz w:val="24"/>
        </w:rPr>
        <w:t>指令道真县人民法院审理本案</w:t>
      </w:r>
    </w:p>
    <w:p>
      <w:r>
        <w:rPr>
          <w:rFonts w:ascii="宋体" w:hAnsi="宋体" w:eastAsia="宋体"/>
          <w:b/>
          <w:sz w:val="24"/>
        </w:rPr>
        <w:t>此致</w:t>
      </w:r>
    </w:p>
    <w:p>
      <w:r>
        <w:rPr>
          <w:rFonts w:ascii="宋体" w:hAnsi="宋体" w:eastAsia="宋体"/>
          <w:b w:val="0"/>
          <w:sz w:val="24"/>
        </w:rPr>
        <w:t>贵州省遵义市中级人民法院</w:t>
      </w:r>
    </w:p>
    <w:p>
      <w:r>
        <w:rPr>
          <w:rFonts w:ascii="宋体" w:hAnsi="宋体" w:eastAsia="宋体"/>
          <w:b w:val="0"/>
          <w:sz w:val="24"/>
        </w:rPr>
        <w:t>代理人：______</w:t>
      </w:r>
    </w:p>
    <w:p>
      <w:r>
        <w:rPr>
          <w:rFonts w:ascii="宋体" w:hAnsi="宋体" w:eastAsia="宋体"/>
          <w:b w:val="0"/>
          <w:sz w:val="24"/>
        </w:rPr>
        <w:t>______年______月______日</w:t>
      </w:r>
    </w:p>
    <w:p>
      <w:pPr>
        <w:pStyle w:val="Heading2"/>
        <w:jc w:val="left"/>
      </w:pPr>
      <w:r>
        <w:rPr>
          <w:rFonts w:ascii="黑体" w:hAnsi="黑体" w:eastAsia="黑体"/>
          <w:b/>
          <w:sz w:val="28"/>
        </w:rPr>
        <w:t>附：法律依据汇编</w:t>
      </w:r>
    </w:p>
    <w:p>
      <w:pPr>
        <w:pStyle w:val="ListNumber"/>
      </w:pPr>
      <w:r>
        <w:rPr>
          <w:rFonts w:ascii="宋体" w:hAnsi="宋体" w:eastAsia="宋体"/>
          <w:b/>
          <w:sz w:val="24"/>
        </w:rPr>
        <w:t>《中华人民共和国民事诉讼法》第六十八条</w:t>
      </w:r>
      <w:r>
        <w:rPr>
          <w:rFonts w:ascii="宋体" w:hAnsi="宋体" w:eastAsia="宋体"/>
          <w:b w:val="0"/>
          <w:sz w:val="24"/>
        </w:rPr>
        <w:t>（证据质证程序）</w:t>
      </w:r>
    </w:p>
    <w:p>
      <w:pPr>
        <w:pStyle w:val="ListNumber"/>
      </w:pPr>
      <w:r>
        <w:rPr>
          <w:rFonts w:ascii="宋体" w:hAnsi="宋体" w:eastAsia="宋体"/>
          <w:b/>
          <w:sz w:val="24"/>
        </w:rPr>
        <w:t>《最高人民法院关于民事诉讼证据的若干规定》第四十七条</w:t>
      </w:r>
    </w:p>
    <w:p>
      <w:pPr>
        <w:pStyle w:val="ListNumber"/>
      </w:pPr>
      <w:r>
        <w:rPr>
          <w:rFonts w:ascii="宋体" w:hAnsi="宋体" w:eastAsia="宋体"/>
          <w:b/>
          <w:sz w:val="24"/>
        </w:rPr>
        <w:t>《中华人民共和国民法典》第五十七条</w:t>
      </w:r>
      <w:r>
        <w:rPr>
          <w:rFonts w:ascii="宋体" w:hAnsi="宋体" w:eastAsia="宋体"/>
          <w:b w:val="0"/>
          <w:sz w:val="24"/>
        </w:rPr>
        <w:t>（法人独立地位）</w:t>
      </w:r>
    </w:p>
    <w:p>
      <w:pPr>
        <w:pStyle w:val="ListNumber"/>
      </w:pPr>
      <w:r>
        <w:rPr>
          <w:rFonts w:ascii="宋体" w:hAnsi="宋体" w:eastAsia="宋体"/>
          <w:b/>
          <w:sz w:val="24"/>
        </w:rPr>
        <w:t>《最高人民法院关于在审理经济纠纷案件中涉及经济犯罪嫌疑若干问题的规定》（2020修正）第一条、第十条、第十一条</w:t>
      </w:r>
    </w:p>
    <w:p>
      <w:pPr>
        <w:pStyle w:val="ListNumber"/>
      </w:pPr>
      <w:r>
        <w:rPr>
          <w:rFonts w:ascii="宋体" w:hAnsi="宋体" w:eastAsia="宋体"/>
          <w:b/>
          <w:sz w:val="24"/>
        </w:rPr>
        <w:t>《全国法院民商事审判工作会议纪要》（法〔2019〕254号）第一百二十八条第(2)项</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